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résilience dans le Nord-Est de la Côte d’Ivoire</w:t>
      </w:r>
    </w:p>
    <w:p/>
    <w:p>
      <w:r>
        <w:rPr>
          <w:b/>
        </w:rPr>
        <w:t xml:space="preserve">Organisme : </w:t>
      </w:r>
      <w:r>
        <w:t>Affaires Mondiales Canada</w:t>
      </w:r>
    </w:p>
    <w:p>
      <w:r>
        <w:rPr>
          <w:b/>
        </w:rPr>
        <w:t xml:space="preserve">Numero de projet : </w:t>
      </w:r>
      <w:r>
        <w:t>CA-3-P011496001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2024-03-11T00:00:00 au 2025-03-31T00:00:00</w:t>
      </w:r>
    </w:p>
    <w:p>
      <w:r>
        <w:rPr>
          <w:b/>
        </w:rPr>
        <w:t xml:space="preserve">Engagement : </w:t>
      </w:r>
      <w:r>
        <w:t>3500000.00</w:t>
      </w:r>
    </w:p>
    <w:p>
      <w:r>
        <w:rPr>
          <w:b/>
        </w:rPr>
        <w:t xml:space="preserve">Total envoye en $ : </w:t>
      </w:r>
      <w:r>
        <w:t>2000000.0</w:t>
      </w:r>
    </w:p>
    <w:p>
      <w:r>
        <w:rPr>
          <w:b/>
        </w:rPr>
        <w:t xml:space="preserve">Description : </w:t>
      </w:r>
      <w:r>
        <w:t>Le projet vise à renforcer la résilience des systèmes sanitaires, des communautés et des individus, des régions du Bounkani et du Tchologo, en améliorant l’accès à des services de santé et droits sexuels et reproductifs sensibles au genre et aux conflits. L’initiative agit auprès des structures de santé et des différents prestataires de soins pour améliorer leurs capacités à prendre en charge la santé et les droits sexuels et reproductifs, ainsi que les violences basées sur le genre. Les femmes, les jeunes, les relais communautaires et les leaders religieux sont aussi sensibilisés à ces questions en plus d’être formés en médiation et en gestion des conflits. Les activités de ce projet comprennent : 1) former les prestataires de santé sur l’identification et la prise en charge des survivantes de violence basée sur le genre; 2) offrir aux structures de santé des équipements, des produits de santé et de médicaments; 3) renforcer les capacités organisationnelles du Réseau des femmes médiatrices en sensibilisation et prise en charge des survivantes de violence basée sur le genre, et en intervention communautaire. Cette initiative profite directement à environ 1 000 personnes, dont 60 % de femmes, et indirectement aux 170 142 personnes résidant dans les communautés d’intervention des 2 régions ciblées par le projet.</w:t>
      </w:r>
    </w:p>
    <w:p>
      <w:pPr>
        <w:pStyle w:val="Heading2"/>
      </w:pPr>
      <w:r>
        <w:t>Transactions</w:t>
      </w:r>
    </w:p>
    <w:p>
      <w:r>
        <w:rPr>
          <w:b/>
        </w:rPr>
        <w:t xml:space="preserve">Date : </w:t>
      </w:r>
      <w:r>
        <w:t>2024-03-11T00:00:00</w:t>
      </w:r>
      <w:r>
        <w:rPr>
          <w:b/>
        </w:rPr>
        <w:t xml:space="preserve">Type : </w:t>
      </w:r>
      <w:r>
        <w:t>Engagement</w:t>
      </w:r>
      <w:r>
        <w:rPr>
          <w:b/>
        </w:rPr>
        <w:t xml:space="preserve"> Montant : </w:t>
      </w:r>
      <w:r>
        <w:t>3500000.00</w:t>
      </w:r>
    </w:p>
    <w:p>
      <w:r>
        <w:rPr>
          <w:b/>
        </w:rPr>
        <w:t xml:space="preserve">Date : </w:t>
      </w:r>
      <w:r>
        <w:t>2024-03-13T00:00:00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