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capacités de lutte contre la contrebande nucléaire en Ukraine</w:t>
      </w:r>
    </w:p>
    <w:p/>
    <w:p>
      <w:r>
        <w:rPr>
          <w:b/>
        </w:rPr>
        <w:t xml:space="preserve">Organisme : </w:t>
      </w:r>
      <w:r>
        <w:t>Affaires Mondiales Canada</w:t>
      </w:r>
    </w:p>
    <w:p>
      <w:r>
        <w:rPr>
          <w:b/>
        </w:rPr>
        <w:t xml:space="preserve">Numero de projet : </w:t>
      </w:r>
      <w:r>
        <w:t>CA-3-P013651001</w:t>
      </w:r>
    </w:p>
    <w:p>
      <w:r>
        <w:rPr>
          <w:b/>
        </w:rPr>
        <w:t xml:space="preserve">Lieu : </w:t>
      </w:r>
      <w:r/>
    </w:p>
    <w:p>
      <w:r>
        <w:rPr>
          <w:b/>
        </w:rPr>
        <w:t xml:space="preserve">Agence executive partenaire : </w:t>
      </w:r>
      <w:r>
        <w:t xml:space="preserve">United States Departmentof Energy </w:t>
      </w:r>
    </w:p>
    <w:p>
      <w:r>
        <w:rPr>
          <w:b/>
        </w:rPr>
        <w:t xml:space="preserve">Type de financement : </w:t>
      </w:r>
      <w:r>
        <w:t>Don hors réorganisation de la dette (y compris quasi-dons)</w:t>
      </w:r>
    </w:p>
    <w:p>
      <w:r>
        <w:rPr>
          <w:b/>
        </w:rPr>
        <w:t xml:space="preserve">Dates : </w:t>
      </w:r>
      <w:r>
        <w:t>2023-12-18T00:00:00 au 2025-12-31T00:00:00</w:t>
      </w:r>
    </w:p>
    <w:p>
      <w:r>
        <w:rPr>
          <w:b/>
        </w:rPr>
        <w:t xml:space="preserve">Engagement : </w:t>
      </w:r>
      <w:r>
        <w:t>4000000.00</w:t>
      </w:r>
    </w:p>
    <w:p>
      <w:r>
        <w:rPr>
          <w:b/>
        </w:rPr>
        <w:t xml:space="preserve">Total envoye en $ : </w:t>
      </w:r>
      <w:r>
        <w:t>4000000.0</w:t>
      </w:r>
    </w:p>
    <w:p>
      <w:r>
        <w:rPr>
          <w:b/>
        </w:rPr>
        <w:t xml:space="preserve">Description : </w:t>
      </w:r>
      <w:r>
        <w:t>Ce projet vise à réduire la menace que font peser les matières nucléaires ou radiologiques volées ou faisant l’objet d’un trafic illicite sur les populations de l’Ukraine et des pays voisins. Il concerne les régions confrontées à des menaces imminentes et à des vulnérabilités en matière de sécurité, notamment à proximité d’installations nucléaires sensibles et des grandes villes d’Ukraine les plus peuplées. Les activités de ce projet comprennent : 1) fournir du matériel de détection des rayonnements, de communication et d’équipement de patrouille, ainsi que des véhicules de détection mobile au ministère des Situations d’urgence de l’Ukraine; 2) donner une formation connexe sur le fonctionnement et l’entretien du matériel.</w:t>
      </w:r>
    </w:p>
    <w:p>
      <w:pPr>
        <w:pStyle w:val="Heading2"/>
      </w:pPr>
      <w:r>
        <w:t>Transactions</w:t>
      </w:r>
    </w:p>
    <w:p>
      <w:r>
        <w:rPr>
          <w:b/>
        </w:rPr>
        <w:t xml:space="preserve">Date : </w:t>
      </w:r>
      <w:r>
        <w:t>2023-12-18T00:00:00</w:t>
      </w:r>
      <w:r>
        <w:rPr>
          <w:b/>
        </w:rPr>
        <w:t xml:space="preserve">Type : </w:t>
      </w:r>
      <w:r>
        <w:t>Engagement</w:t>
      </w:r>
      <w:r>
        <w:rPr>
          <w:b/>
        </w:rPr>
        <w:t xml:space="preserve"> Montant : </w:t>
      </w:r>
      <w:r>
        <w:t>4000000.00</w:t>
      </w:r>
    </w:p>
    <w:p>
      <w:r>
        <w:rPr>
          <w:b/>
        </w:rPr>
        <w:t xml:space="preserve">Date : </w:t>
      </w:r>
      <w:r>
        <w:t>2024-01-03T00:00:00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