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au Code de conduite sur la sûreté et la sécurité des sources radioactives de 2021 à 2024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CA-3-P009598001</w:t>
      </w:r>
    </w:p>
    <w:p>
      <w:r>
        <w:rPr>
          <w:b/>
        </w:rPr>
        <w:t xml:space="preserve">Lieu : </w:t>
      </w:r>
      <w:r>
        <w:t>Afrique, régional, Amérique du Sud, régional, Extrême-Orient, régional</w:t>
      </w:r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2021-03-18T00:00:00 au 2025-06-30T00:00:00</w:t>
      </w:r>
    </w:p>
    <w:p>
      <w:r>
        <w:rPr>
          <w:b/>
        </w:rPr>
        <w:t xml:space="preserve">Engagement : </w:t>
      </w:r>
      <w:r>
        <w:t>3988000.00</w:t>
      </w:r>
    </w:p>
    <w:p>
      <w:r>
        <w:rPr>
          <w:b/>
        </w:rPr>
        <w:t xml:space="preserve">Total envoye en $ : </w:t>
      </w:r>
      <w:r>
        <w:t>3988000.0</w:t>
      </w:r>
    </w:p>
    <w:p>
      <w:r>
        <w:rPr>
          <w:b/>
        </w:rPr>
        <w:t xml:space="preserve">Description : </w:t>
      </w:r>
      <w:r>
        <w:t>Ce projet permet au Canada de continuer à soutenir le Code de conduite sur la sûreté et la sécurité des sources radioactives (le Code) de l’Agence internationale de l’énergie atomique (AIEA). Les activités de ce projet comprennent  : 1) élaborer des documents d’orientation sur la mise en œuvre des dispositions du Code et de ses lignes directrices supplémentaires; 2) élaborer des pratiques exemplaires nationales sur la mise en œuvre du Code et de ses lignes directrices supplémentaires; 3) développer des outils d’auto-évaluation et d’évaluation par les pairs relatifs au Code et à ses lignes directrices; 4) organiser une série de réunions régionales et internationales sur la sûreté et la sécurité des sources radioactives; 5) fournir des formations aux points de contact nationaux sur le contrôle des sources radioactives afin de faciliter la coopération et la coordination étroites entre les États membres; 6) tenir à jour la liste des points de contact nationaux publiée par l’AIEA.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3988000.00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1900000.00</w:t>
      </w:r>
    </w:p>
    <w:p>
      <w:r>
        <w:rPr>
          <w:b/>
        </w:rPr>
        <w:t xml:space="preserve">Date : </w:t>
      </w:r>
      <w:r>
        <w:t>2022-09-07T00:00:00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2088000.00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