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Eau, assainissement et hygiène II – 2022 to 2024</w:t>
      </w:r>
    </w:p>
    <w:p/>
    <w:p>
      <w:r>
        <w:rPr>
          <w:b/>
        </w:rPr>
        <w:t xml:space="preserve">Organisme : </w:t>
      </w:r>
      <w:r>
        <w:t>Affaires Mondiales Canada</w:t>
      </w:r>
    </w:p>
    <w:p>
      <w:r>
        <w:rPr>
          <w:b/>
        </w:rPr>
        <w:t xml:space="preserve">Numero de projet : </w:t>
      </w:r>
      <w:r>
        <w:t>CA-3-P011428001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2022-05-25T00:00:00 au 2024-03-31T00:00:00</w:t>
      </w:r>
    </w:p>
    <w:p>
      <w:r>
        <w:rPr>
          <w:b/>
        </w:rPr>
        <w:t xml:space="preserve">Engagement : </w:t>
      </w:r>
      <w:r>
        <w:t>5000000.00</w:t>
      </w:r>
    </w:p>
    <w:p>
      <w:r>
        <w:rPr>
          <w:b/>
        </w:rPr>
        <w:t xml:space="preserve">Total envoye en $ : </w:t>
      </w:r>
      <w:r>
        <w:t>5000000.0</w:t>
      </w:r>
    </w:p>
    <w:p>
      <w:r>
        <w:rPr>
          <w:b/>
        </w:rPr>
        <w:t xml:space="preserve">Description : </w:t>
      </w:r>
      <w:r>
        <w:t>Février 2022 – La crise qui sévit actuellement en Syrie continue de provoquer des déplacements et de créer des besoins humanitaires dans tout le pays. Plus de 11 ans après le début du conflit, on estime à 14 millions le nombre de personnes qui ont encore besoin d’une aide humanitaire d’urgence en Syrie. Les années de conflit actif et de déplacements ont exacerbé les risques en matière de protection et aggravé la vulnérabilité de millions de personnes. L’accès de l’aide humanitaire aux personnes qui en ont le plus besoin demeure un défi de taille.  Avec le soutien d’AMC, ce projet vise à fournir du soutien multisectoriel, vital et adapté au genre à un maximum de 176 925 bénéficiaires. Les activités de ce projet comprennent: 1) fournir des services de soins de santé primaires et secondaires, y compris un soutien en matière de santé sexuelle et reproductive; 2) fournir des services intégrés de santé mentale et de services psychosociaux; 3) fournir des services d’eau, d’assainissement et d’hygiène, y compris la distribution de trousses d’hygiène; 4) fournir un soutien psychosocial et des services spécialisés aux victimes de violence fondée sur le genre, notamment en sensibilisant la population aux questions de prévention de la violence fondée sur le genre et de protection de l’enfance.</w:t>
      </w:r>
    </w:p>
    <w:p>
      <w:pPr>
        <w:pStyle w:val="Heading2"/>
      </w:pPr>
      <w:r>
        <w:t>Transactions</w:t>
      </w:r>
    </w:p>
    <w:p>
      <w:r>
        <w:rPr>
          <w:b/>
        </w:rPr>
        <w:t xml:space="preserve">Date : </w:t>
      </w:r>
      <w:r>
        <w:t>2022-05-25T00:00:00</w:t>
      </w:r>
      <w:r>
        <w:rPr>
          <w:b/>
        </w:rPr>
        <w:t xml:space="preserve">Type : </w:t>
      </w:r>
      <w:r>
        <w:t>Engagement</w:t>
      </w:r>
      <w:r>
        <w:rPr>
          <w:b/>
        </w:rPr>
        <w:t xml:space="preserve"> Montant : </w:t>
      </w:r>
      <w:r>
        <w:t>5000000.00</w:t>
      </w:r>
    </w:p>
    <w:p>
      <w:r>
        <w:rPr>
          <w:b/>
        </w:rPr>
        <w:t xml:space="preserve">Date : </w:t>
      </w:r>
      <w:r>
        <w:t>2022-05-26T00:00:00</w:t>
      </w:r>
      <w:r>
        <w:rPr>
          <w:b/>
        </w:rPr>
        <w:t xml:space="preserve">Type : </w:t>
      </w:r>
      <w:r>
        <w:t>Déboursé</w:t>
      </w:r>
      <w:r>
        <w:rPr>
          <w:b/>
        </w:rPr>
        <w:t xml:space="preserve"> Montant : </w:t>
      </w:r>
      <w:r>
        <w:t>2500000.00</w:t>
      </w:r>
    </w:p>
    <w:p>
      <w:r>
        <w:rPr>
          <w:b/>
        </w:rPr>
        <w:t xml:space="preserve">Date : </w:t>
      </w:r>
      <w:r>
        <w:t>2023-07-24T00:00:00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