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Ukraine – Réponse au barrage de Kakhovka – Fonds des Nations unies pour l'enfance 2023</w:t>
      </w:r>
    </w:p>
    <w:p/>
    <w:p>
      <w:r>
        <w:rPr>
          <w:b/>
        </w:rPr>
        <w:t xml:space="preserve">Organisme : </w:t>
      </w:r>
      <w:r>
        <w:t>Affaires Mondiales Canada</w:t>
      </w:r>
    </w:p>
    <w:p>
      <w:r>
        <w:rPr>
          <w:b/>
        </w:rPr>
        <w:t xml:space="preserve">Numero de projet : </w:t>
      </w:r>
      <w:r>
        <w:t>CA-3-P013282001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2023-08-14T00:00:00 au 2024-08-31T00:00:00</w:t>
      </w:r>
    </w:p>
    <w:p>
      <w:r>
        <w:rPr>
          <w:b/>
        </w:rPr>
        <w:t xml:space="preserve">Engagement : </w:t>
      </w:r>
      <w:r>
        <w:t>5000000.00</w:t>
      </w:r>
    </w:p>
    <w:p>
      <w:r>
        <w:rPr>
          <w:b/>
        </w:rPr>
        <w:t xml:space="preserve">Total envoye en $ : </w:t>
      </w:r>
      <w:r>
        <w:t>5000000.0</w:t>
      </w:r>
    </w:p>
    <w:p>
      <w:r>
        <w:rPr>
          <w:b/>
        </w:rPr>
        <w:t xml:space="preserve">Description : </w:t>
      </w:r>
      <w:r>
        <w:t>6 juin 2023 – Des explosions au barrage de Kakhovka ont détruit la structure hydroélectrique et provoqué des inondations à grande échelle le long de la partie inférieure du fleuve Dnipro en raison de la libération de l’eau du réservoir de Kakhovka. Par conséquent, 40 000 personnes touchées par les inondations ont besoin de services essentiels d’assainissement et d’hygiène, et 700 000 personnes qui dépendent du réservoir de Kakhovka n’ont pas d’accès à l’eau.  L’UNICEF a lancé des activités d’intervention d’urgence dans les oblasts de Kherson, de Mykolaïv et de Dnipropetrov dans les zones touchées par les inondations et les zones de première ligne, pour une durée d’un an. Grâce au soutien d’AMC, l’UNICEF rejoindra 500 000 personnes touchées par la destruction du barrage de Kakhovka. Les activités de ce projet comprennent : 1) fournir de l'eau par camion en urgence; 2) fournir de l'eau, de l'assainissement et des produits d'hygiène tels que de l'eau en bouteille, des kits d'hygiène, des réservoirs d'eau et des consommables pour la purification de l'eau; 3) effectuer une réhabilitation d'urgence à petite échelle des infrastructures d’approvisionnement en eau, d’assainissement et d’hygiène; 4) fournir des services de protection de l'enfance; 5) fournir des services de santé mentale et d'aide psychosociale.</w:t>
      </w:r>
    </w:p>
    <w:p>
      <w:pPr>
        <w:pStyle w:val="Heading2"/>
      </w:pPr>
      <w:r>
        <w:t>Transactions</w:t>
      </w:r>
    </w:p>
    <w:p>
      <w:r>
        <w:rPr>
          <w:b/>
        </w:rPr>
        <w:t xml:space="preserve">Date : </w:t>
      </w:r>
      <w:r>
        <w:t>2023-08-14T00:00:00</w:t>
      </w:r>
      <w:r>
        <w:rPr>
          <w:b/>
        </w:rPr>
        <w:t xml:space="preserve">Type : </w:t>
      </w:r>
      <w:r>
        <w:t>Engagement</w:t>
      </w:r>
      <w:r>
        <w:rPr>
          <w:b/>
        </w:rPr>
        <w:t xml:space="preserve"> Montant : </w:t>
      </w:r>
      <w:r>
        <w:t>5000000.00</w:t>
      </w:r>
    </w:p>
    <w:p>
      <w:r>
        <w:rPr>
          <w:b/>
        </w:rPr>
        <w:t xml:space="preserve">Date : </w:t>
      </w:r>
      <w:r>
        <w:t>2023-08-15T00:00:00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