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Au-delà des frontières : Espaces pour les filles et améliorer l'éducation à la frontière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CA-3-P006902001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Save the Children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2020-03-19T00:00:00 au 2022-12-31T00:00:00</w:t>
      </w:r>
    </w:p>
    <w:p>
      <w:r>
        <w:rPr>
          <w:b/>
        </w:rPr>
        <w:t xml:space="preserve">Engagement : </w:t>
      </w:r>
      <w:r>
        <w:t>10633994.33</w:t>
      </w:r>
    </w:p>
    <w:p>
      <w:r>
        <w:rPr>
          <w:b/>
        </w:rPr>
        <w:t xml:space="preserve">Total envoye en $ : </w:t>
      </w:r>
      <w:r>
        <w:t>10506284.0</w:t>
      </w:r>
    </w:p>
    <w:p>
      <w:r>
        <w:rPr>
          <w:b/>
        </w:rPr>
        <w:t xml:space="preserve">Description : </w:t>
      </w:r>
      <w:r>
        <w:t>Ce projet vise à améliorer la réalisation du droit à un apprentissage sans danger, sensible au genre et de qualité pour les filles de 5 à 18 ans touchées par la crise et le conflit à la frontière Colombie-Venezuela. Ce projet répond à deux crises humanitaires majeures auxquelles la Colombie est confrontée, soit la crise migratoire provoquée par l'arrivée de millions de migrants mixtes vénézuéliens; et le conflit armé interne, qui existe depuis plus de 50 ans et qui a entraîné plus de 8 millions de personnes déplacées à l'intérieur du pays.  Les activités du projet comprennent: 1) la promotion de communications communautaires pour le changement social et comportemental et de campagnes d’inscription scolaire afin de promouvoir l’éducation des filles; 2) l’appui aux clubs communautaires et les espaces sans danger où les filles non scolarisées peuvent acquérir des compétences sociales positives et faciliter la transition vers les établissements d'enseignement; 3) fournir une formation aux filles sur les compétences socio-émotionnelles et similaires, l'égalité des sexes, la violence sexiste (VBG), la participation et les droits à l'éducation; 4) la distribution de ressources essentielles nécessaires pour accéder à l'éducation, telles que les trousses de gestion de l'hygiène menstruelle; 5) la schématisation des voies d'orientation vers les services de protection de l'enfance et de santé sexuelle et reproductive des adolescents; 6) la formation des enseignants sur les stratégies d’enseignement et d’apprentissage sensibles au genre; 7) l’élaboration de campagnes de sensibilisation du public aux niveaux local et national pour lutter contre la xénophobie et la discrimination.  Les principales bénéficiaires du projet sont les filles de 5 à 18 ans touchées par la crise, scolarisées et non scolarisées, et à risque de ne pas réaliser leur droit à l’éducation et à l’apprentissage.  Ce projet devrait atteindre 30,403 bénéficiaires directs, dont 1,022 femmes, 746 hommes et 28,635 enfants de 5 à 18 ans (dont 15,755 filles).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2020-03-19T00:00:00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10633994.33</w:t>
      </w:r>
    </w:p>
    <w:p>
      <w:r>
        <w:rPr>
          <w:b/>
        </w:rPr>
        <w:t xml:space="preserve">Date : </w:t>
      </w:r>
      <w:r>
        <w:t>2020-03-31T00:00:00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4800000.00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5176284.00</w:t>
      </w:r>
    </w:p>
    <w:p>
      <w:r>
        <w:rPr>
          <w:b/>
        </w:rPr>
        <w:t xml:space="preserve">Date : </w:t>
      </w:r>
      <w:r>
        <w:t>2023-05-31T00:00:00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