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Réponse nutritionnelle aux risques de famine – Save the Children 2022-23</w:t>
      </w:r>
    </w:p>
    <w:p/>
    <w:p>
      <w:r>
        <w:rPr>
          <w:b/>
        </w:rPr>
        <w:t xml:space="preserve">Organisme : </w:t>
      </w:r>
      <w:r>
        <w:t>Affaires Mondiales Canada</w:t>
      </w:r>
    </w:p>
    <w:p>
      <w:r>
        <w:rPr>
          <w:b/>
        </w:rPr>
        <w:t xml:space="preserve">Numero de projet : </w:t>
      </w:r>
      <w:r>
        <w:t>CA-3-P011406001</w:t>
      </w:r>
    </w:p>
    <w:p>
      <w:r>
        <w:rPr>
          <w:b/>
        </w:rPr>
        <w:t xml:space="preserve">Lieu : </w:t>
      </w:r>
      <w:r/>
    </w:p>
    <w:p>
      <w:r>
        <w:rPr>
          <w:b/>
        </w:rPr>
        <w:t xml:space="preserve">Agence executive partenaire : </w:t>
      </w:r>
      <w:r>
        <w:t xml:space="preserve">Save the Children Canada </w:t>
      </w:r>
    </w:p>
    <w:p>
      <w:r>
        <w:rPr>
          <w:b/>
        </w:rPr>
        <w:t xml:space="preserve">Type de financement : </w:t>
      </w:r>
      <w:r>
        <w:t>Don hors réorganisation de la dette (y compris quasi-dons)</w:t>
      </w:r>
    </w:p>
    <w:p>
      <w:r>
        <w:rPr>
          <w:b/>
        </w:rPr>
        <w:t xml:space="preserve">Dates : </w:t>
      </w:r>
      <w:r>
        <w:t>2022-03-28T00:00:00 au 2024-03-31T00:00:00</w:t>
      </w:r>
    </w:p>
    <w:p>
      <w:r>
        <w:rPr>
          <w:b/>
        </w:rPr>
        <w:t xml:space="preserve">Engagement : </w:t>
      </w:r>
      <w:r>
        <w:t>17000000.00</w:t>
      </w:r>
    </w:p>
    <w:p>
      <w:r>
        <w:rPr>
          <w:b/>
        </w:rPr>
        <w:t xml:space="preserve">Total envoye en $ : </w:t>
      </w:r>
      <w:r>
        <w:t>17000000.0</w:t>
      </w:r>
    </w:p>
    <w:p>
      <w:r>
        <w:rPr>
          <w:b/>
        </w:rPr>
        <w:t xml:space="preserve">Description : </w:t>
      </w:r>
      <w:r>
        <w:t>Février 2022 – Avant la pandémie de COVID-19, les besoins humanitaires, notamment ceux liés à la sécurité alimentaire et à la nutrition, avaient déjà atteint des niveaux sans précédent. La pandémie a aggravé la situation en perturbant la production, l’approvisionnement et la distribution des denrées alimentaires, en déstabilisant les prix des aliments et en réduisant le pouvoir d’achat des pays et des consommateurs, exacerbant ainsi la dénutrition dans les pays à revenu faible et à revenu intermédiaire tels que la République démocratique du Congo (RDC), l’Éthiopie, le Soudan, Syrie, et le Yémen. En janvier 2021, l’UNICEF a fait état d’une réduction globale de 30 % en 2020 de la couverture des services essentiels de nutrition, dont les programmes d’alimentation scolaire, de suppléments en micronutriments et de promotion de la nutrition dans les pays à revenu faible ou intermédiaire. On estime qu’en 2022, la COVID-19 pourrait faire en sorte que 2,6 millions d’enfants supplémentaires souffrent d’un retard de croissance (taille inférieure à la normale) et 9,8 millions souffrent d’émaciation (poids insuffisant), et être à l’origine du décès de 168 000 enfants supplémentaires et de 2,1 millions de cas d’anémie maternelle dans le monde.  Avec le soutien d’AMC, Aide à l’enfance apporte une réponse multisectorielle aux besoins en matière de malnutrition aiguë en RDC, en Éthiopie, en Soudan, en Syrie, et au Yémen. Les activités du projet comprennent : 1) fournir des activités cliniques et de sensibilisation communautaire visant à prévenir, à cerner et à traiter la malnutrition aiguë, et prestation de services complémentaires; 2) fournir du soutien dans le domaine de l’approvisionnement en eau, de l’assainissement et de l’hygiène, 3) fournir des services de protection visant à atténuer les répercussions des crises nutritionnelles dans les communautés bénéficiaires en s’attaquant aux facteurs de vulnérabilité sous-jacents qui ont exacerbé ces crises.</w:t>
      </w:r>
    </w:p>
    <w:p>
      <w:pPr>
        <w:pStyle w:val="Heading2"/>
      </w:pPr>
      <w:r>
        <w:t>Transactions</w:t>
      </w:r>
    </w:p>
    <w:p>
      <w:r>
        <w:rPr>
          <w:b/>
        </w:rPr>
        <w:t xml:space="preserve">Date : </w:t>
      </w:r>
      <w:r>
        <w:t>2022-03-28T00:00:00</w:t>
      </w:r>
      <w:r>
        <w:rPr>
          <w:b/>
        </w:rPr>
        <w:t xml:space="preserve">Type : </w:t>
      </w:r>
      <w:r>
        <w:t>Engagement</w:t>
      </w:r>
      <w:r>
        <w:rPr>
          <w:b/>
        </w:rPr>
        <w:t xml:space="preserve"> Montant : </w:t>
      </w:r>
      <w:r>
        <w:t>17000000.00</w:t>
      </w:r>
    </w:p>
    <w:p>
      <w:r>
        <w:rPr>
          <w:b/>
        </w:rPr>
        <w:t xml:space="preserve">Date : </w:t>
      </w:r>
      <w:r>
        <w:t>2022-03-30T00:00:00</w:t>
      </w:r>
      <w:r>
        <w:rPr>
          <w:b/>
        </w:rPr>
        <w:t xml:space="preserve">Type : </w:t>
      </w:r>
      <w:r>
        <w:t>Déboursé</w:t>
      </w:r>
      <w:r>
        <w:rPr>
          <w:b/>
        </w:rPr>
        <w:t xml:space="preserve"> Montant : </w:t>
      </w:r>
      <w:r>
        <w:t>7000000.00</w:t>
      </w:r>
    </w:p>
    <w:p>
      <w:r>
        <w:rPr>
          <w:b/>
        </w:rPr>
        <w:t xml:space="preserve">Date : </w:t>
      </w:r>
      <w:r>
        <w:t>2022-10-28T00:00:00</w:t>
      </w:r>
      <w:r>
        <w:rPr>
          <w:b/>
        </w:rPr>
        <w:t xml:space="preserve">Type : </w:t>
      </w:r>
      <w:r>
        <w:t>Déboursé</w:t>
      </w:r>
      <w:r>
        <w:rPr>
          <w:b/>
        </w:rPr>
        <w:t xml:space="preserve"> Montant : </w:t>
      </w:r>
      <w:r>
        <w:t>3300000.00</w:t>
      </w:r>
    </w:p>
    <w:p>
      <w:r>
        <w:rPr>
          <w:b/>
        </w:rPr>
        <w:t xml:space="preserve">Date : </w:t>
      </w:r>
      <w:r>
        <w:t>2023-01-04T00:00:00</w:t>
      </w:r>
      <w:r>
        <w:rPr>
          <w:b/>
        </w:rPr>
        <w:t xml:space="preserve">Type : </w:t>
      </w:r>
      <w:r>
        <w:t>Déboursé</w:t>
      </w:r>
      <w:r>
        <w:rPr>
          <w:b/>
        </w:rPr>
        <w:t xml:space="preserve"> Montant : </w:t>
      </w:r>
      <w:r>
        <w:t>6700000.00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