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réponse et au rétablissement postpandémie (COVID-19) dans l’éducation</w:t>
      </w:r>
    </w:p>
    <w:p/>
    <w:p>
      <w:r>
        <w:rPr>
          <w:b/>
        </w:rPr>
        <w:t xml:space="preserve">Organisme : </w:t>
      </w:r>
      <w:r>
        <w:t>Affaires Mondiales Canada</w:t>
      </w:r>
    </w:p>
    <w:p>
      <w:r>
        <w:rPr>
          <w:b/>
        </w:rPr>
        <w:t xml:space="preserve">Numero de projet : </w:t>
      </w:r>
      <w:r>
        <w:t>CA-3-P011179001</w:t>
      </w:r>
    </w:p>
    <w:p>
      <w:r>
        <w:rPr>
          <w:b/>
        </w:rPr>
        <w:t xml:space="preserve">Lieu : </w:t>
      </w:r>
      <w:r/>
    </w:p>
    <w:p>
      <w:r>
        <w:rPr>
          <w:b/>
        </w:rPr>
        <w:t xml:space="preserve">Agence executive partenaire : </w:t>
      </w:r>
      <w:r>
        <w:t xml:space="preserve">UNICEF </w:t>
      </w:r>
    </w:p>
    <w:p>
      <w:r>
        <w:rPr>
          <w:b/>
        </w:rPr>
        <w:t xml:space="preserve">Type de financement : </w:t>
      </w:r>
      <w:r>
        <w:t>Don hors réorganisation de la dette (y compris quasi-dons)</w:t>
      </w:r>
    </w:p>
    <w:p>
      <w:r>
        <w:rPr>
          <w:b/>
        </w:rPr>
        <w:t xml:space="preserve">Dates : </w:t>
      </w:r>
      <w:r>
        <w:t>2022-03-07T00:00:00 au 2025-09-30T00:00:00</w:t>
      </w:r>
    </w:p>
    <w:p>
      <w:r>
        <w:rPr>
          <w:b/>
        </w:rPr>
        <w:t xml:space="preserve">Engagement : </w:t>
      </w:r>
      <w:r>
        <w:t>10000000.00</w:t>
      </w:r>
    </w:p>
    <w:p>
      <w:r>
        <w:rPr>
          <w:b/>
        </w:rPr>
        <w:t xml:space="preserve">Total envoye en $ : </w:t>
      </w:r>
      <w:r>
        <w:t>10000000.0</w:t>
      </w:r>
    </w:p>
    <w:p>
      <w:r>
        <w:rPr>
          <w:b/>
        </w:rPr>
        <w:t xml:space="preserve">Description : </w:t>
      </w:r>
      <w:r>
        <w:t>Ce projet garantit que les enfants et les adolescents du Bangladesh, principalement les plus vulnérables et marginalisés, bénéficient d’un meilleur accès et d’une meilleure utilisation de services d’éducation primaire et secondaire de qualité, inclusifs, sensibles au genre et aux perturbations, universels et résilients. La pandémie de COVID-19 exacerbe l’urgence liée à la perte d’éducation et aux mariages d’enfants au Bangladesh, et ce, malgré les efforts d’apprentissage à distance du gouvernement. Après avoir vécu près de deux ans dans des conditions de pandémie, les effets négatifs de la plus longue fermeture d’école (543 jours) au monde se font sentir plus que jamais. Environ sept millions d’élèves du primaire et du secondaire n’ayant pas un accès suffisant aux programmes et aux installations d’apprentissage à distance risquent fort de perdre leurs connaissances. En outre, la fermeture des écoles, le fait d’être isolés de leurs amis et des réseaux de soutien, ainsi que l’augmentation de la pauvreté, exposent les filles à un risque accru de mariage précoce, de violence conjugale et de grossesse précoce. Ce projet est conçu pour s’assurer que les écoles sont sûres en prévision de leur réouverture et qu’elles le demeurent après le retour des garçons et des filles. Le projet aide également les garçons et les filles à rattraper l’apprentissage perdu, et prévoit des installations sanitaires et d’hygiène essentielles pour faciliter le retour et le maintien des filles à l’école.  S’appuyant sur les initiatives en cours entreprises par le gouvernement du Bangladesh (GB) et d’autres intervenants, les activités du projet comprennent les suivantes : (1) doter les écoles et le système d’éducation des outils, des stratégies, des installations, des fournitures et des capacités nécessaires pour s’assurer que les écoles fonctionnent en toute sécurité et en totale conformité avec les protocoles de prévention de la COVID-19; (2) procurer du matériel d’hygiène dans 15 000 écoles et renforcer les installations d’eau, d’hygiène et d’assainissement (WASH) dans 200 écoles; (3) mettre en œuvre une approche globale à l’égard du bien-être ainsi qu’un cadre relatif à l’éducation et à la réduction des risques de catastrophe lors de situations d’urgence; (4) mettre en place des systèmes de surveillance électronique et prévoir des mécanismes d’orientation ainsi que des plateformes d’apprentissage « C2C » (d’enfant à enfant) dans 50 écoles; (5) former 300 fonctionnaires du gouvernement sur le Plan d’action pour l’égalité des genres et l’éducation inclusive; (6) mesurer la perte d’apprentissage et les conséquences connexes dans 100 écoles, insister pour que l’on corrige les pertes d’apprentissage, et concevoir et diffuser des trousses et du matériel de rattrapage à 40 000 étudiants, et; (7) élaborer et diffuser le Plan directeur de l’éducation mixte du GB, ainsi qu’un programme de renforcement des capacités à l’intention de plus de 2 400 fonctionnaires du gouvernement et décideurs sur la production de données, la consignation des connaissances, le Plan directeur de l’éducation mixte et le renforcement des dispositions d’apprentissage à distance et mixte.  Les interventions susmentionnées devraient bénéficier indirectement à tous les enfants des écoles primaires et secondaires, soit environ 3 000 000 élèves dans 15 000 écoles.</w:t>
      </w:r>
    </w:p>
    <w:p>
      <w:pPr>
        <w:pStyle w:val="Heading2"/>
      </w:pPr>
      <w:r>
        <w:t>Transactions</w:t>
      </w:r>
    </w:p>
    <w:p>
      <w:r>
        <w:rPr>
          <w:b/>
        </w:rPr>
        <w:t xml:space="preserve">Date : </w:t>
      </w:r>
      <w:r>
        <w:t>2022-03-07T00:00:00</w:t>
      </w:r>
      <w:r>
        <w:rPr>
          <w:b/>
        </w:rPr>
        <w:t xml:space="preserve">Type : </w:t>
      </w:r>
      <w:r>
        <w:t>Engagement</w:t>
      </w:r>
      <w:r>
        <w:rPr>
          <w:b/>
        </w:rPr>
        <w:t xml:space="preserve"> Montant : </w:t>
      </w:r>
      <w:r>
        <w:t>10000000.00</w:t>
      </w:r>
    </w:p>
    <w:p>
      <w:r>
        <w:rPr>
          <w:b/>
        </w:rPr>
        <w:t xml:space="preserve">Date : </w:t>
      </w:r>
      <w:r>
        <w:t>2022-03-30T00:00:00</w:t>
      </w:r>
      <w:r>
        <w:rPr>
          <w:b/>
        </w:rPr>
        <w:t xml:space="preserve">Type : </w:t>
      </w:r>
      <w:r>
        <w:t>Déboursé</w:t>
      </w:r>
      <w:r>
        <w:rPr>
          <w:b/>
        </w:rPr>
        <w:t xml:space="preserve"> Montant : </w:t>
      </w:r>
      <w:r>
        <w:t>6000000.00</w:t>
      </w:r>
    </w:p>
    <w:p>
      <w:r>
        <w:rPr>
          <w:b/>
        </w:rPr>
        <w:t xml:space="preserve">Date : </w:t>
      </w:r>
      <w:r>
        <w:t>2023-02-02T00:00:00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