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Des services de police de confiance, responsables et résilients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CA-3-P012326001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Agriteam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2023-01-29T00:00:00 au 2025-03-31T00:00:00</w:t>
      </w:r>
    </w:p>
    <w:p>
      <w:r>
        <w:rPr>
          <w:b/>
        </w:rPr>
        <w:t xml:space="preserve">Engagement : </w:t>
      </w:r>
      <w:r>
        <w:t>4799895.00</w:t>
      </w:r>
    </w:p>
    <w:p>
      <w:r>
        <w:rPr>
          <w:b/>
        </w:rPr>
        <w:t xml:space="preserve">Total envoye en $ : </w:t>
      </w:r>
      <w:r>
        <w:t>4319905.5</w:t>
      </w:r>
    </w:p>
    <w:p>
      <w:r>
        <w:rPr>
          <w:b/>
        </w:rPr>
        <w:t xml:space="preserve">Description : </w:t>
      </w:r>
      <w:r>
        <w:t>Ce projet vise à accroître la sécurité et la sûreté des femmes, des filles, des hommes et des garçons en Ukraine. Le projet aide le ministère de l’Intérieur et la police nationale de l’Ukraine à répondre efficacement aux besoins de la population en matière de sécurité face à l’agression russe. Les activités du projet comprennent : 1) fournir une assistance technique et de l’équipement à la police nationale de l’Ukraine pour remédier efficacement aux cas de violences sexuelles liées au conflit; 2) donner des avis et des conseils à la police nationale de l’Ukraine et au ministère de l’Intérieur sur la façon de remplir les conditions requises en matière de réforme policière pour que l’Ukraine puisse adhérer à l’Union européenne; 3) appuyer l’élargissement de la communauté de pratique en santé psychologique entre pairs policiers, accroître la viabilité à long terme de cette communauté de pratique et permettre à la police de prodiguer les premiers soins en santé psychologique aux communautés touchées par le conflit; 4) accroître la capacité de la police nationale de l’Ukraine à adapter et mettre en œuvre la stratégie nationale de police communautaire et à résoudre efficacement les problèmes de sécurité publique liés à la guerre; 5) élargir le réseau de centres de sécurité communautaire qui rassemblent la police et les intervenants communautaires pour faire face aux problèmes de sécurité recensés dans leurs communautés respectives, y compris dans les zones nouvellement libérées et dans les communautés touchées par le conflit.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2023-01-29T00:00:00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4799895.00</w:t>
      </w:r>
    </w:p>
    <w:p>
      <w:r>
        <w:rPr>
          <w:b/>
        </w:rPr>
        <w:t xml:space="preserve">Date : </w:t>
      </w:r>
      <w:r>
        <w:t>2023-02-28T00:00:00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1547421.00</w:t>
      </w:r>
    </w:p>
    <w:p>
      <w:r>
        <w:rPr>
          <w:b/>
        </w:rPr>
        <w:t xml:space="preserve">Date : </w:t>
      </w:r>
      <w:r>
        <w:t>2023-08-11T00:00:00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512226.31</w:t>
      </w:r>
    </w:p>
    <w:p>
      <w:r>
        <w:rPr>
          <w:b/>
        </w:rPr>
        <w:t xml:space="preserve">Date : </w:t>
      </w:r>
      <w:r>
        <w:t>2024-02-16T00:00:00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1547087.42</w:t>
      </w:r>
    </w:p>
    <w:p>
      <w:r>
        <w:rPr>
          <w:b/>
        </w:rPr>
        <w:t xml:space="preserve">Date : </w:t>
      </w:r>
      <w:r>
        <w:t>2024-08-15T00:00:00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713170.77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