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des capacités nationales durable et sensible au genre de déminage humanitaire en Ukraine</w:t>
      </w:r>
    </w:p>
    <w:p/>
    <w:p>
      <w:r>
        <w:rPr>
          <w:b/>
        </w:rPr>
        <w:t xml:space="preserve">Organisme : </w:t>
      </w:r>
      <w:r>
        <w:t>Affaires Mondiales Canada</w:t>
      </w:r>
    </w:p>
    <w:p>
      <w:r>
        <w:rPr>
          <w:b/>
        </w:rPr>
        <w:t xml:space="preserve">Numero de projet : </w:t>
      </w:r>
      <w:r>
        <w:t>CA-3-P014408001</w:t>
      </w:r>
    </w:p>
    <w:p>
      <w:r>
        <w:rPr>
          <w:b/>
        </w:rPr>
        <w:t xml:space="preserve">Lieu : </w:t>
      </w:r>
      <w:r/>
    </w:p>
    <w:p>
      <w:r>
        <w:rPr>
          <w:b/>
        </w:rPr>
        <w:t xml:space="preserve">Agence executive partenaire : </w:t>
      </w:r>
      <w:r>
        <w:t xml:space="preserve">MAG - Mines Advisory Group </w:t>
      </w:r>
    </w:p>
    <w:p>
      <w:r>
        <w:rPr>
          <w:b/>
        </w:rPr>
        <w:t xml:space="preserve">Type de financement : </w:t>
      </w:r>
      <w:r>
        <w:t>Don hors réorganisation de la dette (y compris quasi-dons)</w:t>
      </w:r>
    </w:p>
    <w:p>
      <w:r>
        <w:rPr>
          <w:b/>
        </w:rPr>
        <w:t xml:space="preserve">Dates : </w:t>
      </w:r>
      <w:r>
        <w:t>2024-05-08T00:00:00 au 2025-09-30T00:00:00</w:t>
      </w:r>
    </w:p>
    <w:p>
      <w:r>
        <w:rPr>
          <w:b/>
        </w:rPr>
        <w:t xml:space="preserve">Engagement : </w:t>
      </w:r>
      <w:r>
        <w:t>5000000.00</w:t>
      </w:r>
    </w:p>
    <w:p>
      <w:r>
        <w:rPr>
          <w:b/>
        </w:rPr>
        <w:t xml:space="preserve">Total envoye en $ : </w:t>
      </w:r>
      <w:r>
        <w:t>5000000.0</w:t>
      </w:r>
    </w:p>
    <w:p>
      <w:r>
        <w:rPr>
          <w:b/>
        </w:rPr>
        <w:t xml:space="preserve">Description : </w:t>
      </w:r>
      <w:r>
        <w:t>Le projet vise à remédier à la contamination généralisée par les mines terrestres et autres restes explosifs de guerre des zones libérées des régions de Donetsk, Kharkiv, Kherson et Mykolaiv en Ukraine. Le projet se concentre sur le renforcement des capacités institutionnelles et techniques d’une organisation non gouvernementale (ONG) nationale de lutte contre les mines, l’Association ukrainienne de déminage (AUD). Les activités de ce projet comprennent : 1) renforcer la capacité de l'AUD à mener des actions de sensibilisation aux risques liés aux munitions explosives, des enquêtes non techniques et techniques et des opérations de déminage conformément aux normes internationales de lutte contre les mines; 2) fournir une formation et un encadrement à l'AUD en matière de planification stratégique, de gestion financière, de gestion de l'information, de gestion des ressources humaines et de passation de marchés ; et (3) renforcer la capacité de l'AUD à concevoir et à mettre en œuvre des opérations de lutte contre les mines tenant compte de l'égalité des sexes et des conflits en Ukraine.</w:t>
      </w:r>
    </w:p>
    <w:p>
      <w:pPr>
        <w:pStyle w:val="Heading2"/>
      </w:pPr>
      <w:r>
        <w:t>Transactions</w:t>
      </w:r>
    </w:p>
    <w:p>
      <w:r>
        <w:rPr>
          <w:b/>
        </w:rPr>
        <w:t xml:space="preserve">Date : </w:t>
      </w:r>
      <w:r>
        <w:t>2024-05-08T00:00:00</w:t>
      </w:r>
      <w:r>
        <w:rPr>
          <w:b/>
        </w:rPr>
        <w:t xml:space="preserve">Type : </w:t>
      </w:r>
      <w:r>
        <w:t>Engagement</w:t>
      </w:r>
      <w:r>
        <w:rPr>
          <w:b/>
        </w:rPr>
        <w:t xml:space="preserve"> Montant : </w:t>
      </w:r>
      <w:r>
        <w:t>5000000.00</w:t>
      </w:r>
    </w:p>
    <w:p>
      <w:r>
        <w:rPr>
          <w:b/>
        </w:rPr>
        <w:t xml:space="preserve">Date : </w:t>
      </w:r>
      <w:r>
        <w:t>2024-05-21T00:00:00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