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52"/>
          <w:szCs w:val="52"/>
          <w:u w:val="single"/>
          <w:vertAlign w:val="baseline"/>
          <w:rtl w:val="0"/>
        </w:rPr>
        <w:t xml:space="preserve">Mobile Oil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40"/>
          <w:szCs w:val="40"/>
          <w:vertAlign w:val="baseline"/>
          <w:rtl w:val="0"/>
        </w:rPr>
        <w:t xml:space="preserve">MOBILE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40"/>
          <w:szCs w:val="40"/>
          <w:vertAlign w:val="baseline"/>
          <w:rtl w:val="0"/>
        </w:rPr>
        <w:t xml:space="preserve">Plano de Gerenciamento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Versão 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4.0" w:type="dxa"/>
        <w:jc w:val="left"/>
        <w:tblInd w:w="-709.0" w:type="dxa"/>
        <w:tblLayout w:type="fixed"/>
        <w:tblLook w:val="0000"/>
      </w:tblPr>
      <w:tblGrid>
        <w:gridCol w:w="3409"/>
        <w:gridCol w:w="7365"/>
        <w:tblGridChange w:id="0">
          <w:tblGrid>
            <w:gridCol w:w="3409"/>
            <w:gridCol w:w="73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Equipe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Joseane Vilani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Fransuelio Nobre Frazão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Michael Fillip Quesado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Lucas Martiniano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 Lima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Antonio Siqueira de Morais Junior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Jonerson Guimarães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rFonts w:ascii="Tahoma" w:cs="Tahoma" w:eastAsia="Tahoma" w:hAnsi="Tahoma"/>
                  <w:color w:val="003399"/>
                  <w:u w:val="single"/>
                  <w:vertAlign w:val="baseline"/>
                  <w:rtl w:val="0"/>
                </w:rPr>
                <w:t xml:space="preserve">Josy.vilani@gmail.com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Histórico d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 atualização 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07.0" w:type="dxa"/>
        <w:jc w:val="center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350"/>
        <w:gridCol w:w="4395"/>
        <w:gridCol w:w="1458"/>
        <w:tblGridChange w:id="0">
          <w:tblGrid>
            <w:gridCol w:w="2304"/>
            <w:gridCol w:w="1350"/>
            <w:gridCol w:w="4395"/>
            <w:gridCol w:w="14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18/08/2015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Joseane Vilani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     19/08/2015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Criação do controle de mudança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vertAlign w:val="baseline"/>
                <w:rtl w:val="0"/>
              </w:rPr>
              <w:t xml:space="preserve">Ronan Jorge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Índice Analítico</w:t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Finalidade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Escopo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Definições, Acrônimos e Abreviações.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Referências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Visão Geral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Gerenciamento de Configuração de Software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Papéis na Gerencia de Configuração.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Ferramentas, Ambiente e Infra-estrutura.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As ferramentas a serem utilizadas para a gerência de configuração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Configuração do software – Ferramentas do ambiente de desenvolvimento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Estrutura do Ambiente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Configuração das maquinas dos ambientes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Identificação da Configuração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Convenção para rotular caminhos e artefatos na Estrutura de Diretórios do Produto.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Arquivos de aprovação dos artefatos.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Estrutura de Diretórios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2.3.4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Baselines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Controle de Configuração e Mudança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2.4.1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Processamento e Aprovação de Solicitações de Mudança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Comitê de Controle de Mudança (CCM)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Estimativa do Status de Configuração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Processo de Armazenamento de Mídia e Liberação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Marcos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Treinamento e Recursos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Controle de Software de Subcontratados e Fornecedores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vertAlign w:val="baseline"/>
          <w:rtl w:val="0"/>
        </w:rPr>
        <w:t xml:space="preserve">Plano de Gerenciamento de Configuração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4"/>
        </w:numPr>
        <w:spacing w:after="240" w:before="120" w:line="240" w:lineRule="auto"/>
        <w:ind w:left="284" w:hanging="284"/>
        <w:rPr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A finalidade deste documento é criar um padrão a ser seguido por todos os membros da equipe com o intuito de garantir o maior controle do produto no decorrer do projeto. 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Para que isso aconteça serão detalhados os recursos necessários (equipes, ferramentas e computadores), as responsabilidades atribuídas e o cronograma de atividades.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Escopo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Este Plano de Gerenciamento de Configuração é destinado para todos os integrantes da equipe responsáveis pelo desenvolvimento do sistema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Mobile Oil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 na disciplina de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Engenharia de Software II</w:t>
      </w:r>
      <w:r w:rsidDel="00000000" w:rsidR="00000000" w:rsidRPr="00000000">
        <w:rPr>
          <w:rFonts w:ascii="Tahoma" w:cs="Tahoma" w:eastAsia="Tahoma" w:hAnsi="Tahoma"/>
          <w:b w:val="0"/>
          <w:i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e abrange todo o controle e gerenciamento da configuração do projeto.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Definições, Acrônimos e Abreviações.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SCRUM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É um processo ágil que permite manter o foco na entrega do maior valor de negócio, no menor tempo possível.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GC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Gerência de Configuração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CCM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Comitê para o Controle de Mudanças.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Conjunto de itens de configuração que conseguiram um estado comprovado de estabilidade.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1036"/>
        </w:tabs>
        <w:spacing w:after="0" w:before="0" w:line="240" w:lineRule="auto"/>
        <w:ind w:left="1004" w:hanging="360"/>
        <w:rPr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z w:val="20"/>
          <w:szCs w:val="20"/>
          <w:vertAlign w:val="baseline"/>
          <w:rtl w:val="0"/>
        </w:rPr>
        <w:t xml:space="preserve">Template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 de Plano de Gerenciamento de Configuração, 1987-2001, IBM.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1036"/>
        </w:tabs>
        <w:spacing w:after="0" w:before="0" w:line="240" w:lineRule="auto"/>
        <w:ind w:left="1004" w:hanging="360"/>
        <w:rPr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Plano de Gerenciamento do Projeto -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Mobile Oil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, Versão 1.00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As próximas seções deste documento estão divididas conforme a tabela abaixo.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55"/>
        <w:tblGridChange w:id="0">
          <w:tblGrid>
            <w:gridCol w:w="1701"/>
            <w:gridCol w:w="7655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Seção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São relacionados os papéis, as responsabilidades das atividades e as ferramentas dentro da GC da Fábrica.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É apresentado como serão criadas e controladas as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Baselines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São abordados os detalhes sobre quando o Plano de Gerenciamento de Configuração deve ser atualizado.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Descreve as ferramentas de software, o pessoal e o treinamento necessários para implementar as atividades de CM especificadas.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Descreve de que forma o software desenvolvido fora do ambiente do projeto será incorporado.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4"/>
        </w:numPr>
        <w:spacing w:after="60" w:before="120" w:line="240" w:lineRule="auto"/>
        <w:ind w:left="284" w:hanging="284"/>
        <w:rPr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Gerenciamento de Configuração de Software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bookmarkStart w:colFirst="0" w:colLast="0" w:name="h.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Papéis na Gerencia de Configuração.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2268"/>
        <w:gridCol w:w="4648"/>
        <w:tblGridChange w:id="0">
          <w:tblGrid>
            <w:gridCol w:w="2552"/>
            <w:gridCol w:w="2268"/>
            <w:gridCol w:w="4648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Papéis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Gerente de Configuração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Ronan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Estabelecer Políticas de GC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Escrever Plano de GC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Configurar Ambiente de GC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Criar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Promover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Estabelecer Processo de Controle de Mudanças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Solicitação de Mudança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left" w:pos="1036"/>
              </w:tabs>
              <w:spacing w:after="0" w:before="0" w:line="240" w:lineRule="auto"/>
              <w:ind w:left="720" w:hanging="360"/>
              <w:contextualSpacing w:val="1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os padrões e procedimentos definidos no Plano de Gerência de Configuração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CCM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Enviar Solicitação de Mudança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Atualizar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Tabela 1: Responsáveis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center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60" w:before="120" w:line="240" w:lineRule="auto"/>
        <w:ind w:left="720" w:hanging="720"/>
        <w:rPr/>
      </w:pPr>
      <w:bookmarkStart w:colFirst="0" w:colLast="0" w:name="h.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Ferramentas, Ambiente e Infra-estrutura.</w:t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As ferramentas a serem utilizadas para a gerência de configuração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4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1605"/>
        <w:gridCol w:w="4620"/>
        <w:gridCol w:w="1134"/>
        <w:tblGridChange w:id="0">
          <w:tblGrid>
            <w:gridCol w:w="2127"/>
            <w:gridCol w:w="1605"/>
            <w:gridCol w:w="4620"/>
            <w:gridCol w:w="1134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Git-Hub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Controle de Versão.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17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Usado para gerenciar versões do software em desenvolvimento, provendo ambiente padronizado de versionamento.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Microsoft Office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Controle das tarefas desenvolvidas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17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Usado para um controle do que está sendo desenvolvido, e o que ainda resta para implementado.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1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Configuração do software – Ferramentas do ambiente de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3827"/>
        <w:gridCol w:w="1530"/>
        <w:tblGridChange w:id="0">
          <w:tblGrid>
            <w:gridCol w:w="4111"/>
            <w:gridCol w:w="3827"/>
            <w:gridCol w:w="1530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Sistema Operacional (Desenvolvimento)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Windows 10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Microsoft Office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Editor de Texto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Microsoft Office Word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Antvírus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Avira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8.2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Controle de Versão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Git-Hub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1.4.6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Plataforma de Desenvolvimento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Ferramenta: Visual Studio 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2008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FrameWork: DotNet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2.0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Linguagem: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2008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5.0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Comunicação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Whats App / Hangouts / Facebook /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2.12.84 / 4.0 / 3.8 /  5.375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>
          <w:highlight w:val="yellow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highlight w:val="yellow"/>
          <w:vertAlign w:val="baseline"/>
          <w:rtl w:val="0"/>
        </w:rPr>
        <w:t xml:space="preserve">Estrutura do Ambiente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3"/>
        <w:gridCol w:w="3664"/>
        <w:gridCol w:w="3827"/>
        <w:tblGridChange w:id="0">
          <w:tblGrid>
            <w:gridCol w:w="1723"/>
            <w:gridCol w:w="3664"/>
            <w:gridCol w:w="3827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Transição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É o ambiente que servirá para o desenvolvimento do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O componente atingirá a maturidade quando os requisitos forem supridos e testados pelos desenvolvedores através dos testes unitários.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Integração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É o ambiente que servirá para os testes de integração.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Quando a comunicação entre os módulos atinge o um estagio satisfatório de funcionamento, ou seja, não deverão existir erros de integração entre os subsistemas.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É o ambiente onde conterá o Banco de dados.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Ambiente que conterá o Banco de dados do sistema.  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Configuração das maquinas dos ambientes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2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843"/>
        <w:gridCol w:w="3118"/>
        <w:gridCol w:w="3391"/>
        <w:tblGridChange w:id="0">
          <w:tblGrid>
            <w:gridCol w:w="851"/>
            <w:gridCol w:w="1843"/>
            <w:gridCol w:w="3118"/>
            <w:gridCol w:w="3391"/>
          </w:tblGrid>
        </w:tblGridChange>
      </w:tblGrid>
      <w:tr>
        <w:trPr>
          <w:trHeight w:val="1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QTD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Ambientes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Configuração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Configuração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Desenvolvedor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Processador: 2.3 GHz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Memória RAM: 2GB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Hard Disk:  360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IP 192.168.0.2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Windows XP Professional SP2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Visual Studio 2008 / C#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SVN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TortoiseSVN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Office 2007 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Cliente Mysql  5.0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Crystal Report 2008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Avira 8.2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VMware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MSN Mensseger/ Windows Live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Integração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Processador: 2.3 GHz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Memória RAM: 2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Hard Disk:  360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IP 192.168.0.2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Windows XP Professional SP2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Visual Studio 2008 / C#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SVN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TortoiseSVN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Office 2007 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Cliente Mysql  5.0</w:t>
            </w:r>
          </w:p>
        </w:tc>
      </w:tr>
      <w:tr>
        <w:trPr>
          <w:trHeight w:val="1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Crystal Report 2008</w:t>
            </w:r>
          </w:p>
        </w:tc>
      </w:tr>
      <w:tr>
        <w:trPr>
          <w:trHeight w:val="1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Avira 8.2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VMware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MSN Mensseger/ Windows Live</w:t>
            </w:r>
          </w:p>
        </w:tc>
      </w:tr>
      <w:tr>
        <w:trPr>
          <w:trHeight w:val="4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Banco de Dados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Processador: 2.3 GHz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Memória RAM: 2 RAM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Hard Disk:  360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IP 192.168.0.2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Windows XP Professional SP2</w:t>
            </w:r>
          </w:p>
        </w:tc>
      </w:tr>
      <w:tr>
        <w:trPr>
          <w:trHeight w:val="4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Visual Studio 2008 / C#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widowControl w:val="0"/>
        <w:numPr>
          <w:ilvl w:val="1"/>
          <w:numId w:val="4"/>
        </w:numPr>
        <w:spacing w:after="240" w:before="120" w:line="240" w:lineRule="auto"/>
        <w:ind w:left="720" w:hanging="720"/>
        <w:rPr/>
      </w:pPr>
      <w:bookmarkStart w:colFirst="0" w:colLast="0" w:name="h.1ksv4uv" w:id="15"/>
      <w:bookmarkEnd w:id="15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Identificação da Configuração</w:t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>
          <w:highlight w:val="yellow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highlight w:val="yellow"/>
          <w:vertAlign w:val="baseline"/>
          <w:rtl w:val="0"/>
        </w:rPr>
        <w:t xml:space="preserve">Convenção para rotular caminhos e artefatos na Estrutura de Diretórios do Produto.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SIGEQ &gt;_&lt;AAA&gt;_&lt;TextoLivre&gt;.&lt;EST&gt;  Ou  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SIGEQ &gt;_&lt;AA&gt;_&lt;TextoLivre&gt;.&lt;EST&gt;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7229"/>
        <w:tblGridChange w:id="0">
          <w:tblGrid>
            <w:gridCol w:w="1985"/>
            <w:gridCol w:w="7229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Parte da Linha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&lt;SEP&gt;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Identifica o sistema. “SIGEQ - Sistema de Gerenciamento de Questões”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&lt;AAA&gt;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Significa o acrônimo de três letras (TLA) dos vários tipos de artefatos utilizados na criação do sistema.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&lt;TextoLivre&gt;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Significa texto Livre para a melhor identificação do documento. 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&lt;EST&gt;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Extensão do arquivo do documento.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Exemplo: SIGEQ_MCU_UC0001-ManterProdutos.doc –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Modelo de caso de manter Produtos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7324"/>
        <w:tblGridChange w:id="0">
          <w:tblGrid>
            <w:gridCol w:w="1890"/>
            <w:gridCol w:w="7324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Acrônimos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Termo de Abertura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PPR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Plano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CRN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MTD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Metodologia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Relatório de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ARN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Atas de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DVS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Documento de 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ECU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Modelo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GLS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Glossário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Manual de Implantação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ARQ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Documento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Modelo de Análise 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Modelo de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Manual de Instalação (implantação)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Projeto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Planilha de Execução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Plano de Gerência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NRT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Notas de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Registro das Solicitações de Mudanças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Relatório Individual de atuação no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Apresentação PowerPoint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FRM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Artefatos (Código fonte) camada onde ficam as telas do sistema.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Artefatos (Código fonte) camada onde ficam os relatórios gerados pelo sistema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BLD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Builds do sistema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Reliases do Sistema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>
          <w:highlight w:val="yellow"/>
        </w:rPr>
      </w:pPr>
      <w:bookmarkStart w:colFirst="0" w:colLast="0" w:name="h.44sinio" w:id="16"/>
      <w:bookmarkEnd w:id="16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highlight w:val="yellow"/>
          <w:vertAlign w:val="baseline"/>
          <w:rtl w:val="0"/>
        </w:rPr>
        <w:t xml:space="preserve">Arquivos de aprovação dos artefatos.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 aprovação do documento é dada pelo responsável do projeto através de uma revisão do artefato.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2jxsxqh" w:id="17"/>
      <w:bookmarkEnd w:id="17"/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“A aprovação será guardada em repositório com o nome do arquivo aprovado. O arquivo do tipo texto contendo o email enviado pelo responsável aprovando o documento.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Estrutura de Diretórios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4536"/>
        <w:gridCol w:w="3118"/>
        <w:tblGridChange w:id="0">
          <w:tblGrid>
            <w:gridCol w:w="1560"/>
            <w:gridCol w:w="4536"/>
            <w:gridCol w:w="3118"/>
          </w:tblGrid>
        </w:tblGridChange>
      </w:tblGrid>
      <w:tr>
        <w:trPr>
          <w:trHeight w:val="54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 Diretório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SubDiretório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Artefatos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Gerência de Configuração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Plano de Gerenciamento de  configuração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Notas de Releases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Gerência de Projetos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Documento de Visão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Plano de Projeto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Cronograma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Arquivos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solicitações de mudanças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Especificação de Caso de Uso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highlight w:val="yellow"/>
                <w:vertAlign w:val="baseline"/>
                <w:rtl w:val="0"/>
              </w:rPr>
              <w:t xml:space="preserve">  Modelo de Caso de Uso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especificação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Arquitetura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Documento de Arquitetura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120" w:line="240" w:lineRule="auto"/>
        <w:ind w:left="1440" w:firstLine="0"/>
        <w:contextualSpacing w:val="0"/>
      </w:pPr>
      <w:bookmarkStart w:colFirst="0" w:colLast="0" w:name="h.o46keep50q2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240" w:before="120" w:line="240" w:lineRule="auto"/>
        <w:ind w:left="720" w:hanging="720"/>
        <w:rPr>
          <w:highlight w:val="yellow"/>
        </w:rPr>
      </w:pPr>
      <w:bookmarkStart w:colFirst="0" w:colLast="0" w:name="h.z337ya" w:id="19"/>
      <w:bookmarkEnd w:id="19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highlight w:val="yellow"/>
          <w:vertAlign w:val="baseline"/>
          <w:rtl w:val="0"/>
        </w:rPr>
        <w:t xml:space="preserve">Baselines do Projeto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As baselines serão definidas em três fases.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520"/>
        <w:tblGridChange w:id="0">
          <w:tblGrid>
            <w:gridCol w:w="2694"/>
            <w:gridCol w:w="652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Fases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Itens de Configuração da Baseline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Documentação (Artefatos do projeto)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Arquitetura o projeto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Código fonte contendo apenas a arquitetura do Projeto.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  - Camadas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    - Garantia transacional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Release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Fontes do sistema pronto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Os Artefatos entrarão em baseline quando atingirem a forma mais estável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240" w:before="120" w:line="240" w:lineRule="auto"/>
        <w:ind w:left="720" w:hanging="720"/>
        <w:rPr>
          <w:highlight w:val="yellow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yellow"/>
          <w:vertAlign w:val="baseline"/>
          <w:rtl w:val="0"/>
        </w:rPr>
        <w:t xml:space="preserve">Controle de Configuração e Mudança</w:t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240" w:before="120" w:line="240" w:lineRule="auto"/>
        <w:ind w:left="720" w:hanging="720"/>
        <w:rPr/>
      </w:pPr>
      <w:bookmarkStart w:colFirst="0" w:colLast="0" w:name="h.1y810tw" w:id="21"/>
      <w:bookmarkEnd w:id="2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Processamento e Aprovação de Solicitações de Mudança</w:t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As solicitações de mudanças das 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Baselines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serão realizadas através da ferramenta 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Issues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disponibilizada pela Google através do endereço do repositório na qual terá o seguinte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left="-1134" w:firstLine="0"/>
        <w:contextualSpacing w:val="0"/>
      </w:pPr>
      <w:r w:rsidDel="00000000" w:rsidR="00000000" w:rsidRPr="00000000">
        <w:drawing>
          <wp:inline distB="0" distT="0" distL="114300" distR="114300">
            <wp:extent cx="7461885" cy="200977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Status do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206.0" w:type="dxa"/>
        <w:jc w:val="center"/>
        <w:tblInd w:w="-12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21"/>
        <w:gridCol w:w="4056"/>
        <w:gridCol w:w="2029"/>
        <w:tblGridChange w:id="0">
          <w:tblGrid>
            <w:gridCol w:w="3121"/>
            <w:gridCol w:w="4056"/>
            <w:gridCol w:w="202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Aberto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Criação da solicitação.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Em Analise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Análise da solicitação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972"/>
              </w:tabs>
              <w:spacing w:after="0" w:before="0" w:line="240" w:lineRule="auto"/>
              <w:ind w:right="-65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Analista de sistemas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Analisado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Aguardando desenvolvimento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972"/>
              </w:tabs>
              <w:spacing w:after="0" w:before="0" w:line="240" w:lineRule="auto"/>
              <w:ind w:right="-207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Em 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Solicitação sendo desenvolvida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Desenvolvedor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Desenvolvido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Aguardando teste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Desenvolvedor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Em testes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Solicitação em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Testador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Testado com erro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Aguardando 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Testador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Testado sem erro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Solicitação esperando finalização pelo analista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Testador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Finalizado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Solicitação finalizada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Analista</w:t>
            </w:r>
          </w:p>
        </w:tc>
      </w:tr>
    </w:tbl>
    <w:p w:rsidR="00000000" w:rsidDel="00000000" w:rsidP="00000000" w:rsidRDefault="00000000" w:rsidRPr="00000000">
      <w:pPr>
        <w:spacing w:after="240" w:before="120" w:lineRule="auto"/>
        <w:contextualSpacing w:val="0"/>
      </w:pPr>
      <w:bookmarkStart w:colFirst="0" w:colLast="0" w:name="h.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24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240" w:before="120" w:line="240" w:lineRule="auto"/>
        <w:ind w:left="720" w:hanging="72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Comitê de Controle de Mudança (CCM)</w:t>
      </w:r>
    </w:p>
    <w:p w:rsidR="00000000" w:rsidDel="00000000" w:rsidP="00000000" w:rsidRDefault="00000000" w:rsidRPr="00000000">
      <w:pPr>
        <w:spacing w:after="240" w:before="120" w:lineRule="auto"/>
        <w:ind w:left="0" w:firstLine="0"/>
        <w:contextualSpacing w:val="0"/>
      </w:pPr>
      <w:bookmarkStart w:colFirst="0" w:colLast="0" w:name="h.2xcytpi" w:id="23"/>
      <w:bookmarkEnd w:id="23"/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O comitê de Controle de Mudanças (CCM) será formado por Analista de sistemas e Gerente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240" w:before="120" w:line="240" w:lineRule="auto"/>
        <w:ind w:left="720" w:hanging="720"/>
        <w:rPr>
          <w:highlight w:val="yellow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yellow"/>
          <w:vertAlign w:val="baseline"/>
          <w:rtl w:val="0"/>
        </w:rPr>
        <w:t xml:space="preserve">Estimativa do Status de Configuração</w:t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4"/>
        </w:numPr>
        <w:spacing w:after="240" w:before="120" w:line="240" w:lineRule="auto"/>
        <w:ind w:left="720" w:hanging="720"/>
        <w:rPr/>
      </w:pPr>
      <w:bookmarkStart w:colFirst="0" w:colLast="0" w:name="h.1ci93xb" w:id="24"/>
      <w:bookmarkEnd w:id="24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Processo de Armazenamento de Mídia e Liberação do Projeto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O backup do repositório deverá ser feito toda semana pelo gerente de configuração. Os artefatos alterados durante a semana de trabalho será armazenado em mídia de CD. Um para cada Mês.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Os CDs deverão conter a seguinte descrição: a data e hora e a periodicidade.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Liberação de release: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Basicamente os projetos irão ser desenvolvidos e testados na main-line. Para gerar o release a versão em questão tem que estar devidamente testada, livre de erro e aprovado pelo analista responsável.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0" w:firstLine="0"/>
        <w:rPr>
          <w:rFonts w:ascii="Tahoma" w:cs="Tahoma" w:eastAsia="Tahoma" w:hAnsi="Tahoma"/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Aprovação de artefatos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  Será salvo no repositório um arquivo contendo uma copia do email do Orientador aprovando o artefato.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  Esse arquivo será do tipo Texto (.txt) e terá o mesmo nome do artefato a que se refere.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  Caso o artefato seja um arquivo texto (.txt) terá no final um “_”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0" w:firstLine="0"/>
        <w:rPr>
          <w:rFonts w:ascii="Tahoma" w:cs="Tahoma" w:eastAsia="Tahoma" w:hAnsi="Tahoma"/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Especificação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As máquinas devem conter o mínimo da configuração especificada nesse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2.5.3 Repositório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  <w:jc w:val="both"/>
      </w:pPr>
      <w:bookmarkStart w:colFirst="0" w:colLast="0" w:name="h.3whwml4" w:id="25"/>
      <w:bookmarkEnd w:id="25"/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    Apenas o gerente de configuração é responsável pela a estrutura do repositório, não podendo ser alterada por nenhum usuário do repositório.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4"/>
        </w:numPr>
        <w:spacing w:after="60" w:before="120" w:line="240" w:lineRule="auto"/>
        <w:ind w:left="284" w:hanging="284"/>
        <w:rPr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highlight w:val="yellow"/>
          <w:vertAlign w:val="baseline"/>
          <w:rtl w:val="0"/>
        </w:rPr>
        <w:t xml:space="preserve">Marcos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Serão Feitas três Marcos principais, nos seguintes momentos.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036"/>
        </w:tabs>
        <w:spacing w:after="0" w:before="0" w:line="240" w:lineRule="auto"/>
        <w:ind w:left="1004" w:hanging="360"/>
        <w:rPr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Arquitetura do sistema 01/10/2009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240" w:lineRule="auto"/>
        <w:ind w:left="1004" w:hanging="360"/>
        <w:rPr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Capacidade Operacional Inicial 01/11/2009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240" w:lineRule="auto"/>
        <w:ind w:left="1004" w:hanging="360"/>
        <w:rPr>
          <w:b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Release do Produto  01/03/2010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bookmarkStart w:colFirst="0" w:colLast="0" w:name="h.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4"/>
        </w:numPr>
        <w:spacing w:after="60" w:before="120" w:line="240" w:lineRule="auto"/>
        <w:ind w:left="284" w:hanging="284"/>
        <w:rPr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highlight w:val="yellow"/>
          <w:vertAlign w:val="baseline"/>
          <w:rtl w:val="0"/>
        </w:rPr>
        <w:t xml:space="preserve">Treinamento e Recursos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Descrição dos treinamentos efetuados para os integrantes do Grupo.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6"/>
        <w:gridCol w:w="3167"/>
        <w:gridCol w:w="2847"/>
        <w:tblGridChange w:id="0">
          <w:tblGrid>
            <w:gridCol w:w="3166"/>
            <w:gridCol w:w="3167"/>
            <w:gridCol w:w="2847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Treinamento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Público 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Repositório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Treinamento ensina como acessar o repositório através de uma máquina cliente, como dar os comandos principais do repositório,  como incluir novos itens dentro do repositório e também como remover do mesmo.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Toda a equipe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bookmarkStart w:colFirst="0" w:colLast="0" w:name="h.qsh70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4"/>
        </w:numPr>
        <w:spacing w:after="60" w:before="120" w:line="240" w:lineRule="auto"/>
        <w:ind w:left="284" w:hanging="284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17" w:top="1417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</w:rPr>
            </w:r>
          </w:fldSimple>
          <w:r w:rsidDel="00000000" w:rsidR="00000000" w:rsidRPr="00000000">
            <w:rPr>
              <w:rFonts w:ascii="Tahoma" w:cs="Tahoma" w:eastAsia="Tahoma" w:hAnsi="Tahoma"/>
              <w:sz w:val="18"/>
              <w:szCs w:val="18"/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jpg"/><Relationship Id="rId10" Type="http://schemas.openxmlformats.org/officeDocument/2006/relationships/hyperlink" Target="mailto:Josy.vilani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Josy.vilani@gmail.com" TargetMode="External"/><Relationship Id="rId5" Type="http://schemas.openxmlformats.org/officeDocument/2006/relationships/hyperlink" Target="mailto:Josy.vilani@gmail.com" TargetMode="External"/><Relationship Id="rId6" Type="http://schemas.openxmlformats.org/officeDocument/2006/relationships/hyperlink" Target="mailto:Josy.vilani@gmail.com" TargetMode="External"/><Relationship Id="rId7" Type="http://schemas.openxmlformats.org/officeDocument/2006/relationships/hyperlink" Target="mailto:Josy.vilani@gmail.com" TargetMode="External"/><Relationship Id="rId8" Type="http://schemas.openxmlformats.org/officeDocument/2006/relationships/hyperlink" Target="mailto:Josy.vilani@gmail.com" TargetMode="External"/></Relationships>
</file>