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2015"/>
        <w:tblGridChange w:id="0">
          <w:tblGrid>
            <w:gridCol w:w="6629"/>
            <w:gridCol w:w="20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MOBILE OIL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Especificação de Caso de Uso: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o app Mobile Oil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1.0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61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1"/>
        <w:gridCol w:w="1092"/>
        <w:gridCol w:w="2161"/>
        <w:gridCol w:w="3199"/>
        <w:tblGridChange w:id="0">
          <w:tblGrid>
            <w:gridCol w:w="2161"/>
            <w:gridCol w:w="1092"/>
            <w:gridCol w:w="2161"/>
            <w:gridCol w:w="319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Versão 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artefato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Ronan Jorge Lima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Este caso de uso descreve as operações necessárias para realizar acesso ao aplicativo Mobile Oil, efetuando 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 conta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Google+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sem efetuar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aplicativo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Usuários/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Condições prévias</w:t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Aplicativo Mobile Oil instalado em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smartphone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Android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conectado a internet, possuir conta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Facebook e do Google+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o usuário não deve ter efetuado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referido aplicativo no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smartphone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ser usado neste caso de uso.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básico (realizando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usando a conta do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deve executar o aplicativo Mobile Oil;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mostra a tela inicial com as opções de efetuar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Facebook ou Google+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 opção de entrar sem cadastro;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deve tocar no botão com o simbolo do Facebook para realizar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usando a sua conta do Facebook;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deverá redirecionar o usuário para efetuar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seus dados da conta do Facebook;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deverá digitar seus dados de acesso a sua conta do Facebook, corretamente, e tocar na opção entrar;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redirecionar o usuário para a tela de seleção das preferências de combustíveis.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 01 (realizando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usando a conta do Google+)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deve executar o aplicativo Mobile Oil;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mostra a tela inicial com as opções de efetuar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pelo Facebook ou Google+ e a opção de entrar sem cadastro;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deve tocar no botão com o simbolo do Google+ para realizar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usando a sua conta do Google+;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deverá redirecionar o usuário para efetuar login com seus dados da conta do Google+;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deverá digitar seus dados de acesso a sua conta do Google+, corretamente, e tocar na opção entrar;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redirecionar o usuário para a tela de seleção das preferências de combustíveis.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 02 (entrar sem cadastro)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deve executar o aplicativo Mobile Oil;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mostra a tela inicial com as opções de efetuar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pelo Facebook ou Google+ e a opção de entrar sem cadastro;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deve tocar no botão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entrar sem 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mudar para a tela de seleção das preferências de combustíveis.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42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tela de seleção de preferências de combustíveis;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42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encerrar o aplicativo, sem efetuar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executa-lo novamente, não deverá mostrar a tela para efetuar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pois o sistema deverá manter o usuário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logado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Pontos de extensão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adicionais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Nenhuma</w:t>
      </w:r>
    </w:p>
    <w:sectPr>
      <w:headerReference r:id="rId5" w:type="default"/>
      <w:pgSz w:h="16838" w:w="11906"/>
      <w:pgMar w:bottom="1135" w:top="1246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mc:AlternateContent>
        <mc:Choice Requires="wpg">
          <w:drawing>
            <wp:inline distB="114300" distT="114300" distL="114300" distR="114300">
              <wp:extent cx="1732597" cy="632275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2597" cy="6322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>
              <wp:extent cx="0" cy="0"/>
              <wp:docPr id="0"/>
              <a:graphic>
                <a:graphicData/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