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MODEL PEMBENTUKAN ADVOKASI MEREK DIGITAL MELALUI KREDIBILITAS INFLUENCER PADA GENERASI Z DI SULAWESI UTARA</w:t>
      </w:r>
    </w:p>
    <w:p>
      <w:pPr>
        <w:jc w:val="center"/>
      </w:pPr>
      <w:r>
        <w:rPr>
          <w:rFonts w:ascii="Times New Roman" w:hAnsi="Times New Roman"/>
          <w:sz w:val="24"/>
        </w:rPr>
        <w:t>Michael Ch. Raintung — NIM 252031130016</w:t>
      </w:r>
    </w:p>
    <w:p>
      <w:pPr>
        <w:jc w:val="center"/>
      </w:pPr>
      <w:r>
        <w:rPr>
          <w:rFonts w:ascii="Times New Roman" w:hAnsi="Times New Roman"/>
          <w:b/>
          <w:sz w:val="28"/>
        </w:rPr>
        <w:t>DAFTAR ISI</w:t>
      </w:r>
    </w:p>
    <w:p>
      <w:fldSimple w:instr="TOC \o &quot;1-3&quot; \h \z \u">
        <w:r>
          <w:t>Daftar isi akan muncul di sini. Di Word: klik kanan → Perbarui Bidang (Update Field).</w:t>
        </w:r>
      </w:fldSimple>
    </w:p>
    <w:p>
      <w:r>
        <w:br w:type="page"/>
      </w:r>
    </w:p>
    <w:p>
      <w:r>
        <w:rPr>
          <w:rFonts w:ascii="Times New Roman" w:hAnsi="Times New Roman"/>
          <w:b/>
          <w:sz w:val="24"/>
        </w:rPr>
        <w:t>USULAN RISET DISERTASI</w:t>
      </w:r>
    </w:p>
    <w:p>
      <w:r>
        <w:rPr>
          <w:rFonts w:ascii="Times New Roman" w:hAnsi="Times New Roman"/>
          <w:sz w:val="24"/>
        </w:rPr>
        <w:t>Diajukan pada Program Studi Doktor Ilmu Manajemen Pascasarjana Universitas Sam Ratulangi</w:t>
      </w:r>
    </w:p>
    <w:p>
      <w:r>
        <w:rPr>
          <w:rFonts w:ascii="Times New Roman" w:hAnsi="Times New Roman"/>
          <w:b/>
          <w:sz w:val="24"/>
        </w:rPr>
        <w:t>Michael Ch. Raintung</w:t>
      </w:r>
      <w:r>
        <w:rPr>
          <w:rFonts w:ascii="Times New Roman" w:hAnsi="Times New Roman"/>
          <w:sz w:val="24"/>
        </w:rPr>
        <w:t xml:space="preserve"> NIM 252031130016</w:t>
      </w:r>
    </w:p>
    <w:p>
      <w:r>
        <w:rPr>
          <w:rFonts w:ascii="Times New Roman" w:hAnsi="Times New Roman"/>
          <w:sz w:val="24"/>
        </w:rPr>
        <w:t>PROGRAM STUDI DOKTOR ILMU MANAJEMEN PASCASARJANA UNIVERSITAS SAM RATULANGI MANADO 2026</w:t>
      </w:r>
    </w:p>
    <w:p>
      <w:r>
        <w:br w:type="page"/>
      </w:r>
    </w:p>
    <w:p>
      <w:pPr>
        <w:pStyle w:val="Heading1"/>
      </w:pPr>
      <w:r>
        <w:rPr>
          <w:rFonts w:ascii="Times New Roman" w:hAnsi="Times New Roman"/>
          <w:sz w:val="28"/>
        </w:rPr>
        <w:t>RINGKASAN PROPOSAL</w:t>
      </w:r>
    </w:p>
    <w:p>
      <w:r>
        <w:rPr>
          <w:rFonts w:ascii="Times New Roman" w:hAnsi="Times New Roman"/>
          <w:sz w:val="24"/>
        </w:rPr>
        <w:t>Berlandaskan kerangka stimulus-organism-response (S-O-R), penelitian ini menguji model yang menempatkan kredibilitas influencer sebagai stimulus dan prediktor kesediaan advokasi merek digital, dengan hubungan parasosial dan autentisitas merek sebagai dua mekanisme internal berurutan serta service-dominant logic sebagai perspektif pendamping penciptaan nilai. Subjek penelitian adalah Generasi Z berusia 18–27 tahun yang berdomisili di Sulawesi Utara. Model memuat lima hipotesis utama; KI → AM ditetapkan sebagai jalur alternatif, bukan hipotesis keenam. Data direncanakan dikumpulkan melalui survei daring potong lintang dengan sampel purposif. Target minimum direncanakan sebanyak 385 respons sah; kecukupan sampel untuk efek serial akan ditetapkan melalui simulasi daya a priori sebelum survei utama. Instrumen penelitian mencakup 39 butir inti serta empat butir global untuk pemeriksaan redundansi. Butir akan melalui pemetaan sumber, penilaian ahli, wawancara kognitif, dan uji coba. Analisis menggunakan PLS-SEM dua tahap pada 13 dimensi reflektif dan empat konstruk tingkat lebih tinggi formatif, dengan interval bootstrap BCa untuk menilai efek tidak langsung. Temuan akan ditafsirkan sebagai hubungan yang konsisten dengan model teoretis, bukan bukti sebab-akibat atau perilaku advokasi aktual. Kata kunci: kredibilitas influencer; hubungan parasosial; autentisitas merek; advokasi merek digital; PLS-SEM.</w:t>
      </w:r>
    </w:p>
    <w:p>
      <w:r>
        <w:rPr>
          <w:rFonts w:ascii="Times New Roman" w:hAnsi="Times New Roman"/>
          <w:sz w:val="24"/>
        </w:rPr>
        <w:t>Validitas diskriminan antarkonstruk — khususnya pasangan yang berdekatan secara konseptual — diuji dan dilaporkan dengan interval kepercayaan, bukan hanya direncanakan.</w:t>
      </w:r>
    </w:p>
    <w:p>
      <w:r>
        <w:br w:type="page"/>
      </w:r>
    </w:p>
    <w:p>
      <w:pPr>
        <w:pStyle w:val="Heading1"/>
      </w:pPr>
      <w:r>
        <w:rPr>
          <w:rFonts w:ascii="Times New Roman" w:hAnsi="Times New Roman"/>
          <w:sz w:val="28"/>
        </w:rPr>
        <w:t>BAB I. PENDAHULUAN</w:t>
      </w:r>
    </w:p>
    <w:p>
      <w:pPr>
        <w:pStyle w:val="Heading2"/>
      </w:pPr>
      <w:r>
        <w:rPr>
          <w:rFonts w:ascii="Times New Roman" w:hAnsi="Times New Roman"/>
          <w:sz w:val="24"/>
        </w:rPr>
        <w:t>A. Latar Belakang Riset</w:t>
      </w:r>
    </w:p>
    <w:p>
      <w:pPr>
        <w:pStyle w:val="Heading3"/>
      </w:pPr>
      <w:r>
        <w:rPr>
          <w:rFonts w:ascii="Times New Roman" w:hAnsi="Times New Roman"/>
          <w:sz w:val="24"/>
        </w:rPr>
        <w:t>1. Perubahan pemasaran digital dan penciptaan nilai</w:t>
      </w:r>
    </w:p>
    <w:p>
      <w:r>
        <w:rPr>
          <w:rFonts w:ascii="Times New Roman" w:hAnsi="Times New Roman"/>
          <w:sz w:val="24"/>
        </w:rPr>
        <w:t>Perkembangan teknologi digital mengubah cara organisasi berkomunikasi, melayani konsumen, dan membangun hubungan dengan pasar. Perubahan ini tidak cukup dipahami sebagai penggunaan media sosial atau pemindahan promosi dari media konvensional ke media daring. Transformasi digital juga mengubah susunan interaksi di antara perusahaan, konsumen, pembuat konten, komunitas, dan pihak lain yang ikut membentuk pengalaman atas suatu merek. Informasi mengenai produk tidak lagi bergerak hanya dari perusahaan kepada calon pembeli. Konsumen dapat mencari, menafsirkan, membandingkan, menilai, dan menyebarkan informasi melalui jaringan digital yang sama. Perubahan tersebut sejalan dengan perspektif service-dominant logic. Dalam perspektif ini, nilai tidak hanya melekat pada barang yang diproduksi perusahaan; nilai diwujudkan melalui penggunaan, pengalaman, dan interaksi antara berbagai pihak (Vargo &amp; Lusch, 2008). Perusahaan tetap memiliki peran penting, tetapi bukan satu-satunya pihak yang menentukan makna suatu merek. Konsumen ikut membentuk nilai melalui pengalaman yang dibagikan, ulasan, rekomendasi, pertanyaan, kritik, dan pembelaan terhadap merek. Dengan demikian, keberhasilan pemasaran digital tidak seharusnya dinilai hanya dari jumlah penayangan, klik, atau transaksi awal. Media sosial memperluas peluang tersebut karena memungkinkan pengguna berperan sebagai penerima sekaligus pembuat pesan (Kaplan &amp; Haenlein, 2010). Dalam ruang ini, keterlibatan konsumen dapat mencakup perhatian, respons emosional, partisipasi, dan kontribusi perilaku. Hollebeek, Glynn, dan Brodie (2014) menempatkan keterlibatan konsumen terhadap merek sebagai konsep yang memiliki dimensi kognitif, emosional, dan perilaku. Brodie et al. (2013) juga menunjukkan bahwa interaksi dalam komunitas merek virtual dapat menghasilkan bentuk keterlibatan yang melampaui transaksi. Kerangka tersebut memberi alasan untuk menelaah dukungan konsumen sebagai keluaran pemasaran yang bernilai, tanpa menyamakan seluruh bentuk keterlibatan dengan advokasi. Perbedaan antara paparan dan dukungan perlu diperhatikan. Tayangan tinggi menandakan bahwa konten telah menjangkau pengguna, sedangkan tanda suka menunjukkan respons ringan. Keduanya belum tentu menunjukkan kesediaan konsumen untuk merekomendasikan merek, menyebarkan konten secara sukarela, atau meluruskan informasi keliru mengenai merek. Tindakantindakan tersebut menuntut konsumen mengambil posisi di hadapan orang lain. Karena itu, penelitian ini memusatkan perhatian pada proses psikologis yang mungkin menjelaskan bagaimana penilaian terhadap seorang influencer berkaitan dengan kesediaan mendukung merek.</w:t>
      </w:r>
    </w:p>
    <w:p>
      <w:pPr>
        <w:pStyle w:val="Heading3"/>
      </w:pPr>
      <w:r>
        <w:rPr>
          <w:rFonts w:ascii="Times New Roman" w:hAnsi="Times New Roman"/>
          <w:sz w:val="24"/>
        </w:rPr>
        <w:t>2. Pemasaran influencer dan persoalan kredibilitas</w:t>
      </w:r>
    </w:p>
    <w:p>
      <w:r>
        <w:rPr>
          <w:rFonts w:ascii="Times New Roman" w:hAnsi="Times New Roman"/>
          <w:sz w:val="24"/>
        </w:rPr>
        <w:t>Pemasaran influencer menggunakan figur yang memiliki audiens dan kemampuan menghasilkan konten untuk menyampaikan pesan tentang produk atau merek. Perkembangan bentuk pemasaran ini terkait dengan perubahan pola konsumsi media, tetapi popularitas seorang figur tidak dengan sendirinya menunjukkan bahwa pesannya dipercaya atau bahwa audiens bersedia mendukung merek. De Veirman, Cauberghe, dan Hudders (2017) menunjukkan bahwa jumlah pengikut perlu dibedakan dari respons audiens terhadap merek. Vrontis et al. (2021) juga menggambarkan pemasaran influencer sebagai bidang yang melibatkan beragam faktor komunikator, pesan, platform, dan karakteristik konsumen. Dalam penelitian ini, kredibilitas influencer dipahami sebagai penilaian konsumen mengenai kelayakan influencer sebagai sumber informasi dan rekomendasi. Teori kredibilitas sumber menjelaskan bahwa karakteristik sumber pesan ikut membentuk penerimaan dan daya persuasif pesan (Hovland, Janis, &amp; Kelley, 1953). Dalam komunikasi influencer, karakter sumber berinteraksi dengan isi pesan, kategori produk, pengalaman konsumen, serta konteks hubungan yang telah terbentuk. Lou dan Yuan (2019) menghubungkan kredibilitas influencer dengan kepercayaan konsumen terhadap konten bermerek. Sokolova dan Kefi (2020) memperlihatkan bahwa respons konsumen terhadap influencer dapat berkaitan dengan mekanisme relasional, termasuk pengalaman parasosial. Meta-analisis Han dan Balabanis (2024) juga menempatkan kredibilitas sebagai salah satu anteseden yang konsisten dalam menjelaskan efektivitas influencer. Walaupun literatur tersebut mendukung pentingnya kredibilitas, pertanyaan penelitian tidak berhenti pada apakah influencer yang kredibel lebih meyakinkan. Persoalan yang lebih mendalam ialah bagaimana penilaian terhadap sumber dapat terhubung dengan evaluasi terhadap merek yang dipromosikannya, dan apakah proses itu berkaitan dengan dukungan konsumen yang lebih aktif daripada niat membeli. Pertanyaan tersebut menuntut pemisahan konseptual antara influencer sebagai objek penilaian dan merek sebagai objek penilaian.</w:t>
      </w:r>
    </w:p>
    <w:p>
      <w:pPr>
        <w:pStyle w:val="Heading3"/>
      </w:pPr>
      <w:r>
        <w:rPr>
          <w:rFonts w:ascii="Times New Roman" w:hAnsi="Times New Roman"/>
          <w:sz w:val="24"/>
        </w:rPr>
        <w:t>3. Generasi Z dewasa dan konteks Sulawesi Utara</w:t>
      </w:r>
    </w:p>
    <w:p>
      <w:r>
        <w:rPr>
          <w:rFonts w:ascii="Times New Roman" w:hAnsi="Times New Roman"/>
          <w:sz w:val="24"/>
        </w:rPr>
        <w:t>Generasi Z dipilih karena kelompok ini tumbuh dalam lingkungan komunikasi digital yang semakin mapan. Turner (2015) membahas kedekatan generasi tersebut dengan teknologi dan perubahan bentuk partisipasi sosial. Priporas, Stylos, dan Fotiadis (2017) menguraikan ekspektasi konsumen Generasi Z terhadap pengalaman digital yang interaktif dan sesuai kebutuhan. Kajian lain menempatkan makna simbolik, kesesuaian nilai, dan cara merek menampilkan identitas sebagai aspek yang perlu diperhatikan dalam memahami pilihan konsumen muda (Huh &amp; Kim, 2024; Nguyen et al., 2023). Rujukan tersebut tidak berarti seluruh anggota Generasi Z memiliki perilaku yang seragam. Perbedaan pengalaman, tingkat akses, latar sosial, dan kategori produk tetap perlu dipertimbangkan. Usia saat pengisian dan waktu survei akan dicatat agar klasifikasi operasional dapat ditafsirkan secara konsisten sepanjang pelaksanaan penelitian. Sulawesi Utara dipilih sebagai konteks pengujian model, bukan sebagai wilayah pembanding. Penelitian tidak mengandaikan bahwa konsumen di seluruh kabupaten/kota memiliki nilai budaya atau perilaku digital yang sama. Keterwakilan wilayah ini dalam literatur akan diperiksa melalui penelusuran terarah dengan mencatat basis data, kata kunci, tanggal pencarian, dan kriteria pemilihan. Kontribusi konteks dibatasi pada bukti dari responden yang memenuhi kriteria, dengan keterbatasan teknik purposif dijelaskan secara terbuka.</w:t>
      </w:r>
    </w:p>
    <w:p>
      <w:r>
        <w:rPr>
          <w:rFonts w:ascii="Times New Roman" w:hAnsi="Times New Roman"/>
          <w:sz w:val="24"/>
        </w:rPr>
        <w:t>Gejala empiris di lapangan memperkuat urgensi kajian ini. Laporan Digital 2024: Indonesia menunjukkan bahwa Indonesia merupakan salah satu pasar digital terbesar di dunia: sekitar 185 juta penduduk terhubung ke internet dengan penetrasi 66,5%, sekitar 139 juta jiwa aktif menggunakan media sosial, dan pengguna internet Indonesia menghabiskan waktu rata-rata lebih dari tujuh jam per hari daring, termasuk sekitar tiga jam di media sosial (Kemp, 2024). Penetrasi yang mengakar tersebut menjadikan platform digita l sebagai episentrum pencarian informasi, hiburan, dan transaksi. Seiring itu, alokasi anggaran pemasaran berbasis influencer terus meningkat karena perusahaan menilai influencer mampu menjangkau konsumen muda secara lebih personal dan kontekstual dibandin gkan media periklanan konvensional. Namun, di balik eskalasi investasi tersebut terdapat anomali praktis yang krusial, yaitu ketimpangan antara jangkauan (reach) kuantitatif influencer dan dampak relasional kualitatif berupa dukungan nyata konsumen terhadap merek. Tidak sedikit kampanye yang mengandalkan influencer berjuta pengikut hanya menghasilkan metrik jangkauan superfisial — penayangan dan tanda suka — tetapi gagal menstimulasi rekomendasi aktif, pembelaan reputasi, atau penyebaran konten merek secara sukarela. Ketimpangan antara popularitas dan dukungan ini menegaskan bahwa jangkauan buk anlah jaminan terbentuknya hubungan konsumen dengan merek, dan memunculkan pertanyaan yang belum terjawab memadai: melalui proses psikologis apa kredibilitas seorang influencer akhirnya diterjemahkan menjadi dukungan konsumen terhadap merek? Pertanyaan tersebut menemukan momentum relevansinya ketika dikaitkan dengan karakteristik Generasi Z, kelompok konsumen pertama yang sepenuhnya tumbuh dan dewasa di dalam lingkungan teknologi digital. Turner (2015) menjelaskan bahwa Generasi Z memiliki kedekatan psikologis yang tinggi dengan teknologi dan menjadikan media digital sebagai instrumen primer untuk aktivitas sosial, konstruksi identitas, dan validasi referensi konsumsi. Bukti mutakhir memperkuat gambaran ini: sinyal konsumsi hijau dapat berfungs i sebagai simbol status pada Generasi Z dan milenial (Huh &amp; Kim, 2024), dan persepsi mereka atas aktivisme merek terbukti membentuk loyalitas merek (Nguyen et al., 2023). Priporas et al. (2017) menggarisbawahi bahwa konsumen Generasi Z memiliki ekspektasi tinggi terhadap pengalaman digital yang instan, interaktif, dan terpersonalisasi; dalam mengevaluasi objek konsumsi, mereka tidak berhenti pada kalkulasi utilitas fungsional, tetapi mengedepankan nilai simbolik, keselarasan identitas, dan kongruensi antara nilai merek dengan sistem nilai personalnya, sehingga kepercayaan, kedekatan emosional, dan autentisitas menjadi faktor determinan. Generasi Z dewasa di Sulawesi Utara dipilih sebagai subjek penelitian karena relevansi teoretis dan empirisnya: secara teoretis kelompok ini merupakan unit analisis yang tepat un tuk menguji mekanisme pemasaran digital karena keterhubungan mereka dengan media sosial sangat intensif; secara empiris, literatur perilaku konsumen digital yang menjadi rujukan aliran ini masih terkonsentrasi pada konteks negara maju dan wilayah metropoli tan. Posisi Sulawesi Utara dalam desain riset ini adalah ruang pengujian (testing ground) validitas model, bukan variabel komparatif antarwilayah, sehingga klaim kontribusi kontekstual dibatasi pada penyediaan bukti empiris dari konteks yang belum banyak t erwakili dalam literatur. Klaim kesenjangan ini tidak berdiri sebagai kesan, melainkan didukung penelusuran bibliometrik peneliti atas 343 dokumen Scopus 2014 –2024: hanya 14 dokumen yang memadukan influencer dan autentisitas, 2 dokumen parasosial dan autentisitas, 2 dokumen influencer dan Generasi Z, serta 3 dokumen berkonteks Indonesia — sementara kombinasi autentisitas dengan advokasi/eWOM baru 25 dokumen (rincian pada Bab II.A.7 dan Lampiran 3). Dalam arsitektur pemasaran digital kontemporer, salah satu strategi yang berkembang pesat adalah influencer marketing, yaitu pendekatan yang memanfaatkan figur digital tertentu untuk memengaruhi persepsi, sikap, dan perilaku audiens melalui konten kreatif di platform digital (De Veirman et al., 2017; Vrontis et al., 2021). Lou dan Yuan (2019) menjelaskan bahwa influencer mampu membangun kepercayaan terhadap konten bermerek karena konsumen mempertimbangkan karakteristik personal individu yang menyampaikan informasi. Perkembangan ini sekaligus menciptakan tantangan strategis: meningkatnya jumlah influencer menyebabkan perusahaan kesulitan menentukan influencer yang benar-benar berdampak. De Veirman et al. (2017) menunjukkan bahwa jumlah pengikut tidak selalu menjadi indikator utama keberhasilan komunikasi pemasaran. Kondisi ini menuntut man ajemen pemasaran memisahkan secara tegas antara popularitas dan kredibilitas influencer: popularitas merepresentasikan kemampuan menjangkau audiens dalam jumlah besar, sedangkan kredibilitas berkaitan dengan sejauh mana influencer dipersepsikan memiliki keahlian, kejujuran, dan daya tarik sebagai sumber informasi (Ohanian, 1990). Konsep kredibilitas sumber memberikan dasar teoretis untuk memahami persoalan tersebut. Source Credibility Theory yang berakar pada karya Hovland et al. (1953) memproposisikan bahwa efektivitas dan daya persuasi pesan sangat ditentukan oleh persepsi peneri ma terhadap kualitas pembawa pesan, dan Ohanian (1990) mengembangkan pengukurannya melalui tiga dimensi, yaitu keahlian, kepercayaan, dan daya tarik. Penelitian Lou dan Yuan (2019) menunjukkan bahwa kredibilitas influencer meningkatkan kepercayaan terhadap konten bermerek, dan Sokolova dan Kefi (2020) menunjukkan bahwa kredibilitas berhubungan dengan respons konsumen melalui mekanisme psikologis, termasuk hubungan parasosial. Meta analisis Han dan Balabanis (2024) atas 53 studi membuktikan bahwa kredibilita s merupakan anteseden paling konsisten dalam menjelaskan efektivitas influencer. Meskipun demikian, sebagian besar penelitian terdahulu masih berhenti pada respons jangka pendek yang bersifat transaksional, seperti kepercayaan sesaat terhadap konten atau n iat pembelian. Padahal, dalam perspektif pemasaran relasional modern, keberhasilan merek di lingkungan digital harus diukur melalui kesediaan konsumen berpartisipasi aktif menyebarkan dan membela nilai merek secara berkelanjutan. Wilk et al. (2020) mengonseptualisasikan perilaku tersebut sebagai online brand advocacy, yaitu bentuk keterlibatan konsumen tingkat lanjut yang mencerminkan dukungan aktif, sukarela, dan tanpa insentif terhadap merek di ruang digital — namun proses terbentuknya perilaku advokasi dalam konteks influencer marketing masih menjadi kotak hitam yang belum terpetakan dalam model yang runtut. Hubungan antara influencer dan konsumen di lingkungan digital tidak hanya berlangsung melalui evaluasi informasi yang rasional, tetapi juga melalui aspek emosional dan sosial. Fenomena ini dijelaskan melalui konsep hubungan parasosial yang diperkenalkan Ho rton dan Wohl (1956), yaitu ikatan psikologis satu arah antara audiens dan figur media yang terasa intim meskipun tidak pernah terjadi interaksi interpersonal langsung. Labrecque (2014) menunjukkan bahwa interaksi personal yang berkelanjutan di media sosia l memperkuat persepsi kedekatan psikologis, dan Sokolova dan Kefi (2020) membuktikan bahwa konsumen yang merasa dekat dengan influencer lebih menerima rekomendasi yang diberikan. Akan tetapi, hubungan parasosial dengan influencer belum menjelaskan bagaiman a pengaruh tersebut berpindah kepada merek, karena influencer dan merek merupakan dua entitas yang berbeda sehingga konsumen tetap melakukan evaluasi tersendiri terhadap merek sebelum memberikan dukungan. Pada titik inilah konsep autentisitas merek menjadi relevan. Morhart et al. (2015) menjelaskan autentisitas merek sebagai persepsi konsumen mengenai kesinambungan, kredibilitas, integritas, dan simbolisme merek, sedangkan jembatan konseptual yang menghubungkan figur dengan objek merek disediakan oleh Meani ng Transfer Model (McCracken, 1989) yang menyatakan bahwa makna yang melekat pada figur dapat berpindah kepada merek yang diasosiasikan dengannya. Dengan demikian, hubungan antara influencer dan konsumen dapat dipahami sebagai proses bertahap: kredibilitas influencer menjadi faktor awal, berkembang menjadi hubungan parasosial, kemudian memeng aruhi persepsi autentisitas merek melalui transfer makna, dan pada akhirnya mendorong advokasi merek digital. Perpindahan pengaruh dari figur personal kepada merek tidak dapat dianggap otomatis. Influencer boleh dipercaya sebagai pribadi, tetapi konsumen dapat tetap ragu terhadap merek yang dipromosikannya; sebaliknya, konsumen dapat mengakui mutu sebuah merek tan pa merasa dekat dengan pembuat konten yang mengiklankannya. Di titik inilah hubungan parasosial dan autentisitas merek perlu dibedakan sebagai dua tahap yang berturutan. Tahap pertama menjawab apakah kepercayaan terhadap sumber berkembang menjadi kedekatan dengan figur. Tahap kedua menjawab apakah kedekatan tersebut menghasilkan penilaian positif terhadap entitas merek yang berbeda dari figur. Hanya setelah merek sendiri dinilai layak didukung, konsumen mungkin bersedia menyuarakan rekomendasi, membagikan k onten, dan membelanya di ruang publik (Horton &amp; Wohl, 1956; McCracken, 1989; Morhart et al., 2015; Wilk et al., 2020). Pembacaan ini memberi alasan untuk menguji urutan KI→HP→AM→AMD, bukan menganggap dua mediator sebagai dua label bagi satu sikap umum. Kehati-hatian diperlukan ketika menyimpulkan bahwa urutan tersebut telah terbukti. Sokolova dan Kefi (2020) serta Chidiac dan Bowden (2023) membantu menjelaskan fungsi relasi atau interaksi parasosial dalam respons terhadap influencer, tetapi luaran yang d itekankan ialah niat pembelian. Wong dan Hung (2023) menunjukkan kemungkinan limpahan dari figur atlet ke advokasi merek tim melalui jalur relasional lain di komunitas penggemar sepak bola; konteks olahraga, unit merek bertingkat, dan mediator yang mereka gunakan tidak identik dengan merek konsumen sehari -hari di Sulawesi Utara. Di sisi merek, Hernandez Fernandez dan Lewis (2019) membedakan efek autentisitas merek pada nilai yang dirasakan dan kepercayaan merek sebagai penjelasan tandingan; Oh et al. (2019) menghubungkan autentisitas dengan kedekatan pada merek dan niat merekomendasikannya; temuan ini relevan tetapi tidak menguji kredibilitas influencer sebagai pemicu awal dan hubungan parasosial sebagai mediator terdahulu. Dengan demikian, komponen -komponen rantai didukung literatur, sedangkan keterurutan keseluruhan rantai dalam konteks, sumber, dan luaran yang sama tetap menjadi pertanyaan empiris. Autentisitas merek bukan sifat yang dapat ditransfer begitu saja dari influencer. Menurut Morhart et al. (2015), konsumen menilai kontinuitas, kredibilitas merek, integritas, serta simbolisme merek. Kesan dekat kepada seorang influencer dapat menjadi jende la awal bagi evaluasi merek yang ia perkenalkan, tetapi penilaian autentisitas tetap diarahkan pada konsistensi merek itu sendiri. Chen et al. (2022) menunjukkan bahwa empat dimensi autentisitas relevan ketika konsumen merespons jaringan kedai kopi dalam p asar yang mempunyai tradisi konsumsi berbeda. Safeer et al. (2022) menunjukkan arti persepsi merek lokal dan global bagi autentisitas dan sikap konsumen dalam konteks lintas budaya Asia. Kedua bukti itu membuat lokasi penelitian bermakna sebagai ruang pengujian keberlakuan mekanisme, bukan alasan untuk mengklaim bahwa setiap konsumen Sulawesi Utara memiliki nilai budaya yang seragam. Laporan yang tersedia tidak memungkinkan penyamaan tindakan advokasi nyata dengan jawaban survei mengenai kesediaan melakukan tindakan. Karena itu variabel hasil pada survei utama didefinisikan sebagai kesediaan advokasi digital yang dilaporkan, bukan catatan unggahan, transaksi, atau frekuensi pembelaan aktual. Nilai kontribusinya terletak pada penggunaan indikator rekomendasi, penyebaran konten, pembelaan, dan partisipasi sukarela yang lebih spesifik daripada niat beli tunggal (Wilk et al., 20 20). Sebagai pemeriksaan tambahan, pertanyaan mengenai tindakan dukungan yang telah dilakukan sebelumnya disiapkan secara terpisah dan tidak disamakan dengan konstruk utama; keterbatasan laporan diri diakui sejak awal. Ada empat celah yang saling berkaitan. Pertama, celah mekanisme: bukti tentang sumber, relasi parasosial, dan autentisitas sering tersebar dalam studi terpisah sehingga belum cukup menjawab bagaimana ketiganya berurutan menuju advokasi. Kedua, celah luaran: penelitian influencer lebih kerap menilai sikap dan niat beli daripada kontribusi sukarela konsumen bagi reputasi merek. Ketiga, celah validitas konteks: pengetahuan dari pasar dan kategori produk lain perlu diuji secara hati-hati pada Generasi Z dewasa yang berdomisili di Sulawesi Utara, tanpa menyimpulkan adanya efek budaya tertentu hanya dari alamat responden. Keempat, celah operasionalisasi: batas antarkonstruk orang–merek dan kesediaan–perilaku harus diuji melalui validitas isi, validitas diskriminan, serta pemeriksaan desain. Angka penelusuran dalam korpus Scopus yang dipakai peneliti hanya menggambarkan korpus dengan strategi pencarian tertentu, bukan bukti bahwa sebuah hubungan sama sekali belum pernah diteliti secara global. Perspektif yang mendasari model ialah penciptaan nilai bersama. Sumber yang dipercaya berpotensi memulai proses; ikatan parasosial memberi jalur kedekatan psikologis; merek kemudian dinilai dari karakteristiknya sendiri; konsumen yang telah memberi penilai an positif dapat menjadi pembawa nilai merek melalui advokasi (Vargo &amp; Lusch, 2008). Penelitian ini mempertahankan jalur langsung KI→AMD sebagai pembanding terhadap penjelasan berurutan, sebab dukungan mungkin muncul melalui persuasi langsung yang tidak me lewati semua tahap. Keberadaan dua jalur tersebut memungkinkan uji apakah mekanisme serial memberikan penjelasan tambahan, tanpa mengklaim bahwa jalur langsung harus hilang agar mediasi sah (Zhao et al., 2010). Penelitian menggunakan survei eksplanatori sehingga kata “pengaruh” dalam hipotesis berarti arah hubungan struktural berdasarkan teori. Satu gelombang jawaban tidak dapat memastikan urutan waktu maupun menyingkirkan seluruh penyebab alternatif. Karena itu rancangan juga mensyaratkan acuan influencer – merek yang spesifik, pemeriksaan pengalaman responden dengan merek, pengendalian kualitas jawaban, analisis model pesaing, dan batasan inferensi kausal yang dinyatakan secara terbuka. Bab II menelusuri pembentuk an masing-masing konstruk dan merumuskan hipotesis; Bab III menetapkan cara pengukuran dan uji statistiknya.</w:t>
      </w:r>
    </w:p>
    <w:p>
      <w:pPr>
        <w:pStyle w:val="Heading3"/>
      </w:pPr>
      <w:r>
        <w:rPr>
          <w:rFonts w:ascii="Times New Roman" w:hAnsi="Times New Roman"/>
          <w:sz w:val="24"/>
        </w:rPr>
        <w:t>4. Hubungan parasosial sebagai proses relasional</w:t>
      </w:r>
    </w:p>
    <w:p>
      <w:r>
        <w:rPr>
          <w:rFonts w:ascii="Times New Roman" w:hAnsi="Times New Roman"/>
          <w:sz w:val="24"/>
        </w:rPr>
        <w:t>Hubungan parasosial merujuk pada pengalaman kedekatan satu arah yang dirasakan audiens terhadap figur media. Horton dan Wohl (1956) menggunakan konsep tersebut untuk menjelaskan kesan keakraban yang dapat muncul ketika audiens mengikuti figur melalui media, meskipun hubungan timbal balik yang setara tidak terjadi. Dalam lingkungan digital, audiens dapat menyaksikan konten secara berulang, mendengar cerita pribadi, mengikuti rutinitas, dan memberikan respons kepada figur. Interaksi digital itu dapat memperkuat kesan kedekatan, tetapi tidak membuktikan bahwa influencer mengenal setiap pengikutnya secara pribadi. Pembedaan antara interaksi parasosial dan hubungan parasosial penting bagi penelitian. Interaksi parasosial biasanya merujuk pada pengalaman interaksi yang muncul ketika paparan berlangsung, sedangkan hubungan parasosial menunjuk pada ikatan yang dirasakan melampaui satu paparan. Hartmann dan Goldhoorn (2011) menguji pengalaman interaksi parasosial pada situasi paparan, sedangkan Dibble, Hartmann, dan Rosaen (2016) menunjukkan bahwa istilah serta ukuran PSI dan PSR sering tercampur dan tidak dapat dipertukarkan begitu saja. Karena itu, penelitian ini mengklaim mengukur hubungan yang dirasakan relatif berkelanjutan, bukan respons sesaat selama menonton. Hubungan parasosial dapat menjadi jembatan antara penilaian atas sumber dan pemaknaan pesan. Ketika audiens merasa dekat dengan influencer, rekomendasi dapat diproses sebagai informasi dari figur yang akrab, bukan semata-mata sebagai pesan promosi anonim. Namun kedekatan tidak menjamin bahwa semua klaim influencer diterima, dan hubungan tersebut tidak otomatis mengubah persepsi konsumen terhadap merek. Hubungan parasosial juga mungkin dipengaruhi oleh penilaian awal atas kredibilitas, kesamaan yang dirasakan, gaya komunikasi, dan kebiasaan mengikuti konten. Karena itu, arah hubungan dalam model harus dipahami sebagai dugaan teoretis yang diuji, bukan urutan sebab-akibat yang telah dipastikan.</w:t>
      </w:r>
    </w:p>
    <w:p>
      <w:pPr>
        <w:pStyle w:val="Heading3"/>
      </w:pPr>
      <w:r>
        <w:rPr>
          <w:rFonts w:ascii="Times New Roman" w:hAnsi="Times New Roman"/>
          <w:sz w:val="24"/>
        </w:rPr>
        <w:t>5. Autentisitas merek dan batas transfer makna</w:t>
      </w:r>
    </w:p>
    <w:p>
      <w:r>
        <w:rPr>
          <w:rFonts w:ascii="Times New Roman" w:hAnsi="Times New Roman"/>
          <w:sz w:val="24"/>
        </w:rPr>
        <w:t>Autentisitas merek berkaitan dengan penilaian konsumen bahwa karakter, janji, nilai, dan tindakan merek tampak konsisten serta dapat dipercaya. Autentisitas bukan audit objektif atas seluruh proses perusahaan. Dalam penelitian ini, autentisitas merupakan persepsi responden terhadap merek acuan. Morhart et al. (2015) mengembangkan kerangka autentisitas merek yang meliputi kontinuitas, kredibilitas, integritas, dan simbolisme. Napoli et al. (2014) juga menelaah pengukuran autentisitas dari sudut pandang konsumen. Kedua pendekatan tersebut memberi dasar untuk membedakan beberapa sisi penilaian konsumen, tetapi tidak menghilangkan kebutuhan untuk memastikan bahwa setiap butir benar-benar sesuai dengan domain yang dimaksud. Kredibilitas influencer dan autentisitas merek tidak boleh diperlakukan sebagai satu penilaian umum. Seseorang dapat percaya kepada influencer tetapi meragukan merek yang dipromosikannya. Sebaliknya, konsumen dapat menilai suatu merek autentik tanpa mengenal influencer tertentu. Pemisahan sasaran ini sangat penting untuk menguji perpindahan evaluasi secara empiris. Teori transfer makna McCracken (1989) menawarkan penjelasan bahwa makna yang melekat pada figur dapat menjadi petunjuk bagi pemaknaan produk atau merek yang diasosiasikan dengannya. Transfer tersebut tidak bersifat otomatis; kesesuaian figur–merek, pengalaman konsumen, pengetahuan mengenai merek, dan isi komunikasi dapat memperkuat atau membatasi proses tersebut. Konsumen yang tidak mengetahui sejarah atau praktik suatu merek mungkin kesulitan menilai beberapa aspek autentisitas. Untuk mencegah pilihan “netral” digunakan sebagai pengganti ketidaktahuan, kuesioner menyediakan pilihan “tidak dapat menilai” pada butir yang menuntut pengetahuan khusus. Proporsi jawaban tersebut akan dilaporkan. Jika jawaban tidak dapat menilai tinggi, hasil harus ditafsirkan dengan hati-hati karena responden yang mampu menilai merek mungkin berbeda secara sistematis dari responden yang tidak mampu menilai.</w:t>
      </w:r>
    </w:p>
    <w:p>
      <w:pPr>
        <w:pStyle w:val="Heading3"/>
      </w:pPr>
      <w:r>
        <w:rPr>
          <w:rFonts w:ascii="Times New Roman" w:hAnsi="Times New Roman"/>
          <w:sz w:val="24"/>
        </w:rPr>
        <w:t>6. Advokasi merek digital sebagai keluaran penelitian</w:t>
      </w:r>
    </w:p>
    <w:p>
      <w:r>
        <w:rPr>
          <w:rFonts w:ascii="Times New Roman" w:hAnsi="Times New Roman"/>
          <w:sz w:val="24"/>
        </w:rPr>
        <w:t>Bentuk dukungan yang diteliti dibatasi pada kesediaan merekomendasikan, berbagi konten, dan membela merek. Partisipasi komunitas dan pemberian masukan tidak dimasukkan karena lebih dekat dengan keterlibatan atau perilaku kewargaan konsumen. Perbedaan antara kesediaan dan perilaku aktual bersifat substantif. Jawaban “bersedia menulis ulasan positif” tidak membuktikan bahwa responden telah menulis ulasan. Skor kesediaan menggambarkan kecenderungan yang diakui responden dalam konteks survei, bukan tindakan yang telah diverifikasi. Untuk menghindari klaim berlebihan, variabel hasil utama dinamakan “kesediaan advokasi merek digital”.</w:t>
      </w:r>
    </w:p>
    <w:p>
      <w:pPr>
        <w:pStyle w:val="Heading3"/>
      </w:pPr>
      <w:r>
        <w:rPr>
          <w:rFonts w:ascii="Times New Roman" w:hAnsi="Times New Roman"/>
          <w:sz w:val="24"/>
        </w:rPr>
        <w:t>7. Model dan mekanisme penelitian</w:t>
      </w:r>
    </w:p>
    <w:p>
      <w:r>
        <w:rPr>
          <w:rFonts w:ascii="Times New Roman" w:hAnsi="Times New Roman"/>
          <w:sz w:val="24"/>
        </w:rPr>
        <w:t>Penelitian ini menguji hubungan empat konstruk yang berbeda: kredibilitas influencer (KI), hubungan parasosial (HP), autentisitas merek (AM), dan kesediaan advokasi merek digital (AMD). Dalam kerangka stimulusorganism-response (S-O-R), KI diposisikan sebagai stimulus, HP dan AM sebagai keadaan internal konsumen yang berurutan, dan AMD sebagai respons berupa kesediaan dukungan digital. Rantai utama yang diajukan ialah KI → HP → AM → AMD. Kredibilitas menilai influencer sebagai sumber, HP menggambarkan kedekatan satu arah dengan figur, AM menilai merek, sedangkan AMD menggambarkan kesediaan konsumen mendukung merek. Pemetaan tersebut merupakan spesifikasi teoretis penelitian yang diuji, bukan bukti bahwa semua proses psikologis telah teramati secara temporal. Selain rantai utama dan hubungan langsung KI → AMD, model menetapkan jalur alternatif KI → AM sebelum data dikumpulkan. Jalur ini didasarkan pada kemungkinan bahwa kredibilitas sumber memberi petunjuk awal dalam evaluasi merek; teori transfer makna menjadi pijakan konseptual, bukan bukti langsung bahwa efek tersebut terjadi. Jalur KI → AM bukan hipotesis keenam. Persamaan luaran juga memasukkan HP → AMD sebagai jalur tambahan, bukan hipotesis utama. Model tidak memuat moderator atau interaksi. Urutan tersebut diturunkan dari teori, tetapi desain survei satu gelombang tidak dapat membuktikan urutan sebab-akibat. Karena itu, hasil akan ditafsirkan sebagai hubungan yang sejalan dengan model teoretis, bukan bukti kausal.</w:t>
      </w:r>
    </w:p>
    <w:p>
      <w:pPr>
        <w:pStyle w:val="Heading3"/>
      </w:pPr>
      <w:r>
        <w:rPr>
          <w:rFonts w:ascii="Times New Roman" w:hAnsi="Times New Roman"/>
          <w:sz w:val="24"/>
        </w:rPr>
        <w:t>8. Kesenjangan dan posisi penelitian</w:t>
      </w:r>
    </w:p>
    <w:p>
      <w:r>
        <w:rPr>
          <w:rFonts w:ascii="Times New Roman" w:hAnsi="Times New Roman"/>
          <w:sz w:val="24"/>
        </w:rPr>
        <w:t>Kesenjangan penelitian dirumuskan dalam tiga lapisan inti dengan batas konseptual sebagai perhatian lintas-lapisan. Pertama, kesenjangan mekanisme: penelitian terdahulu telah menguji hubungan kredibilitas influencer, hubungan parasosial, autentisitas, keterlibatan, serta advokasi, termasuk dengan kerangka S-O-R; namun mediator, urutan jalur, luaran, dan konteks yang digunakan beragam (Luarn et al., 2025; Sahu et al., 2026). Sejumlah studi menelaah autentisitas influencer dan advokasi, tetapi autentisitas influencer tidak sama dengan autentisitas merek (Banerjee et al., 2025). Penelusuran awal belum memverifikasi pengujian rantai spesifik KI → HP → AM → AMD pada Generasi Z dewasa di Sulawesi Utara. Karena itu, posisi penelitian adalah menguji model serial terintegrasi tersebut, bukan mengklaim bahwa seluruh hubungan terkait belum pernah diteliti. Kedua, kesenjangan luaran: niat beli, sikap, dan loyalitas tetap dominan dalam sejumlah studi influencer, sedangkan advokasi digital merupakan keluaran dukungan sukarela yang berbeda dan telah menjadi fokus telaah serta pengukuran tersendiri (Babu et al., 2026; Shimul et al., 2025; Wilk et al., 2020). Ketiga, kesenjangan konteks: bukti pada Gen Z atau konsumen media sosial di wilayah lain tidak otomatis berlaku bagi responden berusia 18? 27 tahun yang berdomisili di Sulawesi Utara. Batas objek dan konstruk? influencer, relasi dengan influencer, merek, dan kesediaan dukungan–dijaga secara konsisten agar kebaruan dan hasil tidak dilebih-lebihkan. Posisi penelitian akan diperiksa melalui penelusuran literatur yang dijelaskan dalam Lampiran 3. Basis data, tanggal, kata kunci, batas tahun, jenis dokumen, dan kriteria pemilihan dicatat agar pencarian dapat ditelusuri. Artikel empiris, tinjauan, dan karya teoretis dibedakan sesuai relevansinya. Penelitian tidak menyatakan bahwa model “belum pernah diteliti” hanya karena suatu kombinasi kata kunci menghasilkan sedikit dokumen. Keaslian penelitian dirumuskan secara terbatas dan dapat diuji: penelitian mengajukan rantai mediasi berurutan dari penilaian atas influencer menuju kesediaan advokasi merek digital; menggunakan pasangan influencer– merek acuan yang sama untuk setiap responden; memisahkan sasaran setiap konstruk; serta menguji jalur langsung dan jalur alternatif. Kontribusi kontekstual berupa bukti dari responden yang memenuhi kriteria di Sulawesi Utara. Penelitian tidak mengklaim bahwa model baru secara universal, bahwa seluruh konsumen muda memiliki karakteristik serupa, atau bahwa hubungan statistik yang ditemukan membuktikan sebab-akibat.</w:t>
      </w:r>
    </w:p>
    <w:p>
      <w:pPr>
        <w:pStyle w:val="Heading3"/>
      </w:pPr>
      <w:r>
        <w:rPr>
          <w:rFonts w:ascii="Times New Roman" w:hAnsi="Times New Roman"/>
          <w:sz w:val="24"/>
        </w:rPr>
        <w:t>9. Urgensi penelitian</w:t>
      </w:r>
    </w:p>
    <w:p>
      <w:r>
        <w:rPr>
          <w:rFonts w:ascii="Times New Roman" w:hAnsi="Times New Roman"/>
          <w:sz w:val="24"/>
        </w:rPr>
        <w:t>Bagi pengelola merek, jumlah pengikut dan jangkauan konten belum tentu menunjukkan bahwa konsumen mempercayai influencer atau bersedia mendukung merek. Tanda suka juga berbeda dari kesediaan merekomendasikan, berbagi konten, atau membela merek. Penelitian ini membantu menjelaskan proses yang mungkin menghubungkan penilaian terhadap influencer dengan kesediaan advokasi. Pemisahan antara influencer dan merek penting bagi praktik pemasaran. Konsumen dapat mempercayai influencer tetapi meragukan merek yang dipromosikannya. Konsumen juga dapat menyukai merek tanpa mempunyai hubungan parasosial dengan influencer. Dengan menguji hubungan parasosial dan autentisitas merek secara berurutan, penelitian dapat menunjukkan di bagian mana hubungan tersebut menguat atau tidak didukung. Keluaran penelitian adalah kesediaan advokasi yang dilaporkan responden, bukan tindakan yang diamati langsung. Rekomendasi praktis akan dibatasi pada pola hubungan yang ditemukan dan karakteristik sampel purposif. Hasil tidak akan digunakan untuk menyatakan bahwa semua influencer yang kredibel pasti menghasilkan advokasi atau bahwa satu strategi berlaku bagi semua merek.</w:t>
      </w:r>
    </w:p>
    <w:p>
      <w:pPr>
        <w:pStyle w:val="Heading2"/>
      </w:pPr>
      <w:r>
        <w:rPr>
          <w:rFonts w:ascii="Times New Roman" w:hAnsi="Times New Roman"/>
          <w:sz w:val="24"/>
        </w:rPr>
        <w:t>B. Rumusan Masalah</w:t>
      </w:r>
    </w:p>
    <w:p>
      <w:pPr>
        <w:pStyle w:val="Heading3"/>
      </w:pPr>
      <w:r>
        <w:rPr>
          <w:rFonts w:ascii="Times New Roman" w:hAnsi="Times New Roman"/>
          <w:sz w:val="24"/>
        </w:rPr>
        <w:t>1. Rumusan masalah utama</w:t>
      </w:r>
    </w:p>
    <w:p>
      <w:r>
        <w:rPr>
          <w:rFonts w:ascii="Times New Roman" w:hAnsi="Times New Roman"/>
          <w:sz w:val="24"/>
        </w:rPr>
        <w:t>Bagaimana kredibilitas influencer berhubungan dengan kesediaan advokasi merek digital melalui hubungan parasosial dan autentisitas merek secara berurutan pada Generasi Z dewasa yang berdomisili di Provinsi Sulawesi Utara?</w:t>
      </w:r>
    </w:p>
    <w:p>
      <w:pPr>
        <w:pStyle w:val="Heading3"/>
      </w:pPr>
      <w:r>
        <w:rPr>
          <w:rFonts w:ascii="Times New Roman" w:hAnsi="Times New Roman"/>
          <w:sz w:val="24"/>
        </w:rPr>
        <w:t>2. Rumusan masalah khusus</w:t>
      </w:r>
    </w:p>
    <w:p>
      <w:pPr>
        <w:pStyle w:val="ListNumber"/>
        <w:spacing w:after="40" w:line="360" w:lineRule="auto"/>
      </w:pPr>
      <w:r>
        <w:rPr>
          <w:rFonts w:ascii="Times New Roman" w:hAnsi="Times New Roman"/>
          <w:sz w:val="24"/>
        </w:rPr>
        <w:t>Apakah kredibilitas influencer berhubungan positif dengan</w:t>
      </w:r>
    </w:p>
    <w:p>
      <w:r>
        <w:rPr>
          <w:rFonts w:ascii="Times New Roman" w:hAnsi="Times New Roman"/>
          <w:sz w:val="24"/>
        </w:rPr>
        <w:t>hubungan parasosial?</w:t>
      </w:r>
    </w:p>
    <w:p>
      <w:pPr>
        <w:pStyle w:val="ListNumber"/>
        <w:spacing w:after="40" w:line="360" w:lineRule="auto"/>
      </w:pPr>
      <w:r>
        <w:rPr>
          <w:rFonts w:ascii="Times New Roman" w:hAnsi="Times New Roman"/>
          <w:sz w:val="24"/>
        </w:rPr>
        <w:t>Apakah hubungan parasosial berhubungan positif dengan</w:t>
      </w:r>
    </w:p>
    <w:p>
      <w:r>
        <w:rPr>
          <w:rFonts w:ascii="Times New Roman" w:hAnsi="Times New Roman"/>
          <w:sz w:val="24"/>
        </w:rPr>
        <w:t>autentisitas merek?</w:t>
      </w:r>
    </w:p>
    <w:p>
      <w:pPr>
        <w:pStyle w:val="ListNumber"/>
        <w:spacing w:after="40" w:line="360" w:lineRule="auto"/>
      </w:pPr>
      <w:r>
        <w:rPr>
          <w:rFonts w:ascii="Times New Roman" w:hAnsi="Times New Roman"/>
          <w:sz w:val="24"/>
        </w:rPr>
        <w:t>Apakah autentisitas merek berhubungan positif dengan advokasi</w:t>
      </w:r>
    </w:p>
    <w:p>
      <w:r>
        <w:rPr>
          <w:rFonts w:ascii="Times New Roman" w:hAnsi="Times New Roman"/>
          <w:sz w:val="24"/>
        </w:rPr>
        <w:t>merek digital?</w:t>
      </w:r>
    </w:p>
    <w:p>
      <w:pPr>
        <w:pStyle w:val="ListNumber"/>
        <w:spacing w:after="40" w:line="360" w:lineRule="auto"/>
      </w:pPr>
      <w:r>
        <w:rPr>
          <w:rFonts w:ascii="Times New Roman" w:hAnsi="Times New Roman"/>
          <w:sz w:val="24"/>
        </w:rPr>
        <w:t>Apakah kredibilitas influencer berhubungan langsung dengan</w:t>
      </w:r>
    </w:p>
    <w:p>
      <w:r>
        <w:rPr>
          <w:rFonts w:ascii="Times New Roman" w:hAnsi="Times New Roman"/>
          <w:sz w:val="24"/>
        </w:rPr>
        <w:t>advokasi merek digital setelah mediator diperhitungkan?</w:t>
      </w:r>
    </w:p>
    <w:p>
      <w:pPr>
        <w:pStyle w:val="ListNumber"/>
        <w:spacing w:after="40" w:line="360" w:lineRule="auto"/>
      </w:pPr>
      <w:r>
        <w:rPr>
          <w:rFonts w:ascii="Times New Roman" w:hAnsi="Times New Roman"/>
          <w:sz w:val="24"/>
        </w:rPr>
        <w:t>Apakah hubungan parasosial dan autentisitas merek secara</w:t>
      </w:r>
    </w:p>
    <w:p>
      <w:r>
        <w:rPr>
          <w:rFonts w:ascii="Times New Roman" w:hAnsi="Times New Roman"/>
          <w:sz w:val="24"/>
        </w:rPr>
        <w:t>berurutan memediasi hubungan kredibilitas influencer dengan advokasi merek digital?</w:t>
      </w:r>
    </w:p>
    <w:p>
      <w:pPr>
        <w:pStyle w:val="Heading3"/>
      </w:pPr>
      <w:r>
        <w:rPr>
          <w:rFonts w:ascii="Times New Roman" w:hAnsi="Times New Roman"/>
          <w:sz w:val="24"/>
        </w:rPr>
        <w:t>3. Batasan masalah</w:t>
      </w:r>
    </w:p>
    <w:p>
      <w:r>
        <w:rPr>
          <w:rFonts w:ascii="Times New Roman" w:hAnsi="Times New Roman"/>
          <w:sz w:val="24"/>
        </w:rPr>
        <w:t>Penelitian dibatasi pada individu berusia 18–27 tahun yang berdomisili di Sulawesi Utara, menggunakan media sosial sekurang-kurangnya beberapa kali dalam seminggu, serta pernah melihat influencer acuan mempromosikan atau merekomendasikan merek yang dikenal responden. Setiap responden menilai satu pasangan influencer–merek yang sama pada seluruh bagian kuesioner. Unit analisis adalah individu konsumen. Penelitian tidak mengukur efektivitas penjualan perusahaan, mengaudit objektivitas autentisitas merek, atau mengobservasi unggahan media sosial sebagai bukti tindakan aktual. Pengalaman menggunakan merek tidak menjadi syarat masuk dan hanya digunakan untuk mendeskripsikan sampel. Penelitian tidak membandingkan wilayah sebagai kelompok perlakuan, tidak menguji moderator, dan tidak mengklaim representasi probabilistik karena penarikan sampel dilakukan secara purposif. Definisi kerja yang digunakan adalah: kredibilitas influencer, penilaian atas keahlian, keterpercayaan, dan daya tarik influencer acuan; hubungan parasosial, rasa kedekatan satu arah yang relatif bertahan tanpa mengandaikan relasi timbal balik; autentisitas merek, penilaian atas kontinuitas, kredibilitas, integritas, dan simbolisme merek; serta kesediaan advokasi merek digital, kesediaan merekomendasikan, berbagi konten, dan membela merek secara daring. Definisi terperinci dan indikator dijabarkan pada Bab II dan Bab III.</w:t>
      </w:r>
    </w:p>
    <w:p>
      <w:pPr>
        <w:pStyle w:val="Heading2"/>
      </w:pPr>
      <w:r>
        <w:rPr>
          <w:rFonts w:ascii="Times New Roman" w:hAnsi="Times New Roman"/>
          <w:sz w:val="24"/>
        </w:rPr>
        <w:t>C. Maksud atau Tujuan Riset</w:t>
      </w:r>
    </w:p>
    <w:p>
      <w:pPr>
        <w:pStyle w:val="Heading3"/>
      </w:pPr>
      <w:r>
        <w:rPr>
          <w:rFonts w:ascii="Times New Roman" w:hAnsi="Times New Roman"/>
          <w:sz w:val="24"/>
        </w:rPr>
        <w:t>1. Maksud penelitian</w:t>
      </w:r>
    </w:p>
    <w:p>
      <w:r>
        <w:rPr>
          <w:rFonts w:ascii="Times New Roman" w:hAnsi="Times New Roman"/>
          <w:sz w:val="24"/>
        </w:rPr>
        <w:t>Penelitian ini bermaksud menyusun dan menguji penjelasan mengenai hubungan antara kredibilitas influencer dan kesediaan konsumen melakukan advokasi merek digital, dengan menempatkan hubungan parasosial dan autentisitas merek sebagai mediator berurutan. Rancangan tersebut menjaga pembedaan antara penilaian atas komunikator dan penilaian atas merek serta membedakan kesediaan yang dilaporkan dari perilaku aktual.</w:t>
      </w:r>
    </w:p>
    <w:p>
      <w:pPr>
        <w:pStyle w:val="Heading3"/>
      </w:pPr>
      <w:r>
        <w:rPr>
          <w:rFonts w:ascii="Times New Roman" w:hAnsi="Times New Roman"/>
          <w:sz w:val="24"/>
        </w:rPr>
        <w:t>2. Tujuan penelitian</w:t>
      </w:r>
    </w:p>
    <w:p>
      <w:pPr>
        <w:pStyle w:val="ListNumber"/>
        <w:spacing w:after="40" w:line="360" w:lineRule="auto"/>
      </w:pPr>
      <w:r>
        <w:rPr>
          <w:rFonts w:ascii="Times New Roman" w:hAnsi="Times New Roman"/>
          <w:sz w:val="24"/>
        </w:rPr>
        <w:t>Menganalisis hubungan kredibilitas influencer dengan hubungan</w:t>
      </w:r>
    </w:p>
    <w:p>
      <w:r>
        <w:rPr>
          <w:rFonts w:ascii="Times New Roman" w:hAnsi="Times New Roman"/>
          <w:sz w:val="24"/>
        </w:rPr>
        <w:t>parasosial.</w:t>
      </w:r>
    </w:p>
    <w:p>
      <w:pPr>
        <w:pStyle w:val="ListNumber"/>
        <w:spacing w:after="40" w:line="360" w:lineRule="auto"/>
      </w:pPr>
      <w:r>
        <w:rPr>
          <w:rFonts w:ascii="Times New Roman" w:hAnsi="Times New Roman"/>
          <w:sz w:val="24"/>
        </w:rPr>
        <w:t>Menganalisis hubungan parasosial dengan autentisitas merek.</w:t>
      </w:r>
    </w:p>
    <w:p>
      <w:pPr>
        <w:pStyle w:val="ListNumber"/>
        <w:spacing w:after="40" w:line="360" w:lineRule="auto"/>
      </w:pPr>
      <w:r>
        <w:rPr>
          <w:rFonts w:ascii="Times New Roman" w:hAnsi="Times New Roman"/>
          <w:sz w:val="24"/>
        </w:rPr>
        <w:t>Menganalisis hubungan autentisitas merek dengan advokasi merek</w:t>
      </w:r>
    </w:p>
    <w:p>
      <w:r>
        <w:rPr>
          <w:rFonts w:ascii="Times New Roman" w:hAnsi="Times New Roman"/>
          <w:sz w:val="24"/>
        </w:rPr>
        <w:t>digital.</w:t>
      </w:r>
    </w:p>
    <w:p>
      <w:pPr>
        <w:pStyle w:val="ListNumber"/>
        <w:spacing w:after="40" w:line="360" w:lineRule="auto"/>
      </w:pPr>
      <w:r>
        <w:rPr>
          <w:rFonts w:ascii="Times New Roman" w:hAnsi="Times New Roman"/>
          <w:sz w:val="24"/>
        </w:rPr>
        <w:t>Menganalisis hubungan langsung kredibilitas influencer dengan</w:t>
      </w:r>
    </w:p>
    <w:p>
      <w:r>
        <w:rPr>
          <w:rFonts w:ascii="Times New Roman" w:hAnsi="Times New Roman"/>
          <w:sz w:val="24"/>
        </w:rPr>
        <w:t>advokasi merek digital setelah mediator diperhitungkan.</w:t>
      </w:r>
    </w:p>
    <w:p>
      <w:pPr>
        <w:pStyle w:val="ListNumber"/>
        <w:spacing w:after="40" w:line="360" w:lineRule="auto"/>
      </w:pPr>
      <w:r>
        <w:rPr>
          <w:rFonts w:ascii="Times New Roman" w:hAnsi="Times New Roman"/>
          <w:sz w:val="24"/>
        </w:rPr>
        <w:t>Menguji efek tidak langsung kredibilitas influencer terhadap</w:t>
      </w:r>
    </w:p>
    <w:p>
      <w:r>
        <w:rPr>
          <w:rFonts w:ascii="Times New Roman" w:hAnsi="Times New Roman"/>
          <w:sz w:val="24"/>
        </w:rPr>
        <w:t>advokasi merek digital melalui hubungan parasosial dan autentisitas merek secara berurutan.</w:t>
      </w:r>
    </w:p>
    <w:p>
      <w:pPr>
        <w:pStyle w:val="Heading2"/>
      </w:pPr>
      <w:r>
        <w:rPr>
          <w:rFonts w:ascii="Times New Roman" w:hAnsi="Times New Roman"/>
          <w:sz w:val="24"/>
        </w:rPr>
        <w:t>D. Manfaat Riset</w:t>
      </w:r>
    </w:p>
    <w:p>
      <w:pPr>
        <w:pStyle w:val="Heading3"/>
      </w:pPr>
      <w:r>
        <w:rPr>
          <w:rFonts w:ascii="Times New Roman" w:hAnsi="Times New Roman"/>
          <w:sz w:val="24"/>
        </w:rPr>
        <w:t>1. Manfaat teoretis</w:t>
      </w:r>
    </w:p>
    <w:p>
      <w:r>
        <w:rPr>
          <w:rFonts w:ascii="Times New Roman" w:hAnsi="Times New Roman"/>
          <w:sz w:val="24"/>
        </w:rPr>
        <w:t>Penelitian ini diharapkan mempertemukan teori kredibilitas sumber, hubungan parasosial, transfer makna, autentisitas merek, dan penciptaan nilai bersama dalam satu model yang dapat diuji. Kontribusi teoretis pertama adalah menjelaskan kemungkinan perpindahan dari penilaian terhadap influencer menuju evaluasi terhadap merek melalui proses relasional dan evaluatif. Kontribusi kedua adalah memperlakukan kesediaan advokasi sebagai keluaran yang berbeda dari niat beli, loyalitas, dan keterlibatan pasif. Kontribusi ketiga adalah menguji apakah jalur serial memberikan penjelasan tambahan dibandingkan jalur langsung dan jalur alternatif. Hasil yang tidak mendukung hipotesis juga memiliki nilai teoretis. Misalnya, apabila hubungan parasosial tidak berkaitan dengan autentisitas merek, hasil tersebut dapat menunjukkan batas penjelasan transfer makna. Apabila autentisitas merek tidak berkaitan dengan kesediaan advokasi, peneliti perlu meninjau apakah persepsi autentisitas cukup untuk menjelaskan dukungan publik. Kontribusi tidak ditentukan oleh banyaknya hipotesis yang didukung, melainkan oleh ketepatan pengujian dan pelaporan.</w:t>
      </w:r>
    </w:p>
    <w:p>
      <w:pPr>
        <w:pStyle w:val="Heading3"/>
      </w:pPr>
      <w:r>
        <w:rPr>
          <w:rFonts w:ascii="Times New Roman" w:hAnsi="Times New Roman"/>
          <w:sz w:val="24"/>
        </w:rPr>
        <w:t>2. Manfaat praktis</w:t>
      </w:r>
    </w:p>
    <w:p>
      <w:r>
        <w:rPr>
          <w:rFonts w:ascii="Times New Roman" w:hAnsi="Times New Roman"/>
          <w:sz w:val="24"/>
        </w:rPr>
        <w:t>Bagi pengelola merek, hasil penelitian berpotensi membantu membedakan jangkauan influencer dari hubungan psikologis dan evaluasi merek yang berkaitan dengan kesediaan advokasi. Temuan tidak berarti bahwa memilih influencer yang kredibel saja akan menghasilkan advokasi; strategi merek tetap perlu menjaga konsistensi janji dan tindakan. Bagi influencer, penelitian dapat menekankan pentingnya kualitas informasi, keterpercayaan, keterbukaan kerja sama, dan kesesuaian dengan merek yang dipromosikan. Bagi praktisi riset pemasaran, instrumen yang telah diuji dapat menjadi titik awal untuk penelitian lanjutan, dengan syarat adaptasi dan validitasnya diuji pada konteks baru. Bagi pemangku kepentingan di Sulawesi Utara, temuan dapat menyediakan bukti empiris lokal yang batas generalisasinya dinyatakan secara terbuka. Implikasi praktis yang diharapkan bersifat diagnostik, bukan resep kampanye yang berlaku untuk semua merek. Apabila kredibilitas berhubungan dengan hubungan parasosial, pengelola dapat mempertimbangkan keahlian, keterpercayaan, dan gaya komunikasi ketika memilih mitra influencer, selain memperhatikan jangkauan. Jika hubungan parasosial tidak berkaitan dengan autentisitas merek, kedekatan dengan figur saja tidak cukup untuk dijadikan alasan bahwa konsumen akan memandang merek autentik. Apabila autentisitas berkaitan dengan kesediaan advokasi, hasil tetap menunjukkan hubungan pada sampel yang diteliti, bukan jaminan tindakan aktual. Pemisahan jalur juga membantu mencegah keputusan praktis yang terlalu umum. Hubungan langsung kredibilitas–advokasi, jika ditemukan, tidak menghapus kebutuhan untuk menjaga konsistensi janji merek. Efek tidak langsung serial, jika didukung, dapat memberi petunjuk mengenai bagian proses yang patut diperhatikan; jika tidak didukung, hasil tersebut tidak otomatis berarti influencer tidak berguna. Penjelasan dapat bergantung pada kecocokan objek, pengalaman responden, atau mutu instrumen yang harus dibahas sesuai data, tanpa menambah klaim yang tidak diuji. Karena penelitian mengukur kesediaan yang dilaporkan, praktisi tidak seharusnya mengubah koefisien menjadi perkiraan jumlah unggahan, rekomendasi, atau pembelaan nyata. Temuan dapat digunakan sebagai dasar untuk merancang evaluasi kampanye yang lebih terarah atau penelitian lanjutan dengan perilaku teramati, tetapi keputusan operasional tetap memerlukan bukti tambahan dan pertimbangan etika komunikasi.</w:t>
      </w:r>
    </w:p>
    <w:p>
      <w:pPr>
        <w:pStyle w:val="Heading2"/>
      </w:pPr>
      <w:r>
        <w:rPr>
          <w:rFonts w:ascii="Times New Roman" w:hAnsi="Times New Roman"/>
          <w:sz w:val="24"/>
        </w:rPr>
        <w:t>E. Hipotesis</w:t>
      </w:r>
    </w:p>
    <w:p>
      <w:r>
        <w:rPr>
          <w:rFonts w:ascii="Times New Roman" w:hAnsi="Times New Roman"/>
          <w:sz w:val="24"/>
        </w:rPr>
        <w:t>H1. Kredibilitas influencer berhubungan positif dengan hubungan parasosial. H2. Hubungan parasosial berhubungan positif dengan autentisitas merek. H3. Autentisitas merek berhubungan positif dengan kesediaan advokasi merek digital. H4. Kredibilitas influencer berhubungan langsung dengan kesediaan advokasi merek digital setelah mediator diperhitungkan. H5. Hubungan parasosial dan autentisitas merek secara berurutan memediasi hubungan kredibilitas influencer dengan kesediaan advokasi merek digital. BAB II. TINJAUAN PUSTAKA DAN KERANGKA PEMIKIRAN</w:t>
      </w:r>
    </w:p>
    <w:p>
      <w:r>
        <w:br w:type="page"/>
      </w:r>
    </w:p>
    <w:p>
      <w:pPr>
        <w:pStyle w:val="Heading1"/>
      </w:pPr>
      <w:r>
        <w:rPr>
          <w:rFonts w:ascii="Times New Roman" w:hAnsi="Times New Roman"/>
          <w:sz w:val="28"/>
        </w:rPr>
        <w:t>BAB II. TINJAUAN PUSTAKA DAN KERANGKA PEMIKIRAN</w:t>
      </w:r>
    </w:p>
    <w:p>
      <w:pPr>
        <w:pStyle w:val="Heading2"/>
      </w:pPr>
      <w:r>
        <w:rPr>
          <w:rFonts w:ascii="Times New Roman" w:hAnsi="Times New Roman"/>
          <w:sz w:val="24"/>
        </w:rPr>
        <w:t>A. Tinjauan Pustaka</w:t>
      </w:r>
    </w:p>
    <w:p>
      <w:pPr>
        <w:pStyle w:val="Heading3"/>
      </w:pPr>
      <w:r>
        <w:rPr>
          <w:rFonts w:ascii="Times New Roman" w:hAnsi="Times New Roman"/>
          <w:sz w:val="24"/>
        </w:rPr>
        <w:t>1. Kerangka utama S-O-R dan teori pendukung</w:t>
      </w:r>
    </w:p>
    <w:p>
      <w:r>
        <w:rPr>
          <w:rFonts w:ascii="Times New Roman" w:hAnsi="Times New Roman"/>
          <w:sz w:val="24"/>
        </w:rPr>
        <w:t>Kerangka utama penelitian adalah stimulus-organism-response (S-O-R), yang menjelaskan bagaimana stimulus lingkungan berkaitan dengan keadaan internal individu dan selanjutnya dengan respons (Jacoby, 2002). Model ini menempatkan kredibilitas influencer sebagai stimulus; hubungan parasosial dan autentisitas merek sebagai dua keadaan internal yang dibedakan dan diurutkan secara teoretis; serta kesediaan advokasi merek digital sebagai respons. Susunan itu membuat mekanisme KI → HP → AM → AMD dapat diuji dalam satu kerangka, sambil mempertahankan jalur langsung dan alternatif yang telah ditetapkan. Studi pemasaran influencer berbasis S-O-R menunjukkan relevansi kerangka ini untuk menjelaskan respons konsumen dan advokasi, tetapi tidak dengan sendirinya memvalidasi rantai serial serta populasi yang diuji di sini (Luarn et al., 2025; Sahu et al., 2026). Teori kredibilitas sumber, hubungan parasosial, transfer makna, dan autentisitas merek kemudian menjelaskan mekanisme spesifik; service-dominant logic (SDL) ditempatkan sebagai perspektif pendamping tentang penciptaan nilai, bukan sebagai teori mekanisme kedua yang bersaing dengan S-O-R. a. Kerangka stimulus-organism-response Jacoby (2002) menegaskan bahwa S-O-R menyediakan struktur untuk menelaah respons konsumen dengan memperhitungkan proses internal, bukan mengasumsikan hubungan stimulus dan perilaku selalu langsung. Dalam penelitian ini, KI merepresentasikan stimulus yang dinilai responden; HP merepresentasikan respons relasional internal terhadap influencer; AM merepresentasikan evaluasi internal berikutnya terhadap merek; dan AMD merepresentasikan kesediaan perilaku pro-merek di ranah digital. HP dan AM karena itu diperlakukan sebagai dua mekanisme organism yang berbeda, bukan satu variabel psikologis yang digabungkan. Penggunaan S-O-R pada riset influencer mendukung relevansi kerangka untuk menjelaskan respons audiens, tetapi konstruk mediator dan luaran di tiap studi berbeda (Luarn et al., 2025; Sahu et al., 2026). S-O-R sendiri tidak menetapkan bahwa kredibilitas harus membentuk hubungan parasosial, bahwa hubungan parasosial pasti mengubah autentisitas merek, atau bahwa autentisitas pasti menghasilkan advokasi. Hubungan tersebut dibangun dengan teori mekanistik pada subbagian berikut, lalu diuji dengan data. Survei satu gelombang hanya mengestimasi pola asosiasi yang konsisten dengan urutan teori dan tidak memastikan urutan waktu atau sebab-akibat. b. Service-dominant logic sebagai perspektif penciptaan nilai Vargo dan Lusch (2004, 2008) mengembangkan service-dominant logic sebagai perspektif yang memandang pertukaran sebagai proses penggunaan sumber daya dan penciptaan nilai bersama. Nilai tidak hanya ditentukan ketika perusahaan menghasilkan barang atau menyampaikan pesan. Konsumen mengintegrasikan sumber daya, pengalaman, pengetahuan, dan konteks mereka ketika menggunakan atau menilai penawaran. Dalam konteks pemasaran digital, konsumen juga dapat berkontribusi dengan membagikan pengalaman, memberikan penilaian, bertanya, atau menyebarkan informasi kepada anggota jaringan lainnya. Perspektif tersebut tidak menyatakan bahwa semua partisipasi konsumen bernilai sama bagi organisasi. Sebuah tanda suka, komentar, rekomendasi, dan pembelaan publik memiliki tuntutan serta risiko sosial yang berbeda. Rekomendasi sukarela dapat memperluas jangkauan informasi; pembelaan dapat mengurangi penyebaran informasi yang dianggap keliru; masukan dapat membantu organisasi memahami kebutuhan konsumen. Pada saat yang sama, perilaku tersebut tidak selalu menguntungkan atau benar. Konsumen dapat menyampaikan kritik yang sah, dan advokasi bukanlah tujuan normatif yang harus dicapai dengan mengorbankan keterbukaan atau kepentingan publik. Dalam model penelitian, service-dominant logic berfungsi sebagai payung yang menjelaskan mengapa dukungan konsumen relevan sebagai luaran. Teori ini tidak secara langsung menetapkan bahwa kredibilitas influencer menyebabkan advokasi. Hubungan spesifik tersebut dijelaskan melalui teori pada tingkat komunikator dan hubungan konsumen–figur, kemudian diuji secara empiris. c. Teori kredibilitas sumber Hovland, Janis, dan Kelley (1953) menempatkan karakteristik sumber sebagai salah satu unsur penting dalam proses persuasi. Penerima pesan menilai bukan hanya isi pesan, tetapi juga siapa yang menyampaikan dan seberapa layak sumber itu dipercaya. Ohanian (1990) mengembangkan skala persepsi terhadap endorser melalui dimensi keahlian, keterpercayaan, dan daya tarik. Dalam penelitian ini, dimensi tersebut diterapkan pada influencer dengan penyesuaian bahasa dan konteks yang tetap perlu diuji. Keahlian merujuk pada persepsi bahwa komunikator memiliki pengetahuan, pengalaman, atau kemampuan yang relevan dengan topik rekomendasi. Keterpercayaan merujuk pada penilaian mengenai kejujuran dan keterandalan komunikator. Daya tarik merujuk pada daya tarik komunikator sebagai figur, bukan semata-mata penampilan fisik. Di media sosial, daya tarik dapat meliputi gaya komunikasi dan kesan personal yang membuat konten diperhatikan. Dimensi-dimensi itu berbeda secara konseptual, meskipun dapat saling berkaitan dalam pengalaman konsumen. Kredibilitas perlu dibedakan dari popularitas. Jumlah pengikut dapat memperlihatkan besarnya audiens potensial, tetapi tidak mengukur dengan sendirinya keahlian, kejujuran, ataupun ketertarikan audiens pada suatu rekomendasi. Kredibilitas juga berbeda dari kesesuaian influencer–merek. Seorang figur dapat dipandang kredibel secara umum, tetapi belum tentu sesuai dengan setiap merek. Kesesuaian tersebut merupakan kemungkinan penjelasan kontekstual, bukan konstruk atau jalur yang diuji dalam model ini. Keahlian, keterpercayaan, dan daya tarik menjadi tiga sisi konseptual kredibilitas influencer. Rencana pengukuran dan alasan penggabungan dimensi dijelaskan secara ringkas pada Bab III. d. Teori hubungan parasosial Horton dan Wohl (1956) menjelaskan hubungan parasosial sebagai pengalaman kedekatan dengan figur media yang dapat terasa personal meskipun tidak terbentuk hubungan timbal balik yang setara. Konsep tersebut awalnya berkembang dalam konteks media penyiaran, tetapi dapat digunakan untuk memahami hubungan antara audiens dan figur digital yang kontennya diikuti secara berulang. Media sosial memberi lebih banyak isyarat personal dan kesempatan respons, namun komentar atau balasan yang bersifat publik tidak otomatis menunjukkan hubungan dekat secara pribadi. Dibble et al. (2016) membahas perlunya membedakan parasocial interaction dari parasocial relationship dan menilai secara kritis instrumen yang digunakan. Interaksi parasosial lebih dekat dengan pengalaman ketika paparan berlangsung, sedangkan hubungan parasosial menekankan rasa kedekatan lintas paparan. Penelitian ini menggunakan istilah hubungan parasosial karena butirnya menilai kesan kedekatan yang relatif berulang, bukan pengalaman sesaat ketika satu konten ditonton. Kriteria responden hanya mensyaratkan mengikuti influencer dan pernah melihat promosi atau rekomendasinya; lama mengikuti tidak dijadikan syarat inklusi. Hubungan parasosial dioperasionalkan melalui persepsi pertemanan, keterikatan emosional, dan pemahaman terhadap figur yang sama. Ketiga domain merujuk pada rasa kedekatan satu arah yang relatif berkelanjutan, bukan frekuensi komunikasi timbal balik atau pengalaman sesaat ketika menonton konten. Definisi dan batas setiap butir ditelaah melalui pemetaan sumber, penilaian ahli, wawancara kognitif, serta pengujian model pengukuran. Rasa pertemanan, keterikatan emosional, dan pemahaman terhadap figur merupakan sisi yang berbeda dari hubungan parasosial. Butir untuk setiap sisi diperiksa sebelum hubungan struktural diuji, sebagaimana dijelaskan pada Bab III. e. Transfer makna dan evaluasi merek McCracken (1989) menjelaskan bahwa figur endorser dapat membawa asosiasi sosial dan simbolik yang kemudian dikaitkan dengan produk. Gagasan transfer makna memberi kemungkinan bahwa penilaian audiens terhadap figur menjadi petunjuk awal dalam memahami merek yang diasosiasikan dengannya. Dalam penelitian ini, hubungan parasosial diperkirakan memperkuat perhatian atau keterbukaan terhadap pesan merek yang disampaikan figur. Namun, transfer makna bukan proses otomatis dan tidak berarti bahwa semua makna figur berpindah utuh ke merek. Kesesuaian influencer–merek, kategori produk, pengalaman menggunakan merek, dan paparan pengungkapan sponsor dapat menjadi konteks bagi hubungan tersebut. Sebagian informasi ini dikumpulkan untuk mendeskripsikan sampel, tetapi tidak ditambahkan sebagai konstruk atau jalur pengujian utama. f. Autentisitas, hubungan konsumen–merek, dan penciptaan nilai Autentisitas merek menyediakan kerangka untuk memahami evaluasi konsumen terhadap konsistensi, kepercayaan, integritas, dan makna identitas merek (Napoli et al., 2014; Morhart et al., 2015). Literatur hubungan konsumen–merek menekankan bahwa konsumen dapat mengembangkan makna, keterikatan, dan ekspektasi terhadap merek (Fournier, 1998). Autentisitas tidak identik dengan loyalitas, kepuasan, atau citra positif. Merek yang disukai belum tentu dianggap autentik; merek yang dinilai autentik pun belum tentu menjadi pilihan pembelian setiap konsumen. Dalam model penelitian, autentisitas merek diposisikan sebagai mediator evaluatif. Setelah menilai sumber dan mengalami kedekatan terhadap figur, konsumen tetap perlu menilai merek sebagai entitas tersendiri. Persepsi bahwa merek konsisten, dapat dipercaya, berintegritas, dan mempunyai makna simbolik berpotensi menurunkan keraguan ketika konsumen mempertimbangkan dukungan publik. Jalur ini merupakan proposisi teoretis, bukan asumsi bahwa autentisitas selalu mendorong semua bentuk advokasi. Empat dimensi autentisitas yang digunakan adalah kontinuitas, kredibilitas merek, integritas, dan simbolisme (Morhart et al., 2015). Dimensi ini mencakup sisi yang berbeda: konsumen dapat menilai integritas merek tanpa mengetahui sejarahnya secara mendalam, atau mengenali makna simbolik tanpa mengetahui konsistensi praktiknya. Karena itu, kuesioner menyediakan pilihan “tidak dapat menilai” untuk pernyataan yang memerlukan pengetahuan khusus. g. Sintesis teori terhadap model penelitian Susunan argumentasi penelitian dapat diringkas sebagai berikut. Teori kredibilitas sumber menjelaskan penilaian awal terhadap influencer; teori hubungan parasosial menjelaskan rasa kedekatan pada influencer; transfer makna menjelaskan kemungkinan keterkaitan antara kedekatan figur dengan evaluasi merek; kerangka autentisitas menjelaskan sifat evaluasi merek yang diuji; dan service-dominant logic menjelaskan relevansi kesediaan konsumen berkontribusi melalui advokasi digital. Setiap kerangka memiliki lingkup yang berbeda dan tidak digunakan untuk mengklaim kausalitas yang melampaui desain. h. Batas penggunaan teori dalam model Susunan teori penelitian bersifat komplementer, bukan penjumlahan beberapa teori menjadi satu klaim besar. Teori kredibilitas sumber menjelaskan bagaimana audiens menilai orang yang menyampaikan pesan; teori hubungan parasosial menerangkan rasa kedekatan yang dapat berkembang terhadap figur; transfer makna memberi alasan mengapa asosiasi figur mungkin menjadi petunjuk ketika merek dinilai; dan kerangka autentisitas membantu menentukan sifat evaluasi merek yang dimaksud. Service-dominant logic memberi konteks yang lebih luas tentang kontribusi konsumen, tetapi tidak secara langsung memprediksi setiap jalur dalam persamaan. Pembedaan fungsi tersebut mencegah dua kekeliruan. Pertama, teori yang menerangkan satu bagian model tidak dapat digunakan untuk menyimpulkan bahwa semua bagian lain pasti bekerja. Kedua, urutan argumentasi dalam proposal tidak sama dengan urutan waktu yang telah diamati. H1–H5 merupakan proposisi yang didasarkan pada teori dan temuan terdahulu; dukungannya akan ditentukan oleh kualitas pengukuran dan hasil data, bukan oleh banyaknya teori yang dikutip. Pada tingkat konsep, penelitian menggunakan satu pasangan influencer– merek untuk setiap responden. Penetapan pasangan yang sama membantu mencegah responden menilai kredibilitas seorang influencer pada satu kategori, lalu menilai autentisitas merek yang tidak terkait. Keputusan ini menjaga konsistensi objek penilaian, meskipun pilihan merek yang berbeda di antara responden tetap mengurangi keseragaman kategori. Keterbatasan tersebut dilaporkan sebagai bagian dari konteks, bukan diatasi dengan menambah model perbandingan merek. Pemilihan empat konstruk juga menjaga perbedaan objek penilaian. KI dan HP sama-sama berfokus pada influencer, tetapi yang pertama merupakan evaluasi atas kelayakan sumber sedangkan yang kedua merupakan pengalaman relasional pengikut. AM berfokus pada merek, bukan pada kualitas influencer, dan AMD berfokus pada kesiapan responden mendukung merek, bukan pada penilaian autentisitas itu sendiri. Pemisahan tersebut membantu menjelaskan mengapa skor tinggi pada satu konstruk tidak secara definisional mengharuskan skor tinggi pada konstruk berikutnya. Rantai KI → HP → AM → AMD karena itu merupakan penjelasan teoretis yang dapat gagal pada salah satu tahap. Influencer dapat dinilai kredibel tanpa menimbulkan rasa akrab; hubungan parasosial dapat terbentuk tanpa memengaruhi penilaian autentisitas merek; dan merek yang dianggap autentik belum tentu mendorong kesediaan advokasi. Menempatkan setiap konstruk secara terpisah memungkinkan proposal mengidentifikasi bagian mekanisme yang didukung atau tidak didukung, tanpa menyimpulkan bahwa kegagalan satu jalur otomatis membatalkan definisi konstruk lain.</w:t>
      </w:r>
    </w:p>
    <w:p>
      <w:pPr>
        <w:pStyle w:val="Heading3"/>
      </w:pPr>
      <w:r>
        <w:rPr>
          <w:rFonts w:ascii="Times New Roman" w:hAnsi="Times New Roman"/>
          <w:sz w:val="24"/>
        </w:rPr>
        <w:t>2. Kredibilitas influencer</w:t>
      </w:r>
    </w:p>
    <w:p>
      <w:r>
        <w:rPr>
          <w:rFonts w:ascii="Times New Roman" w:hAnsi="Times New Roman"/>
          <w:sz w:val="24"/>
        </w:rPr>
        <w:t>a. Pengertian dan batas konstruk Kredibilitas influencer adalah penilaian subjektif responden mengenai kelayakan seorang influencer sebagai sumber rekomendasi. Penilaian ini bergantung pada kategori produk dan konteks pesan. Influencer yang dipandang memiliki keahlian pada bidang tertentu belum tentu memiliki kredibilitas yang sama pada bidang lain. Oleh sebab itu, responden diminta merujuk pada satu influencer dan satu merek yang konsisten sepanjang kuesioner. Konstruk ini dibedakan dari empat konsep yang berdekatan. Pertama, popularitas mengacu pada jangkauan atau keterkenalan dan tidak menjadi indikator langsung kredibilitas. Kedua, autentisitas influencer menyangkut kesan bahwa figur menampilkan diri secara autentik dan berbeda dari kredibilitas pesan; penelitian tidak menjadikan autentisitas influencer sebagai konstruk utama. Ketiga, paparan pengungkapan sponsor ditanyakan terpisah untuk menggambarkan konteks, bukan sebagai indikator kredibilitas atau variabel kontrol. Keempat, homofili atau kemiripan yang dirasakan tidak dimasukkan sebagai indikator kredibilitas karena kemiripan dapat menjelaskan kedekatan relasional secara tersendiri. b. Dimensi kredibilitas Keahlian mencerminkan persepsi responden bahwa influencer memahami kategori atau produk yang direkomendasikannya. Penilaian tersebut tidak membuktikan kompetensi objektif influencer, melainkan merekam evaluasi konsumen. Keterpercayaan menunjukkan sejauh mana responden menganggap pernyataan dan rekomendasi influencer jujur serta dapat diandalkan. Daya tarik merujuk pada daya tarik influencer sebagai komunikator, termasuk kesan personal dan gaya penyajian konten. Pemisahan ketiga dimensi penting untuk pemilihan influencer. Angka pengikut tidak dapat menggantikan penilaian mengenai kesesuaian keahlian. Gaya komunikasi yang menarik tidak menggantikan kejujuran. Demikian pula, keterpercayaan tidak memastikan bahwa audiens akan merasa dekat secara emosional. Dimensi-dimensi tersebut dapat berkorelasi, tetapi pengukuran harus menunjukkan bahwa masing-masing tetap dapat dibedakan. c. Bukti empiris dan implikasi Lou dan Yuan (2019) menghubungkan kredibilitas influencer dengan kepercayaan atas konten bermerek. Yuan dan Lou (2020) secara lebih langsung menelaah peran kredibilitas sumber dan keadilan yang dirasakan dalam hubungan parasosial dengan influencer serta minat produk. Sokolova dan Kefi (2020) menguji kredibilitas dan interaksi parasosial dalam kaitannya dengan niat beli pada konteks blogger. Bukti-bukti ini mendukung relevansi penilaian sumber dan proses parasosial dalam pemasaran influencer, tetapi luaran dan definisi parasosialnya tidak identik dengan advokasi merek digital dan hubungan parasosial pada penelitian ini. Implikasinya, hubungan kredibilitas dengan hubungan parasosial layak diuji tetapi tidak boleh dianggap pasti. Responden mungkin menilai influencer kredibel karena telah merasa dekat; hubungan dapat berlangsung dua arah secara konseptual meskipun model utama menetapkan arah teoretis KI → HP. Penelitian mengatasi batas ini dengan menyatakan bahwa koefisien survei potong lintang menunjukkan asosiasi kondisional, bukan bukti urutan waktu. d. Kekhasan kredibilitas pada influencer digital Skala Ohanian (1990) menyediakan landasan bagi tiga dimensi kredibilitas—keahlian, keterpercayaan, dan daya tarik. Penelitian ini mengadaptasi redaksi untuk konteks influencer digital dan rekomendasi merek; kesesuaian butir dengan definisi dimensi akan dinilai sebelum pengumpulan data utama. Validitas instrumen tidak diasumsikan hanya berdasarkan penggunaan skala sumber. Keahlian tidak sama dengan menghafal spesifikasi produk. Dalam survei, responden menilai apakah influencer tampak memahami kategori yang dibicarakan dan mampu menjelaskan rekomendasi dengan meyakinkan. Penilaian ini tidak mengesahkan kompetensi profesional atau keamanan produk secara objektif. Demikian pula, keterpercayaan mengacu pada persepsi atas kejujuran dan keterandalan pesan, bukan audit terhadap seluruh kemitraan komersial influencer. Daya tarik juga tidak dibatasi pada ciri fisik; gaya penyampaian dan kesan personal dapat menjadi bagian dari daya tarik komunikator dalam media sosial. Karakteristik sumber dapat berinteraksi dengan kategori produk. Rekomendasi produk yang memerlukan pengetahuan khusus mungkin lebih bergantung pada keahlian, sedangkan kategori gaya hidup dapat lebih menonjolkan daya tarik atau kesesuaian persona. De Veirman et al. (2017) memperlihatkan bahwa jumlah pengikut dan kesesuaian produk berkaitan dengan respons merek, sedangkan Lou dan Yuan (2019) menempatkan nilai pesan dan kredibilitas sebagai bagian dari kepercayaan terhadap konten bermerek. Temuan tersebut mendukung kehati-hatian dalam membedakan kredibilitas dari popularitas, tetapi tidak mengharuskan penelitian ini menambah kategori produk sebagai moderator. Transparansi sponsor dapat menjadi isyarat yang memengaruhi cara pesan ditafsirkan. Namun, transparansi tidak identik dengan kredibilitas keseluruhan dan bukan salah satu dimensi inti yang sedang diuji. Karena itu, satu pertanyaan paparan sponsor diletakkan pada bagian informasi tambahan. Hasilnya dapat membantu menjelaskan komposisi paparan responden, tetapi tidak dimasukkan ke skor kredibilitas atau digunakan untuk menetapkan jalur baru. Pemisahan ini mencegah konstruk kredibilitas menjadi terlalu luas dan menghindari tumpang tindih antara penilaian komunikator dan karakter pesan komersial. e. Kredibilitas sebagai penilaian komunikator, bukan hasil persuasi Kredibilitas menggambarkan evaluasi terhadap sumber, sedangkan penerimaan atau dukungan merupakan respons yang mungkin mengikuti evaluasi tersebut. Pembedaan ini penting karena seseorang dapat mengakui bahwa influencer mengetahui suatu kategori tanpa menyetujui semua rekomendasinya. Konsumen juga dapat menilai pesan tertentu menarik karena formatnya, bukan karena mereka mempercayai sumber. Ohanian (1990) menyediakan kerangka dimensi yang terpisah, sedangkan teori kredibilitas sumber menjelaskan mengapa penilaian komunikator dapat memengaruhi pemrosesan pesan tanpa menyatakan bahwa hasil persuasi selalu muncul. Lou dan Yuan (2019) membahas kepercayaan terhadap konten bermerek dan Sokolova dan Kefi (2020) menempatkan kredibilitas dalam rangkaian respons terhadap influencer. Kedua studi memberi konteks bahwa karakteristik komunikator relevan, tetapi penelitian ini tidak menyamakan kepercayaan terhadap konten dengan hubungan parasosial. Butir kredibilitas tidak menanyakan “saya merasa dekat” dan butir hubungan parasosial tidak menanyakan “rekomendasinya selalu benar”. Batas redaksi ini membantu mengurangi korelasi yang timbul hanya karena dua skala memakai kata-kata kepercayaan atau kedekatan secara tidak tepat. Implikasi lainnya ialah bahwa kredibilitas sebaiknya dibaca pada objek yang telah ditetapkan. Jawaban responden menilai satu influencer pada konteks satu merek yang pernah dipromosikan atau direkomendasikan. Skor tidak dapat dianggap sebagai peringkat kredibilitas umum influencer tersebut untuk semua kategori. Batas objek ini membuat interpretasi lebih sesuai dengan pengalaman responden dan sekaligus membatasi perluasan simpulan.</w:t>
      </w:r>
    </w:p>
    <w:p>
      <w:pPr>
        <w:pStyle w:val="Heading3"/>
      </w:pPr>
      <w:r>
        <w:rPr>
          <w:rFonts w:ascii="Times New Roman" w:hAnsi="Times New Roman"/>
          <w:sz w:val="24"/>
        </w:rPr>
        <w:t>3. Hubungan parasosial</w:t>
      </w:r>
    </w:p>
    <w:p>
      <w:r>
        <w:rPr>
          <w:rFonts w:ascii="Times New Roman" w:hAnsi="Times New Roman"/>
          <w:sz w:val="24"/>
        </w:rPr>
        <w:t>a. Ciri hubungan parasosial pada media sosial Hubungan parasosial dapat berkembang melalui paparan yang berulang, konsistensi figur, narasi personal, dan pengalaman audiens mengikuti konten. Platform digital memungkinkan komentar, siaran langsung, dan respons yang mungkin memberi kesan kedekatan lebih kuat. Namun, hubungan tersebut tetap dapat bersifat asimetris. Banyak pengikut dapat melihat konten yang sama, sementara influencer tidak memiliki relasi personal yang setara dengan masingmasing pengikut. Jumlah unggahan dan lama mengikuti tidak digunakan sebagai pengganti skor hubungan parasosial. Skor dibentuk dari butir yang menilai persepsi pertemanan, keterikatan emosional, dan pemahaman terhadap influencer. Jika wawancara kognitif atau pilot menunjukkan bahwa suatu butir lebih mencerminkan kebiasaan menonton daripada rasa kedekatan, redaksinya ditinjau sebelum survei utama. b. Hubungan parasosial sebagai mediator pertama Secara teoretis, sumber yang dinilai memiliki keahlian dan keterpercayaan dapat lebih mudah memperoleh perhatian berulang. Yuan dan Lou (2020) memberikan bukti yang paling dekat untuk hubungan antara kredibilitas sumber dan hubungan parasosial dalam konteks influencer. Aw dan Chuah (2021) menunjukkan bahwa hubungan parasosial dengan influencer digital juga berkaitan dengan proses kesesuaian diri; temuan tersebut memperkuat relevansi konteks influencer, tetapi bukan uji langsung jalur KI → HP pada model ini. Dengan demikian, H1 memiliki dukungan empiris parsial dan tetap harus diuji pada definisi serta populasi penelitian. Hubungan parasosial dapat menjadi mediator antara kredibilitas dan evaluasi merek apabila rasa akrab meningkatkan keterbukaan terhadap rekomendasi atau makna yang dibawa figur. Namun, dua hal perlu dijaga. Pertama, butir kredibilitas tidak boleh memasukkan kesamaan nilai yang pada dasarnya dekat dengan homofili atau rasa kedekatan. Kedua, butir hubungan parasosial tidak boleh mengukur kepercayaan terhadap merek. Pengujian validitas diskriminan akan memeriksa apakah responden membedakan konstruk-konstruk tersebut. c. Pembedaan konsep dan batas pengukuran hubungan parasosial Hubungan parasosial bukan sekadar sering menonton konten. Paparan berulang dapat memberi kesempatan bagi rasa akrab untuk berkembang, tetapi jumlah tayangan atau lama mengikuti akun tidak dengan sendirinya menunjukkan kedekatan psikologis. Karena itu, penelitian menilai persepsi relasional melalui pernyataan mengenai rasa pertemanan, keterikatan emosional, dan pemahaman terhadap figur. Pengalaman aktual mengikuti influencer hanya menjadi konteks penyaringan; durasinya tidak dijadikan syarat minimum. Konstruk ini juga perlu dibedakan dari interaksi parasosial yang lebih dekat dengan pengalaman sesaat ketika seseorang menyaksikan atau merespons konten. Dibble et al. (2016) menunjukkan bahwa istilah interaksi dan hubungan parasosial kerap digunakan secara tidak konsisten, sehingga instrumen perlu disesuaikan dengan klaim yang dibuat. Pernyataan “saya merasa nyaman ketika menyimak konten” dapat mendekati kenyamanan saat paparan, sedangkan “saya merasa dekat secara emosional” lebih langsung menyasar hubungan yang dirasakan. Wawancara kognitif membantu melihat apakah responden memahami perbedaan tersebut. Hubungan parasosial bukan hubungan timbal balik yang setara dan bukan bukti bahwa influencer mengenal responden. Balasan komentar, siaran langsung, atau penggunaan kata ganti personal dapat memberi kesan adanya interaksi, tetapi belum tentu mengubah sifat asimetris hubungan. Untuk menghindari penafsiran literal, instruksi dan butir tidak meminta responden menyatakan bahwa influencer mengenal dirinya. Jawaban mengukur pengalaman pengikut, bukan mutu hubungan pribadi yang dikonfirmasi kedua pihak. Homofili, identifikasi, keterikatan, dan kepercayaan juga berdekatan dengan hubungan parasosial, tetapi bukan istilah yang dapat dipertukarkan. Homofili merujuk pada kemiripan yang dirasakan; identifikasi berkaitan dengan proses melihat diri melalui figur; keterikatan dapat menunjukkan ikatan afektif yang lebih luas; sedangkan kepercayaan terhadap merek mengarah pada objek yang berbeda. Butir kemiripan nilai tidak dipertahankan sebagai indikator hubungan parasosial agar rasa serupa tidak tercampur dengan rasa dekat. Pembedaan ini penting karena hubungan parasosial harus merujuk pada influencer, sementara autentisitas dalam model merujuk pada merek. d. Paparan digital, rasa akrab, dan pembedaan dengan relasi aktual Platform digital menyediakan isyarat yang dapat meningkatkan kesan kedekatan, seperti penggunaan bahasa personal, cerita sehari-hari, siaran langsung, serta akses pada jejak konten yang telah terbit. Namun, affordance platform tidak menghapus perbedaan antara komunikasi publik dan relasi interpersonal. Satu unggahan dapat ditonton oleh banyak orang dan tanggapan influencer kepada audiens tidak dengan sendirinya membentuk hubungan yang setara. Karena itu, hubungan parasosial dalam proposal ini dipahami sebagai persepsi pengikut, bukan ukuran frekuensi kontak pribadi. Kedekatan yang dirasakan dapat memengaruhi perhatian pada rekomendasi, tetapi dapat pula berkembang seiring perhatian itu sendiri. Penilaian terhadap kredibilitas, paparan berulang, dan isi narasi figur mungkin berkaitan secara bersamaan. Literatur yang menggunakan istilah parasocial interaction dan parasocial relationship tidak selalu mengukur hal yang sama; Dibble et al. (2016) menekankan perlunya menyesuaikan istilah dengan instrumen. Penelitian ini memilih item yang merefleksikan hubungan yang dirasakan lintas paparan dan menghindari klaim bahwa responden berkomunikasi secara pribadi dengan influencer. Untuk tujuan pengujian H1, hubungan KI → HP merupakan dugaan bahwa evaluasi sumber yang lebih positif berkaitan dengan rasa akrab yang lebih kuat. Dugaan tersebut tidak menyiratkan bahwa kredibilitas merupakan satu-satunya pembentuk hubungan parasosial atau bahwa arah sebaliknya mustahil. Batas itu disampaikan dalam rumusan hipotesis dan kembali diperhatikan ketika koefisien hasil survei dibahas.</w:t>
      </w:r>
    </w:p>
    <w:p>
      <w:pPr>
        <w:pStyle w:val="Heading3"/>
      </w:pPr>
      <w:r>
        <w:rPr>
          <w:rFonts w:ascii="Times New Roman" w:hAnsi="Times New Roman"/>
          <w:sz w:val="24"/>
        </w:rPr>
        <w:t>4. Autentisitas merek</w:t>
      </w:r>
    </w:p>
    <w:p>
      <w:r>
        <w:rPr>
          <w:rFonts w:ascii="Times New Roman" w:hAnsi="Times New Roman"/>
          <w:sz w:val="24"/>
        </w:rPr>
        <w:t>a. Konsep autentisitas merek Autentisitas merek merupakan persepsi konsumen bahwa merek memiliki karakter yang terasa konsisten, dapat dipercaya, berintegritas, dan bermakna. Konsep ini tidak dapat direduksi menjadi sejarah merek yang panjang atau desain yang sederhana. Beverland (2005) serta Beverland dan Farrelly (2010) menunjukkan bahwa konsumen menafsirkan isyarat autentisitas secara kontekstual; isyarat tertentu dapat bermakna bagi satu kelompok tetapi tidak bagi kelompok lain. Napoli et al. (2014) dan Morhart et al. (2015) menawarkan pengukuran yang menempatkan evaluasi autentisitas pada sudut pandang konsumen. b. Dimensi autentisitas yang digunakan</w:t>
      </w:r>
    </w:p>
    <w:p>
      <w:pPr>
        <w:pStyle w:val="ListNumber"/>
        <w:spacing w:after="40" w:line="360" w:lineRule="auto"/>
      </w:pPr>
      <w:r>
        <w:rPr>
          <w:rFonts w:ascii="Times New Roman" w:hAnsi="Times New Roman"/>
          <w:sz w:val="24"/>
        </w:rPr>
        <w:t>Kontinuitas menunjukkan persepsi bahwa merek menjaga</w:t>
      </w:r>
    </w:p>
    <w:p>
      <w:r>
        <w:rPr>
          <w:rFonts w:ascii="Times New Roman" w:hAnsi="Times New Roman"/>
          <w:sz w:val="24"/>
        </w:rPr>
        <w:t>karakter dan nilai dari waktu ke waktu. Dimensi ini tidak mensyaratkan semua responden mengetahui sejarah perusahaan secara mendalam; jawaban “tidak dapat menilai” disediakan bila responden tidak memiliki informasi yang cukup.</w:t>
      </w:r>
    </w:p>
    <w:p>
      <w:pPr>
        <w:pStyle w:val="ListNumber"/>
        <w:spacing w:after="40" w:line="360" w:lineRule="auto"/>
      </w:pPr>
      <w:r>
        <w:rPr>
          <w:rFonts w:ascii="Times New Roman" w:hAnsi="Times New Roman"/>
          <w:sz w:val="24"/>
        </w:rPr>
        <w:t>Kredibilitas merek menilai sejauh mana merek dipersepsikan</w:t>
      </w:r>
    </w:p>
    <w:p>
      <w:r>
        <w:rPr>
          <w:rFonts w:ascii="Times New Roman" w:hAnsi="Times New Roman"/>
          <w:sz w:val="24"/>
        </w:rPr>
        <w:t>menepati janji dan menyampaikan informasi yang dapat dipercaya. Kredibilitas merek dibedakan dari keterpercayaan influencer.</w:t>
      </w:r>
    </w:p>
    <w:p>
      <w:pPr>
        <w:pStyle w:val="ListNumber"/>
        <w:spacing w:after="40" w:line="360" w:lineRule="auto"/>
      </w:pPr>
      <w:r>
        <w:rPr>
          <w:rFonts w:ascii="Times New Roman" w:hAnsi="Times New Roman"/>
          <w:sz w:val="24"/>
        </w:rPr>
        <w:t>Integritas mencakup persepsi keselarasan antara klaim, nilai, dan</w:t>
      </w:r>
    </w:p>
    <w:p>
      <w:r>
        <w:rPr>
          <w:rFonts w:ascii="Times New Roman" w:hAnsi="Times New Roman"/>
          <w:sz w:val="24"/>
        </w:rPr>
        <w:t>tindakan merek. Butir harus menghindari pernyataan absolut yang sukar diverifikasi dan tidak menggabungkan dua objek penilaian dalam satu pernyataan.</w:t>
      </w:r>
    </w:p>
    <w:p>
      <w:pPr>
        <w:pStyle w:val="ListNumber"/>
        <w:spacing w:after="40" w:line="360" w:lineRule="auto"/>
      </w:pPr>
      <w:r>
        <w:rPr>
          <w:rFonts w:ascii="Times New Roman" w:hAnsi="Times New Roman"/>
          <w:sz w:val="24"/>
        </w:rPr>
        <w:t>Simbolisme menggambarkan makna identitas yang diasosiasikan</w:t>
      </w:r>
    </w:p>
    <w:p>
      <w:r>
        <w:rPr>
          <w:rFonts w:ascii="Times New Roman" w:hAnsi="Times New Roman"/>
          <w:sz w:val="24"/>
        </w:rPr>
        <w:t>konsumen dengan merek. Dimensi ini perlu dibedakan dari identifikasi merek, keterikatan, atau kecocokan diri yang dapat berhubungan dengan advokasi. Dimensi autentisitas merek mencakup aspek yang berbeda, sehingga setiap butir disusun sebagai adaptasi yang mempertahankan makna konstruk, bukan sebagai terjemahan yang diasumsikan identik dengan skala sumber. Panel ahli dan wawancara kognitif akan menilai kecukupan informasi yang dimiliki responden untuk menjawab, khususnya pada aspek kontinuitas dan integritas. c. Autentisitas sebagai mediator kedua Hubungan parasosial dapat menjadi salah satu mekanisme yang mengaitkan pengalaman audiens dengan influencer dan penilaian atas merek yang dipromosikan. Teori transfer makna McCracken (1989) memberikan pijakan konseptual bagi kemungkinan asosiasi figur–merek, sedangkan autentisitas tetap diukur sebagai persepsi terhadap merek. Jalur HP → AM dalam penelitian ini merupakan proposisi integratif yang diuji secara empiris; pengujiannya mempertimbangkan bahwa hubungan tersebut juga dapat dipengaruhi pengalaman merek, kecocokan influencer–merek, dan isi pesan. Autentisitas dapat menjadi dasar yang lebih aman bagi konsumen untuk menyatakan dukungan publik karena rekomendasi atau pembelaan dapat melibatkan reputasi pemberi dukungan. Oh et al. (2019) menghubungkan autentisitas dengan hubungan konsumen–merek dan niat rekomendasi. Hernandez-Fernandez dan Lewis (2019) mengaitkan autentisitas dengan nilai yang dirasakan dan kepercayaan merek. Temuan tersebut relevan bagi H3, tetapi tidak identik dengan luaran kesediaan advokasi digital yang digunakan dalam penelitian ini. d. Autentisitas sebagai penilaian berbasis isyarat Autentisitas merek dalam penelitian ini merupakan persepsi konsumen, bukan sifat yang dapat dipastikan hanya dari satu klaim perusahaan. Konsumen menggunakan isyarat yang tersedia, seperti konsistensi pesan, pemenuhan janji, keselarasan tindakan, dan makna yang diasosiasikan dengan merek. Isyarat yang sama dapat ditafsirkan berbeda menurut pengalaman, pengetahuan, dan kategori produk. Beverland (2005) serta Beverland dan Farrelly (2010) menunjukkan bahwa konsumen memilih dan menafsirkan isyarat autentisitas secara kontekstual; oleh sebab itu, merek tidak dinilai autentik semata-mata karena memiliki sejarah panjang atau tampilan yang sederhana. Empat dimensi Morhart et al. (2015)—kontinuitas, kredibilitas, integritas, dan simbolisme—membantu memisahkan sumber penilaian yang dapat berbeda. Kontinuitas terkait dengan persepsi kestabilan karakter dan nilai. Kredibilitas merek berkaitan dengan janji dan informasi yang dapat dipercaya. Integritas menyangkut keselarasan antara klaim dan tindakan. Simbolisme berkaitan dengan makna yang digunakan konsumen untuk memahami atau mengungkapkan identitas. Napoli et al. (2014) juga menempatkan autentisitas sebagai evaluasi yang dapat diukur dari sudut pandang konsumen. Kedua kerangka tersebut menjadi landasan konseptual, bukan jaminan bahwa terjemahan setiap item otomatis sesuai untuk seluruh merek. Autentisitas perlu dibedakan dari kualitas teknis, kepuasan, reputasi, dan kepercayaan umum. Konsumen dapat puas terhadap suatu produk tanpa mempunyai informasi mengenai sejarah merek; konsumen dapat mengenal reputasi merek tanpa menilai integritasnya; dan merek yang dianggap autentik belum tentu memenuhi kebutuhan setiap pembeli. Pemisahan ini membantu menjaga indikator tetap berfokus pada makna autentisitas, bukan memasukkan semua penilaian positif ke dalam satu skor. Pengetahuan konsumen menjadi batas penting, khususnya pada kontinuitas dan integritas. Responden mungkin tidak mengetahui perubahan merek sepanjang waktu atau praktik yang tidak terlihat oleh konsumen. Karena itu, pilihan “tidak dapat menilai” disediakan pada pernyataan yang memerlukan pengetahuan khusus. Jawaban tersebut dilaporkan sebagai data non-substantif, bukan dianggap sebagai sikap netral. Jika pola jawaban menunjukkan bahwa kelompok responden hanya mampu menilai beberapa dimensi, simpulan dibatasi pada persepsi yang memang dapat mereka laporkan. e. Keterbatasan petunjuk autentisitas dan hubungan dengan merek Isyarat autentisitas dapat berasal dari riwayat yang diketahui, konsistensi pengalaman, mutu komunikasi, serta pengamatan konsumen terhadap tindakan merek. Tidak semua responden memiliki akses pada semua jenis informasi tersebut. Seseorang mungkin pernah memakai produk, tetapi tidak mengetahui bagaimana merek mengubah kebijakannya; orang lain mungkin mengenal identitas merek tanpa pernah membeli. Karena itu, item autentisitas disusun pada tingkat persepsi dan menyediakan pilihan “tidak dapat menilai” jika dasar pengetahuan tidak memadai. Dimensi autentisitas juga dapat berkaitan dengan penilaian positif lain tanpa menjadi konsep yang sama. Merek yang memenuhi janji dapat dinilai kredibel, tetapi kredibilitas merek tidak otomatis menunjukkan kontinuitas atau simbolisme. Konsumen dapat memakai suatu merek sebagai bagian dari identitas tanpa mengetahui praktik internal perusahaan. Dengan memisahkan empat dimensi, analisis dapat menunjukkan apakah konstruk keseluruhan memang didukung oleh pola jawaban yang sesuai atau apakah beberapa sisi lebih mudah dinilai dibandingkan sisi lain. Pada jalur HP → AM, hubungan parasosial dianggap mungkin menjadi salah satu sumber isyarat ketika responden menilai merek yang dipromosikan figur. Mekanisme ini bergantung pada apakah responden mengaitkan influencer dengan merek dan bagaimana ia menafsirkan pesan. Jika hubungan tersebut tidak tampak, hal itu dapat menunjukkan bahwa kedekatan dengan figur tidak cukup untuk mengubah evaluasi merek atau bahwa pengalaman langsung lebih dominan. Penelitian tidak menyimpulkan bahwa transfer makna terjadi hanya karena satu figur merekomendasikan merek.</w:t>
      </w:r>
    </w:p>
    <w:p>
      <w:pPr>
        <w:pStyle w:val="Heading3"/>
      </w:pPr>
      <w:r>
        <w:rPr>
          <w:rFonts w:ascii="Times New Roman" w:hAnsi="Times New Roman"/>
          <w:sz w:val="24"/>
        </w:rPr>
        <w:t>5. Kesediaan advokasi merek digital</w:t>
      </w:r>
    </w:p>
    <w:p>
      <w:r>
        <w:rPr>
          <w:rFonts w:ascii="Times New Roman" w:hAnsi="Times New Roman"/>
          <w:sz w:val="24"/>
        </w:rPr>
        <w:t>a. Pengertian dan pembedaan konsep Advokasi merek digital mengacu pada bentuk dukungan konsumen terhadap merek melalui saluran daring. Wilk et al. (2020) mengembangkan skala online brand advocacy yang menjadi sumber adaptasi utama penelitian. Advokasi perlu dipisahkan dari niat membeli, loyalitas, kepuasan, dan keterlibatan umum. Niat membeli berorientasi pada keputusan transaksi; loyalitas mencakup pola preferensi atau hubungan yang lebih luas; keterlibatan dapat melibatkan perhatian dan partisipasi yang belum tentu berupa pembelaan atau rekomendasi. Penelitian mengukur kesediaan yang dilaporkan, bukan perilaku yang telah diverifikasi. Istilah “kesediaan” digunakan secara konsisten pada tujuan, hipotesis, definisi operasional, dan simpulan yang akan dibuat. Tindakan aktual memerlukan pengamatan atau pengukuran terpisah dan tidak menjadi luaran penelitian ini. b. Domain kesediaan advokasi Domain kesediaan advokasi yang dipertahankan dalam penelitian ini adalah (1) rekomendasi positif, seperti kesediaan menyarankan merek kepada orang lain atau menulis ulasan; (2) berbagi konten, seperti membagikan konten merek secara daring; dan (3) pembelaan yang wajar, seperti meluruskan informasi keliru atau menanggapi kritik yang dinilai tidak adil. Partisipasi komunitas dan pemberian masukan sukarela tidak dimasukkan ke konstruk maupun instrumen utama. Ketiga domain tersebut tidak selalu merupakan tindakan yang dapat saling menggantikan. Konsumen dapat bersedia berbagi konten tetapi tidak bersedia menanggapi kritik. Karena itu, pengukuran memeriksa cakupan isi setiap domain dan tidak menyamakan kesediaan dengan perilaku aktual. c. Cakupan dan risiko konseptual advokasi digital Kesediaan advokasi berada di dekat beberapa konsep yang lazim dipakai dalam pemasaran digital. Electronic word of mouth dapat mencakup komunikasi konsumen yang positif maupun negatif; advokasi lebih khusus menekankan dukungan terhadap merek, misalnya merekomendasikan, menyebarkan konten, atau memberi pembelaan. Customer engagement dapat meliputi perhatian, antusiasme, dan partisipasi, tetapi tidak setiap bentuk keterlibatan merupakan dukungan publik. Loyalitas dan niat beli juga tidak cukup untuk menggambarkan kesediaan konsumen mengomunikasikan dukungan secara daring. Skala online brand advocacy dari Wilk et al. (2020) memberi dasar bagi domain dukungan digital yang digunakan dalam penelitian. Adaptasi menempatkan tindakan sebagai kesediaan responden, bukan sebagai rekaman unggahan atau aktivitas akun. Dengan demikian, skor mencerminkan penilaian diri pada saat survei dan dapat dipengaruhi ingatan, suasana hati, atau kecenderungan menjawab secara sosial diharapkan. Penelitian menyatakan batas tersebut dan tidak menggunakan skor sebagai bukti bahwa responden benar-benar telah membagikan konten atau menulis ulasan. Kesediaan advokasi merek daring mencakup tiga domain dukungan: rekomendasi, berbagi konten, dan pembelaan yang wajar. Rekomendasi dapat disampaikan secara privat atau publik; berbagi konten memperluas distribusi pesan; sedangkan pembelaan melibatkan respons terhadap informasi keliru atau kritik yang dinilai tidak adil. Ketiga domain diukur sebagai kesediaan yang dilaporkan, bukan tindakan aktual. Advokasi tidak dinilai sebagai perilaku yang selalu baik bagi masyarakat atau organisasi. Kritik konsumen dapat sah, dan pembelaan tanpa dasar dapat menutup ruang diskusi. Oleh karena itu, butir pembelaan dibatasi pada meluruskan informasi keliru atau menanggapi kritik yang dinilai tidak adil. Panel ahli dan pilot memeriksa apakah redaksi mendorong dukungan yang wajar, bukan sikap membela merek tanpa pertimbangan. Jika domain partisipasi ternyata lebih dekat dengan keterlibatan umum, keputusan penyempurnaan item dibuat sebelum survei utama dan didokumentasikan. d. Batas isi setiap domain advokasi Rekomendasi, berbagi konten, dan pembelaan merupakan domain yang berhubungan, tetapi tuntutan perilakunya berbeda. Rekomendasi mengomunikasikan penilaian positif; berbagi konten memperluas distribusi pesan; pembelaan melibatkan respons pada kritik atau informasi yang dianggap tidak adil. Penelitian ini tidak memasukkan kontribusi komunitas atau pemberian gagasan sebagai dimensi advokasi. Pengukuran kesediaan membantu menilai kecenderungan yang diakui responden, namun jawaban “bersedia” tidak menunjukkan kemungkinan tindakan aktual pada situasi tertentu. Kesediaan berbagi konten dapat dipengaruhi jenis unggahan, audiens pribadi, atau kebijakan platform yang tidak diuji. Kesediaan membela dapat berubah apabila kritik terhadap merek beralasan. Oleh sebab itu, interpretasi hasil berfokus pada hubungan dengan skor yang diukur, bukan prediksi pasti atas perilaku setiap individu. Dalam penilaian ahli dan wawancara kognitif, butir rekomendasi dan berbagi konten diperiksa agar tidak mengukur niat membeli atau keterlibatan umum. Butir pembelaan difokuskan pada dukungan yang wajar, bukan pembelaan tanpa pertimbangan.</w:t>
      </w:r>
    </w:p>
    <w:p>
      <w:pPr>
        <w:pStyle w:val="Heading3"/>
      </w:pPr>
      <w:r>
        <w:rPr>
          <w:rFonts w:ascii="Times New Roman" w:hAnsi="Times New Roman"/>
          <w:sz w:val="24"/>
        </w:rPr>
        <w:t>6. Generasi Z dan konteks penelitian</w:t>
      </w:r>
    </w:p>
    <w:p>
      <w:r>
        <w:rPr>
          <w:rFonts w:ascii="Times New Roman" w:hAnsi="Times New Roman"/>
          <w:sz w:val="24"/>
        </w:rPr>
        <w:t>Pemilihan Generasi Z dewasa didasarkan pada relevansi teoretis pengguna media digital dan bukan pada anggapan bahwa semua responden memiliki tingkat penggunaan yang sama. Penelitian terdahulu membahas ekspektasi pengalaman digital dan preferensi konsumen muda (Priporas et al., 2017; Turner, 2015). Kajian lain menelaah nilai simbolik, sinyal konsumsi, atau respons terhadap aktivisme merek di kalangan konsumen muda (Huh &amp; Kim, 2024; Nguyen et al., 2023). Bukti-bukti tersebut memberi konteks, bukan dasar untuk menyatakan bahwa usia saja menyebabkan hubungan parasosial atau advokasi. Karakteristik responden seperti umur, kabupaten/kota, pendidikan, pekerjaan, platform utama, kategori merek, pengalaman menggunakan merek, dan paparan sponsor digunakan untuk menggambarkan sampel. Penelitian tidak menetapkan uji moderator atau perbandingan subkelompok sebagai bagian dari pengujian utama. Pemilihan Generasi Z perlu dibaca sebagai batas operasional, bukan kategori psikologis yang seragam. Batas tahun kelahiran berbeda-beda menurut sumber dan konteks penelitian; karena itu, studi ini menentukan rentang 18–27 tahun pada waktu pengumpulan data agar partisipan merupakan orang dewasa yang dapat memberi persetujuan langsung. Rentang tersebut tidak berarti semua responden mempunyai pola konsumsi media, nilai, atau tingkat literasi digital yang sama. Karakteristik responden tetap dijelaskan secara deskriptif. Relevansi kelompok ini terletak pada pertanyaan penelitian yang melibatkan paparan influencer di media sosial, bukan pada anggapan bahwa usia secara otomatis menghasilkan hubungan parasosial atau advokasi. Turner (2015) serta Priporas et al. (2017) memberi konteks tentang pengalaman teknologi dan harapan konsumen muda, sementara studi mengenai sinyal konsumsi dan aktivisme merek menunjukkan bahwa makna merek dapat berkaitan dengan identitas atau nilai (Huh &amp; Kim, 2024; Nguyen et al., 2023). Rujukan tersebut mendukung pentingnya meneliti konsumen muda, tetapi tidak membuktikan bahwa temuan pada negara atau kategori tertentu akan terulang di Sulawesi Utara. Sulawesi Utara diperlakukan sebagai lokasi penelitian empiris. Studi ini tidak membangun klaim tentang keunikan budaya daerah dan tidak menguji perbedaan antara kabupaten/kota. Rekrutmen daring dapat menjangkau beberapa wilayah, tetapi keterjangkauan melalui internet tidak sama dengan keterwakilan semua penduduk. Keterbatasan tersebut ditangani dengan pelaporan domisili dan kanal rekrutmen, bukan dengan klaim bahwa sampel purposif mewakili seluruh populasi.</w:t>
      </w:r>
    </w:p>
    <w:p>
      <w:pPr>
        <w:pStyle w:val="Heading3"/>
      </w:pPr>
      <w:r>
        <w:rPr>
          <w:rFonts w:ascii="Times New Roman" w:hAnsi="Times New Roman"/>
          <w:sz w:val="24"/>
        </w:rPr>
        <w:t>7. Sintesis bukti empiris</w:t>
      </w:r>
    </w:p>
    <w:p>
      <w:pPr>
        <w:pStyle w:val="ListBullet"/>
        <w:spacing w:after="40" w:line="360" w:lineRule="auto"/>
      </w:pPr>
      <w:r>
        <w:rPr>
          <w:rFonts w:ascii="Times New Roman" w:hAnsi="Times New Roman"/>
          <w:sz w:val="24"/>
        </w:rPr>
        <w:t>Tabel berikut merangkum fungsi beberapa rujukan utama dalam membangun</w:t>
      </w:r>
    </w:p>
    <w:p>
      <w:r>
        <w:rPr>
          <w:rFonts w:ascii="Times New Roman" w:hAnsi="Times New Roman"/>
          <w:sz w:val="24"/>
        </w:rPr>
        <w:t xml:space="preserve">model. Ringkasan ini merupakan sintesis atas fokus yang dilaporkan dalam sumber dan bukan meta-analisis baru. Perbedaan konteks, konstruk, serta luaran harus diperhatikan ketika hasil penelitian terdahulu digunakan untuk mendukung hipotesis. </w:t>
      </w:r>
      <w:r>
        <w:rPr>
          <w:rFonts w:ascii="Times New Roman" w:hAnsi="Times New Roman"/>
          <w:b/>
          <w:sz w:val="24"/>
        </w:rPr>
        <w:t>Tabel 1. Sintesis bukti empiris utama</w:t>
      </w:r>
    </w:p>
    <w:tbl>
      <w:tblPr>
        <w:tblStyle w:val="TableGrid"/>
        <w:tblW w:type="auto" w:w="0"/>
        <w:tblLayout w:type="autofit"/>
        <w:tblLook w:firstColumn="1" w:firstRow="1" w:lastColumn="0" w:lastRow="0" w:noHBand="0" w:noVBand="1" w:val="04A0"/>
      </w:tblPr>
      <w:tblGrid>
        <w:gridCol w:w="1984"/>
        <w:gridCol w:w="1984"/>
        <w:gridCol w:w="1984"/>
        <w:gridCol w:w="1984"/>
      </w:tblGrid>
      <w:tr>
        <w:tc>
          <w:tcPr>
            <w:tcW w:type="dxa" w:w="1984"/>
          </w:tcPr>
          <w:p>
            <w:pPr>
              <w:spacing w:after="40" w:line="240" w:lineRule="auto"/>
            </w:pPr>
            <w:r>
              <w:rPr>
                <w:rFonts w:ascii="Times New Roman" w:hAnsi="Times New Roman"/>
                <w:b/>
                <w:sz w:val="24"/>
              </w:rPr>
              <w:t>Penulis</w:t>
            </w:r>
          </w:p>
        </w:tc>
        <w:tc>
          <w:tcPr>
            <w:tcW w:type="dxa" w:w="1984"/>
          </w:tcPr>
          <w:p>
            <w:pPr>
              <w:spacing w:after="40" w:line="240" w:lineRule="auto"/>
            </w:pPr>
            <w:r>
              <w:rPr>
                <w:rFonts w:ascii="Times New Roman" w:hAnsi="Times New Roman"/>
                <w:b/>
                <w:sz w:val="24"/>
              </w:rPr>
              <w:t>Fokus utama</w:t>
            </w:r>
          </w:p>
        </w:tc>
        <w:tc>
          <w:tcPr>
            <w:tcW w:type="dxa" w:w="1984"/>
          </w:tcPr>
          <w:p>
            <w:pPr>
              <w:spacing w:after="40" w:line="240" w:lineRule="auto"/>
            </w:pPr>
            <w:r>
              <w:rPr>
                <w:rFonts w:ascii="Times New Roman" w:hAnsi="Times New Roman"/>
                <w:b/>
                <w:sz w:val="24"/>
              </w:rPr>
              <w:t>Relevansi terhadap model</w:t>
            </w:r>
          </w:p>
        </w:tc>
        <w:tc>
          <w:tcPr>
            <w:tcW w:type="dxa" w:w="1984"/>
          </w:tcPr>
          <w:p>
            <w:pPr>
              <w:spacing w:after="40" w:line="240" w:lineRule="auto"/>
            </w:pPr>
            <w:r>
              <w:rPr>
                <w:rFonts w:ascii="Times New Roman" w:hAnsi="Times New Roman"/>
                <w:b/>
                <w:sz w:val="24"/>
              </w:rPr>
              <w:t>Batas penggunaan dalam proposal</w:t>
            </w:r>
          </w:p>
        </w:tc>
      </w:tr>
      <w:tr>
        <w:tc>
          <w:tcPr>
            <w:tcW w:type="dxa" w:w="1984"/>
          </w:tcPr>
          <w:p>
            <w:pPr>
              <w:spacing w:after="40" w:line="240" w:lineRule="auto"/>
            </w:pPr>
            <w:r>
              <w:rPr>
                <w:rFonts w:ascii="Times New Roman" w:hAnsi="Times New Roman"/>
                <w:sz w:val="24"/>
              </w:rPr>
              <w:t>Ohanian (1990)</w:t>
            </w:r>
          </w:p>
        </w:tc>
        <w:tc>
          <w:tcPr>
            <w:tcW w:type="dxa" w:w="1984"/>
          </w:tcPr>
          <w:p>
            <w:pPr>
              <w:spacing w:after="40" w:line="240" w:lineRule="auto"/>
            </w:pPr>
            <w:r>
              <w:rPr>
                <w:rFonts w:ascii="Times New Roman" w:hAnsi="Times New Roman"/>
                <w:sz w:val="24"/>
              </w:rPr>
              <w:t>Keahlian, keterpercayaan, dan daya tarik endorser</w:t>
            </w:r>
          </w:p>
        </w:tc>
        <w:tc>
          <w:tcPr>
            <w:tcW w:type="dxa" w:w="1984"/>
          </w:tcPr>
          <w:p>
            <w:pPr>
              <w:spacing w:after="40" w:line="240" w:lineRule="auto"/>
            </w:pPr>
            <w:r>
              <w:rPr>
                <w:rFonts w:ascii="Times New Roman" w:hAnsi="Times New Roman"/>
                <w:sz w:val="24"/>
              </w:rPr>
              <w:t>Dasar dimensi kredibilitas sumber</w:t>
            </w:r>
          </w:p>
        </w:tc>
        <w:tc>
          <w:tcPr>
            <w:tcW w:type="dxa" w:w="1984"/>
          </w:tcPr>
          <w:p>
            <w:pPr>
              <w:spacing w:after="40" w:line="240" w:lineRule="auto"/>
            </w:pPr>
            <w:r>
              <w:rPr>
                <w:rFonts w:ascii="Times New Roman" w:hAnsi="Times New Roman"/>
                <w:sz w:val="24"/>
              </w:rPr>
              <w:t>Dikembangkan untuk endorser; perlu adaptasi dan pengujian pada influencer digital</w:t>
            </w:r>
          </w:p>
        </w:tc>
      </w:tr>
      <w:tr>
        <w:tc>
          <w:tcPr>
            <w:tcW w:type="dxa" w:w="1984"/>
          </w:tcPr>
          <w:p>
            <w:pPr>
              <w:spacing w:after="40" w:line="240" w:lineRule="auto"/>
            </w:pPr>
            <w:r>
              <w:rPr>
                <w:rFonts w:ascii="Times New Roman" w:hAnsi="Times New Roman"/>
                <w:sz w:val="24"/>
              </w:rPr>
              <w:t>De Veirman et al. (2017)</w:t>
            </w:r>
          </w:p>
        </w:tc>
        <w:tc>
          <w:tcPr>
            <w:tcW w:type="dxa" w:w="1984"/>
          </w:tcPr>
          <w:p>
            <w:pPr>
              <w:spacing w:after="40" w:line="240" w:lineRule="auto"/>
            </w:pPr>
            <w:r>
              <w:rPr>
                <w:rFonts w:ascii="Times New Roman" w:hAnsi="Times New Roman"/>
                <w:sz w:val="24"/>
              </w:rPr>
              <w:t>Jumlah pengikut, kesesuaian produk, dan sikap merek</w:t>
            </w:r>
          </w:p>
        </w:tc>
        <w:tc>
          <w:tcPr>
            <w:tcW w:type="dxa" w:w="1984"/>
          </w:tcPr>
          <w:p>
            <w:pPr>
              <w:spacing w:after="40" w:line="240" w:lineRule="auto"/>
            </w:pPr>
            <w:r>
              <w:rPr>
                <w:rFonts w:ascii="Times New Roman" w:hAnsi="Times New Roman"/>
                <w:sz w:val="24"/>
              </w:rPr>
              <w:t>Menunjukkan popularitas tidak sama dengan respons merek</w:t>
            </w:r>
          </w:p>
        </w:tc>
        <w:tc>
          <w:tcPr>
            <w:tcW w:type="dxa" w:w="1984"/>
          </w:tcPr>
          <w:p>
            <w:pPr>
              <w:spacing w:after="40" w:line="240" w:lineRule="auto"/>
            </w:pPr>
            <w:r>
              <w:rPr>
                <w:rFonts w:ascii="Times New Roman" w:hAnsi="Times New Roman"/>
                <w:sz w:val="24"/>
              </w:rPr>
              <w:t>Tidak mengukur rantai mediasi yang diajukan</w:t>
            </w:r>
          </w:p>
        </w:tc>
      </w:tr>
      <w:tr>
        <w:tc>
          <w:tcPr>
            <w:tcW w:type="dxa" w:w="1984"/>
          </w:tcPr>
          <w:p>
            <w:pPr>
              <w:spacing w:after="40" w:line="240" w:lineRule="auto"/>
            </w:pPr>
            <w:r>
              <w:rPr>
                <w:rFonts w:ascii="Times New Roman" w:hAnsi="Times New Roman"/>
                <w:sz w:val="24"/>
              </w:rPr>
              <w:t>Lou dan Yuan (2019)</w:t>
            </w:r>
          </w:p>
        </w:tc>
        <w:tc>
          <w:tcPr>
            <w:tcW w:type="dxa" w:w="1984"/>
          </w:tcPr>
          <w:p>
            <w:pPr>
              <w:spacing w:after="40" w:line="240" w:lineRule="auto"/>
            </w:pPr>
            <w:r>
              <w:rPr>
                <w:rFonts w:ascii="Times New Roman" w:hAnsi="Times New Roman"/>
                <w:sz w:val="24"/>
              </w:rPr>
              <w:t>Nilai pesan dan kredibilitas konten bermerek</w:t>
            </w:r>
          </w:p>
        </w:tc>
        <w:tc>
          <w:tcPr>
            <w:tcW w:type="dxa" w:w="1984"/>
          </w:tcPr>
          <w:p>
            <w:pPr>
              <w:spacing w:after="40" w:line="240" w:lineRule="auto"/>
            </w:pPr>
            <w:r>
              <w:rPr>
                <w:rFonts w:ascii="Times New Roman" w:hAnsi="Times New Roman"/>
                <w:sz w:val="24"/>
              </w:rPr>
              <w:t>Mendukung peran kredibilitas dalam penerimaan konten</w:t>
            </w:r>
          </w:p>
        </w:tc>
        <w:tc>
          <w:tcPr>
            <w:tcW w:type="dxa" w:w="1984"/>
          </w:tcPr>
          <w:p>
            <w:pPr>
              <w:spacing w:after="40" w:line="240" w:lineRule="auto"/>
            </w:pPr>
            <w:r>
              <w:rPr>
                <w:rFonts w:ascii="Times New Roman" w:hAnsi="Times New Roman"/>
                <w:sz w:val="24"/>
              </w:rPr>
              <w:t>Luaran utamanya berbeda dari kesediaan advokasi serial</w:t>
            </w:r>
          </w:p>
        </w:tc>
      </w:tr>
      <w:tr>
        <w:tc>
          <w:tcPr>
            <w:tcW w:type="dxa" w:w="1984"/>
          </w:tcPr>
          <w:p>
            <w:pPr>
              <w:spacing w:after="40" w:line="240" w:lineRule="auto"/>
            </w:pPr>
            <w:r>
              <w:rPr>
                <w:rFonts w:ascii="Times New Roman" w:hAnsi="Times New Roman"/>
                <w:sz w:val="24"/>
              </w:rPr>
              <w:t>Sokolova dan Kefi (2020)</w:t>
            </w:r>
          </w:p>
        </w:tc>
        <w:tc>
          <w:tcPr>
            <w:tcW w:type="dxa" w:w="1984"/>
          </w:tcPr>
          <w:p>
            <w:pPr>
              <w:spacing w:after="40" w:line="240" w:lineRule="auto"/>
            </w:pPr>
            <w:r>
              <w:rPr>
                <w:rFonts w:ascii="Times New Roman" w:hAnsi="Times New Roman"/>
                <w:sz w:val="24"/>
              </w:rPr>
              <w:t>Kredibilitas, pengalaman parasosial, dan niat membeli</w:t>
            </w:r>
          </w:p>
        </w:tc>
        <w:tc>
          <w:tcPr>
            <w:tcW w:type="dxa" w:w="1984"/>
          </w:tcPr>
          <w:p>
            <w:pPr>
              <w:spacing w:after="40" w:line="240" w:lineRule="auto"/>
            </w:pPr>
            <w:r>
              <w:rPr>
                <w:rFonts w:ascii="Times New Roman" w:hAnsi="Times New Roman"/>
                <w:sz w:val="24"/>
              </w:rPr>
              <w:t>Mendukung relevansi mekanisme sumber– relasi</w:t>
            </w:r>
          </w:p>
        </w:tc>
        <w:tc>
          <w:tcPr>
            <w:tcW w:type="dxa" w:w="1984"/>
          </w:tcPr>
          <w:p>
            <w:pPr>
              <w:spacing w:after="40" w:line="240" w:lineRule="auto"/>
            </w:pPr>
            <w:r>
              <w:rPr>
                <w:rFonts w:ascii="Times New Roman" w:hAnsi="Times New Roman"/>
                <w:sz w:val="24"/>
              </w:rPr>
              <w:t>Luaran pembelian tidak identik dengan advokasi digital</w:t>
            </w:r>
          </w:p>
        </w:tc>
      </w:tr>
      <w:tr>
        <w:tc>
          <w:tcPr>
            <w:tcW w:type="dxa" w:w="1984"/>
          </w:tcPr>
          <w:p>
            <w:pPr>
              <w:spacing w:after="40" w:line="240" w:lineRule="auto"/>
            </w:pPr>
            <w:r>
              <w:rPr>
                <w:rFonts w:ascii="Times New Roman" w:hAnsi="Times New Roman"/>
                <w:sz w:val="24"/>
              </w:rPr>
              <w:t>Dibble et al. (2016)</w:t>
            </w:r>
          </w:p>
        </w:tc>
        <w:tc>
          <w:tcPr>
            <w:tcW w:type="dxa" w:w="1984"/>
          </w:tcPr>
          <w:p>
            <w:pPr>
              <w:spacing w:after="40" w:line="240" w:lineRule="auto"/>
            </w:pPr>
            <w:r>
              <w:rPr>
                <w:rFonts w:ascii="Times New Roman" w:hAnsi="Times New Roman"/>
                <w:sz w:val="24"/>
              </w:rPr>
              <w:t>Pembedaan interaksi dan hubungan parasosial</w:t>
            </w:r>
          </w:p>
        </w:tc>
        <w:tc>
          <w:tcPr>
            <w:tcW w:type="dxa" w:w="1984"/>
          </w:tcPr>
          <w:p>
            <w:pPr>
              <w:spacing w:after="40" w:line="240" w:lineRule="auto"/>
            </w:pPr>
            <w:r>
              <w:rPr>
                <w:rFonts w:ascii="Times New Roman" w:hAnsi="Times New Roman"/>
                <w:sz w:val="24"/>
              </w:rPr>
              <w:t>Menjadi dasar kehati- hatian konseptual dan pengukuran</w:t>
            </w:r>
          </w:p>
        </w:tc>
        <w:tc>
          <w:tcPr>
            <w:tcW w:type="dxa" w:w="1984"/>
          </w:tcPr>
          <w:p>
            <w:pPr>
              <w:spacing w:after="40" w:line="240" w:lineRule="auto"/>
            </w:pPr>
            <w:r>
              <w:rPr>
                <w:rFonts w:ascii="Times New Roman" w:hAnsi="Times New Roman"/>
                <w:sz w:val="24"/>
              </w:rPr>
              <w:t>Membutuhkan adaptasi terhadap konteks platform penelitian</w:t>
            </w:r>
          </w:p>
        </w:tc>
      </w:tr>
      <w:tr>
        <w:tc>
          <w:tcPr>
            <w:tcW w:type="dxa" w:w="1984"/>
          </w:tcPr>
          <w:p>
            <w:pPr>
              <w:spacing w:after="40" w:line="240" w:lineRule="auto"/>
            </w:pPr>
            <w:r>
              <w:rPr>
                <w:rFonts w:ascii="Times New Roman" w:hAnsi="Times New Roman"/>
                <w:sz w:val="24"/>
              </w:rPr>
              <w:t>McCracken (1989)</w:t>
            </w:r>
          </w:p>
        </w:tc>
        <w:tc>
          <w:tcPr>
            <w:tcW w:type="dxa" w:w="1984"/>
          </w:tcPr>
          <w:p>
            <w:pPr>
              <w:spacing w:after="40" w:line="240" w:lineRule="auto"/>
            </w:pPr>
            <w:r>
              <w:rPr>
                <w:rFonts w:ascii="Times New Roman" w:hAnsi="Times New Roman"/>
                <w:sz w:val="24"/>
              </w:rPr>
              <w:t>Transfer makna pada proses endorsement</w:t>
            </w:r>
          </w:p>
        </w:tc>
        <w:tc>
          <w:tcPr>
            <w:tcW w:type="dxa" w:w="1984"/>
          </w:tcPr>
          <w:p>
            <w:pPr>
              <w:spacing w:after="40" w:line="240" w:lineRule="auto"/>
            </w:pPr>
            <w:r>
              <w:rPr>
                <w:rFonts w:ascii="Times New Roman" w:hAnsi="Times New Roman"/>
                <w:sz w:val="24"/>
              </w:rPr>
              <w:t>Menjelaskan kemungkinan hubungan figur– merek</w:t>
            </w:r>
          </w:p>
        </w:tc>
        <w:tc>
          <w:tcPr>
            <w:tcW w:type="dxa" w:w="1984"/>
          </w:tcPr>
          <w:p>
            <w:pPr>
              <w:spacing w:after="40" w:line="240" w:lineRule="auto"/>
            </w:pPr>
            <w:r>
              <w:rPr>
                <w:rFonts w:ascii="Times New Roman" w:hAnsi="Times New Roman"/>
                <w:sz w:val="24"/>
              </w:rPr>
              <w:t>Transfer makna tidak otomatis dan tidak membuktikan jalur statistik tertentu</w:t>
            </w:r>
          </w:p>
        </w:tc>
      </w:tr>
      <w:tr>
        <w:tc>
          <w:tcPr>
            <w:tcW w:type="dxa" w:w="1984"/>
          </w:tcPr>
          <w:p>
            <w:pPr>
              <w:spacing w:after="40" w:line="240" w:lineRule="auto"/>
            </w:pPr>
            <w:r>
              <w:rPr>
                <w:rFonts w:ascii="Times New Roman" w:hAnsi="Times New Roman"/>
                <w:sz w:val="24"/>
              </w:rPr>
              <w:t>Napoli et al. (2014)</w:t>
            </w:r>
          </w:p>
        </w:tc>
        <w:tc>
          <w:tcPr>
            <w:tcW w:type="dxa" w:w="1984"/>
          </w:tcPr>
          <w:p>
            <w:pPr>
              <w:spacing w:after="40" w:line="240" w:lineRule="auto"/>
            </w:pPr>
            <w:r>
              <w:rPr>
                <w:rFonts w:ascii="Times New Roman" w:hAnsi="Times New Roman"/>
                <w:sz w:val="24"/>
              </w:rPr>
              <w:t>Pengukuran autentisitas berbasis konsumen</w:t>
            </w:r>
          </w:p>
        </w:tc>
        <w:tc>
          <w:tcPr>
            <w:tcW w:type="dxa" w:w="1984"/>
          </w:tcPr>
          <w:p>
            <w:pPr>
              <w:spacing w:after="40" w:line="240" w:lineRule="auto"/>
            </w:pPr>
            <w:r>
              <w:rPr>
                <w:rFonts w:ascii="Times New Roman" w:hAnsi="Times New Roman"/>
                <w:sz w:val="24"/>
              </w:rPr>
              <w:t>Mendukung dimensi evaluasi merek</w:t>
            </w:r>
          </w:p>
        </w:tc>
        <w:tc>
          <w:tcPr>
            <w:tcW w:type="dxa" w:w="1984"/>
          </w:tcPr>
          <w:p>
            <w:pPr>
              <w:spacing w:after="40" w:line="240" w:lineRule="auto"/>
            </w:pPr>
            <w:r>
              <w:rPr>
                <w:rFonts w:ascii="Times New Roman" w:hAnsi="Times New Roman"/>
                <w:sz w:val="24"/>
              </w:rPr>
              <w:t>Redaksi dan cakupan perlu diperiksa terhadap sumber primer</w:t>
            </w:r>
          </w:p>
        </w:tc>
      </w:tr>
      <w:tr>
        <w:tc>
          <w:tcPr>
            <w:tcW w:type="dxa" w:w="1984"/>
          </w:tcPr>
          <w:p>
            <w:pPr>
              <w:spacing w:after="40" w:line="240" w:lineRule="auto"/>
            </w:pPr>
            <w:r>
              <w:rPr>
                <w:rFonts w:ascii="Times New Roman" w:hAnsi="Times New Roman"/>
                <w:sz w:val="24"/>
              </w:rPr>
              <w:t>Morhart et al. (2015)</w:t>
            </w:r>
          </w:p>
        </w:tc>
        <w:tc>
          <w:tcPr>
            <w:tcW w:type="dxa" w:w="1984"/>
          </w:tcPr>
          <w:p>
            <w:pPr>
              <w:spacing w:after="40" w:line="240" w:lineRule="auto"/>
            </w:pPr>
            <w:r>
              <w:rPr>
                <w:rFonts w:ascii="Times New Roman" w:hAnsi="Times New Roman"/>
                <w:sz w:val="24"/>
              </w:rPr>
              <w:t>Kerangka dan skala autentisitas merek</w:t>
            </w:r>
          </w:p>
        </w:tc>
        <w:tc>
          <w:tcPr>
            <w:tcW w:type="dxa" w:w="1984"/>
          </w:tcPr>
          <w:p>
            <w:pPr>
              <w:spacing w:after="40" w:line="240" w:lineRule="auto"/>
            </w:pPr>
            <w:r>
              <w:rPr>
                <w:rFonts w:ascii="Times New Roman" w:hAnsi="Times New Roman"/>
                <w:sz w:val="24"/>
              </w:rPr>
              <w:t>Dasar kontinuitas, kredibilitas, integritas, simbolisme</w:t>
            </w:r>
          </w:p>
        </w:tc>
        <w:tc>
          <w:tcPr>
            <w:tcW w:type="dxa" w:w="1984"/>
          </w:tcPr>
          <w:p>
            <w:pPr>
              <w:spacing w:after="40" w:line="240" w:lineRule="auto"/>
            </w:pPr>
            <w:r>
              <w:rPr>
                <w:rFonts w:ascii="Times New Roman" w:hAnsi="Times New Roman"/>
                <w:sz w:val="24"/>
              </w:rPr>
              <w:t>Dimensi dapat memiliki perilaku berbeda pada kategori merek tertentu</w:t>
            </w:r>
          </w:p>
        </w:tc>
      </w:tr>
      <w:tr>
        <w:tc>
          <w:tcPr>
            <w:tcW w:type="dxa" w:w="1984"/>
          </w:tcPr>
          <w:p>
            <w:pPr>
              <w:spacing w:after="40" w:line="240" w:lineRule="auto"/>
            </w:pPr>
            <w:r>
              <w:rPr>
                <w:rFonts w:ascii="Times New Roman" w:hAnsi="Times New Roman"/>
                <w:sz w:val="24"/>
              </w:rPr>
              <w:t>Oh et al. (2019)</w:t>
            </w:r>
          </w:p>
        </w:tc>
        <w:tc>
          <w:tcPr>
            <w:tcW w:type="dxa" w:w="1984"/>
          </w:tcPr>
          <w:p>
            <w:pPr>
              <w:spacing w:after="40" w:line="240" w:lineRule="auto"/>
            </w:pPr>
            <w:r>
              <w:rPr>
                <w:rFonts w:ascii="Times New Roman" w:hAnsi="Times New Roman"/>
                <w:sz w:val="24"/>
              </w:rPr>
              <w:t>Autentisitas dan hubungan konsumen– merek</w:t>
            </w:r>
          </w:p>
        </w:tc>
        <w:tc>
          <w:tcPr>
            <w:tcW w:type="dxa" w:w="1984"/>
          </w:tcPr>
          <w:p>
            <w:pPr>
              <w:spacing w:after="40" w:line="240" w:lineRule="auto"/>
            </w:pPr>
            <w:r>
              <w:rPr>
                <w:rFonts w:ascii="Times New Roman" w:hAnsi="Times New Roman"/>
                <w:sz w:val="24"/>
              </w:rPr>
              <w:t>Mendukung alasan autentisitas berkaitan dengan rekomendasi</w:t>
            </w:r>
          </w:p>
        </w:tc>
        <w:tc>
          <w:tcPr>
            <w:tcW w:type="dxa" w:w="1984"/>
          </w:tcPr>
          <w:p>
            <w:pPr>
              <w:spacing w:after="40" w:line="240" w:lineRule="auto"/>
            </w:pPr>
            <w:r>
              <w:rPr>
                <w:rFonts w:ascii="Times New Roman" w:hAnsi="Times New Roman"/>
                <w:sz w:val="24"/>
              </w:rPr>
              <w:t>Tidak menguji keseluruhan mekanisme influencer yang diajukan</w:t>
            </w:r>
          </w:p>
        </w:tc>
      </w:tr>
      <w:tr>
        <w:tc>
          <w:tcPr>
            <w:tcW w:type="dxa" w:w="1984"/>
          </w:tcPr>
          <w:p>
            <w:pPr>
              <w:spacing w:after="40" w:line="240" w:lineRule="auto"/>
            </w:pPr>
            <w:r>
              <w:rPr>
                <w:rFonts w:ascii="Times New Roman" w:hAnsi="Times New Roman"/>
                <w:sz w:val="24"/>
              </w:rPr>
              <w:t>Wilk et al. (2020)</w:t>
            </w:r>
          </w:p>
        </w:tc>
        <w:tc>
          <w:tcPr>
            <w:tcW w:type="dxa" w:w="1984"/>
          </w:tcPr>
          <w:p>
            <w:pPr>
              <w:spacing w:after="40" w:line="240" w:lineRule="auto"/>
            </w:pPr>
            <w:r>
              <w:rPr>
                <w:rFonts w:ascii="Times New Roman" w:hAnsi="Times New Roman"/>
                <w:sz w:val="24"/>
              </w:rPr>
              <w:t>Pengembangan skala online brand advocacy</w:t>
            </w:r>
          </w:p>
        </w:tc>
        <w:tc>
          <w:tcPr>
            <w:tcW w:type="dxa" w:w="1984"/>
          </w:tcPr>
          <w:p>
            <w:pPr>
              <w:spacing w:after="40" w:line="240" w:lineRule="auto"/>
            </w:pPr>
            <w:r>
              <w:rPr>
                <w:rFonts w:ascii="Times New Roman" w:hAnsi="Times New Roman"/>
                <w:sz w:val="24"/>
              </w:rPr>
              <w:t>Sumber utama pengukuran luaran digital</w:t>
            </w:r>
          </w:p>
        </w:tc>
        <w:tc>
          <w:tcPr>
            <w:tcW w:type="dxa" w:w="1984"/>
          </w:tcPr>
          <w:p>
            <w:pPr>
              <w:spacing w:after="40" w:line="240" w:lineRule="auto"/>
            </w:pPr>
            <w:r>
              <w:rPr>
                <w:rFonts w:ascii="Times New Roman" w:hAnsi="Times New Roman"/>
                <w:sz w:val="24"/>
              </w:rPr>
              <w:t>Perlu memastikan kesepadanan antara butir sumber dan kesediaan yang diukur</w:t>
            </w:r>
          </w:p>
        </w:tc>
      </w:tr>
      <w:tr>
        <w:tc>
          <w:tcPr>
            <w:tcW w:type="dxa" w:w="1984"/>
          </w:tcPr>
          <w:p>
            <w:pPr>
              <w:spacing w:after="40" w:line="240" w:lineRule="auto"/>
            </w:pPr>
            <w:r>
              <w:rPr>
                <w:rFonts w:ascii="Times New Roman" w:hAnsi="Times New Roman"/>
                <w:sz w:val="24"/>
              </w:rPr>
              <w:t>Wong dan Hung (2023)</w:t>
            </w:r>
          </w:p>
        </w:tc>
        <w:tc>
          <w:tcPr>
            <w:tcW w:type="dxa" w:w="1984"/>
          </w:tcPr>
          <w:p>
            <w:pPr>
              <w:spacing w:after="40" w:line="240" w:lineRule="auto"/>
            </w:pPr>
            <w:r>
              <w:rPr>
                <w:rFonts w:ascii="Times New Roman" w:hAnsi="Times New Roman"/>
                <w:sz w:val="24"/>
              </w:rPr>
              <w:t>Limpahan dari figur atlet ke advokasi merek tim</w:t>
            </w:r>
          </w:p>
        </w:tc>
        <w:tc>
          <w:tcPr>
            <w:tcW w:type="dxa" w:w="1984"/>
          </w:tcPr>
          <w:p>
            <w:pPr>
              <w:spacing w:after="40" w:line="240" w:lineRule="auto"/>
            </w:pPr>
            <w:r>
              <w:rPr>
                <w:rFonts w:ascii="Times New Roman" w:hAnsi="Times New Roman"/>
                <w:sz w:val="24"/>
              </w:rPr>
              <w:t>Menawarkan bukti kedekatan figur– merek–advokasi</w:t>
            </w:r>
          </w:p>
        </w:tc>
        <w:tc>
          <w:tcPr>
            <w:tcW w:type="dxa" w:w="1984"/>
          </w:tcPr>
          <w:p>
            <w:pPr>
              <w:spacing w:after="40" w:line="240" w:lineRule="auto"/>
            </w:pPr>
            <w:r>
              <w:rPr>
                <w:rFonts w:ascii="Times New Roman" w:hAnsi="Times New Roman"/>
                <w:sz w:val="24"/>
              </w:rPr>
              <w:t>Konteks tim olahraga dan komunitas berbeda dari merek konsumen umum</w:t>
            </w:r>
          </w:p>
        </w:tc>
      </w:tr>
      <w:tr>
        <w:tc>
          <w:tcPr>
            <w:tcW w:type="dxa" w:w="1984"/>
          </w:tcPr>
          <w:p>
            <w:pPr>
              <w:spacing w:after="40" w:line="240" w:lineRule="auto"/>
            </w:pPr>
            <w:r>
              <w:rPr>
                <w:rFonts w:ascii="Times New Roman" w:hAnsi="Times New Roman"/>
                <w:sz w:val="24"/>
              </w:rPr>
              <w:t>Han dan Balabanis (2024)</w:t>
            </w:r>
          </w:p>
        </w:tc>
        <w:tc>
          <w:tcPr>
            <w:tcW w:type="dxa" w:w="1984"/>
          </w:tcPr>
          <w:p>
            <w:pPr>
              <w:spacing w:after="40" w:line="240" w:lineRule="auto"/>
            </w:pPr>
            <w:r>
              <w:rPr>
                <w:rFonts w:ascii="Times New Roman" w:hAnsi="Times New Roman"/>
                <w:sz w:val="24"/>
              </w:rPr>
              <w:t>Sintesis studi efektivitas influencer</w:t>
            </w:r>
          </w:p>
        </w:tc>
        <w:tc>
          <w:tcPr>
            <w:tcW w:type="dxa" w:w="1984"/>
          </w:tcPr>
          <w:p>
            <w:pPr>
              <w:spacing w:after="40" w:line="240" w:lineRule="auto"/>
            </w:pPr>
            <w:r>
              <w:rPr>
                <w:rFonts w:ascii="Times New Roman" w:hAnsi="Times New Roman"/>
                <w:sz w:val="24"/>
              </w:rPr>
              <w:t>Menyediakan ringkasan peran kredibilitas</w:t>
            </w:r>
          </w:p>
        </w:tc>
        <w:tc>
          <w:tcPr>
            <w:tcW w:type="dxa" w:w="1984"/>
          </w:tcPr>
          <w:p>
            <w:pPr>
              <w:spacing w:after="40" w:line="240" w:lineRule="auto"/>
            </w:pPr>
            <w:r>
              <w:rPr>
                <w:rFonts w:ascii="Times New Roman" w:hAnsi="Times New Roman"/>
                <w:sz w:val="24"/>
              </w:rPr>
              <w:t>Temuan rata-rata tidak menjamin signifikansi pada model dan sampel penelitian ini</w:t>
            </w:r>
          </w:p>
        </w:tc>
      </w:tr>
    </w:tbl>
    <w:p/>
    <w:p>
      <w:r>
        <w:rPr>
          <w:rFonts w:ascii="Times New Roman" w:hAnsi="Times New Roman"/>
          <w:sz w:val="24"/>
        </w:rPr>
        <w:t>Karena itu, dukungan terhadap setiap hubungan tidak dapat dianggap sebagai bukti bahwa keseluruhan rantai berurutan pasti didukung. Pengujian perlu mempertimbangkan kesesuaian instrumen dan keterbatasan desain. Matriks menunjukkan bahwa dasar empiris model berasal dari penelitian dengan unit dan luaran yang beragam. Ohanian (1990) memberi dasar dimensi kredibilitas, tetapi instrumennya berasal dari konteks endorser selebritas. De Veirman et al. (2017) menyoroti popularitas dan kesesuaian produk, sementara Lou dan Yuan (2019) menelaah kepercayaan terhadap konten bermerek. Keduanya memberi dukungan bagi pentingnya sumber dan pesan, tetapi tidak menguji kesediaan advokasi melalui mediator yang sama dengan proposal ini. Pada sisi hubungan parasosial, Dibble et al. (2016) membantu memperjelas konstruk dan pengukuran, sedangkan Sokolova dan Kefi (2020) menghubungkan kredibilitas serta pengalaman parasosial dengan niat membeli. Bukti itu membuat hubungan sumber–relasi layak diuji; namun niat membeli tidak identik dengan advokasi, dan pengalaman parasosial tidak selalu mengukur hubungan jangka panjang. Perbedaan tersebut menjadi alasan untuk menyesuaikan definisi dan butir, bukan untuk menyatakan bahwa hipotesis pasti didukung. Literatur autentisitas merek menekankan evaluasi atas isyarat dan relasi merek–konsumen (Napoli et al., 2014; Morhart et al., 2015; Oh et al., 2019). Literatur advokasi, khususnya Wilk et al. (2020), memberi landasan yang lebih dekat pada luaran digital. Walaupun sebagian studi mengaitkan autentisitas dengan rekomendasi atau hubungan merek, penyamaan keluaran tersebut dengan kesediaan berbagi, membela, dan berpartisipasi perlu dihindari. Dengan membedakan objek dan luaran, penelitian dapat menilai apakah autentisitas berkaitan dengan bentuk kesediaan yang lebih luas daripada pembelian. Secara keseluruhan, dukungan literatur lebih kuat untuk relevansi setiap konsep daripada untuk kepastian seluruh rantai. Hal ini memperjelas nilai pengujian: hasil yang tidak mendukung satu jalur dapat menunjukkan batas hubungan antar konsep pada populasi serta konteks yang diteliti. Sintesis ini bukan penghitungan ukuran efek gabungan dan tidak menggantikan penelusuran literatur sistematis yang direncanakan dalam Lampiran 3. Pembacaan bukti empiris perlu memisahkan jenis hubungan yang diuji. Sebagian studi menempatkan jumlah pengikut atau karakteristik pesan sebagai prediktor; sebagian lain menilai kedekatan parasosial atau kepercayaan konten; penelitian autentisitas sering menghubungkannya dengan nilai, sikap, atau niat rekomendasi. Karena luaran dan objeknya berbeda, penelitian ini tidak menyimpulkan bahwa koefisien dari satu konteks dapat langsung dipindahkan ke model empat konstruk. Kekuatan sintesis terletak pada pencarian hubungan konseptual dan batas pemindahan, bukan pada penjumlahan studi positif. Untuk setiap konstruk, proposal membedakan definisi, unit, skala, populasi, dan luaran. Temuan meta-analisis Han dan Balabanis (2024) memberi gambaran agregat tentang efektivitas influencer, sedangkan studi kasus atau survei pada satu platform memberi rincian pada konteks yang lebih sempit. Kedua jenis bukti dapat saling melengkapi, tetapi tidak mempunyai bobot interpretasi yang sama. Dalam kerangka tersebut, H1 memperoleh dasar dari literatur kredibilitas dan parasosial, H2 dari pemikiran transfer makna serta kedekatan terhadap figur, H3 dari autentisitas dan dukungan terhadap merek, H4 dari hubungan kredibilitas dengan respons terhadap konten, dan H5 dari integrasi tiga mata rantai. Tiap dasar masih memiliki batas: hasil niat beli bukan advokasi, autentisitas influencer bukan autentisitas merek, dan hubungan parasosial bukan interaksi interpersonal nyata. Pengujian utama diperlukan justru karena kesepadanan tersebut belum dapat diasumsikan.</w:t>
      </w:r>
    </w:p>
    <w:p>
      <w:pPr>
        <w:pStyle w:val="Heading3"/>
      </w:pPr>
      <w:r>
        <w:rPr>
          <w:rFonts w:ascii="Times New Roman" w:hAnsi="Times New Roman"/>
          <w:sz w:val="24"/>
        </w:rPr>
        <w:t>8. Sintesis penelitian terdahulu</w:t>
      </w:r>
    </w:p>
    <w:p>
      <w:r>
        <w:rPr>
          <w:rFonts w:ascii="Times New Roman" w:hAnsi="Times New Roman"/>
          <w:sz w:val="24"/>
        </w:rPr>
        <w:t>Riset terdahulu memberi dukungan yang berbeda untuk tiap bagian model: kredibilitas berkaitan dengan penerimaan konten dan respons konsumen, rasa parasosial dengan cara audiens menerima pesan, autentisitas dengan evaluasi serta hubungan merek–konsumen, dan advokasi dengan dukungan digital (Lou &amp; Yuan, 2019; Sokolova &amp; Kefi, 2020; Morhart et al., 2015; Oh et al., 2019; Wilk et al., 2020). Namun, objek, populasi, dan luaran tersebut tidak selalu sama dengan penelitian ini. Bukti bagi satu hubungan karena itu perlu dinilai terpisah dari bukti bagi hubungan lain; dukungan per bagian belum membuktikan bahwa keseluruhan rantai mediasi berlaku pada Generasi Z di Sulawesi Utara. Untuk hubungan kredibilitas influencer dengan hubungan parasosial, bukti yang paling dekat berasal dari studi yang menilai kredibilitas sumber bersama respons relasional audiens. Sokolova dan Kefi (2020), misalnya, menelaah kredibilitas serta interaksi parasosial dalam konteks blogger dan niat pembelian. Lou dan Yuan (2019) menunjukkan relevansi nilai pesan dan kredibilitas pada kepercayaan terhadap konten bermerek, sementara sintesis Han dan Balabanis (2024) merangkum kredibilitas sebagai faktor penting dalam efektivitas influencer. Rujukan tersebut memberi dasar untuk memperkirakan hubungan positif, tetapi tidak sepenuhnya sepadan dengan hubungan parasosial sebagai pengalaman relatif berkelanjutan. Kredibilitas dapat mendorong paparan dan perhatian, tetapi rasa akrab juga dapat membentuk penilaian balik terhadap kredibilitas. Bukti potong lintang tidak menyelesaikan arah waktu tersebut; karena itu H1 diuji sebagai asosiasi sesuai urutan teori, bukan sebagai fakta kausal. Hubungan parasosial dengan autentisitas merek memiliki dasar penjelasan yang lebih tidak langsung. Teori transfer makna McCracken (1989) menjelaskan bagaimana makna yang diasosiasikan dengan figur dapat berpindah ke produk atau merek melalui proses endorsement. Hubungan parasosial memberi konteks relasional yang mungkin membuat isyarat dari influencer lebih menonjol bagi pengikut. Namun, rasa dekat dengan figur tidak selalu membuat pengikut menerima makna yang sama tentang merek, terutama bila pengalaman atau informasi merek bertentangan dengan pesan influencer. Kajian autentisitas merek menekankan penilaian konsumen atas konsistensi, kredibilitas, integritas, dan simbolisme (Morhart et al., 2015; Napoli et al., 2014); konstruk itu tidak identik dengan autentisitas influencer atau kedekatan terhadap figur. Karena itu, H2 menguji apakah hubungan parasosial berkaitan dengan penilaian merek, bukan mengasumsikan perpindahan makna pasti terjadi. Pada hubungan autentisitas dan advokasi, penelitian terdahulu memberi dukungan melalui kedekatan luaran, seperti kepercayaan, hubungan konsumen– merek, rekomendasi, dan loyalitas (Hernandez-Fernandez &amp; Lewis, 2019; Morhart et al., 2015; Oh et al., 2019). Literatur advokasi digital membahas perilaku dukungan yang lebih spesifik, seperti berbagi konten dan menyampaikan rekomendasi daring (Wilk et al., 2020). Kedua kelompok kajian saling melengkapi, tetapi tidak membenarkan penyamaan sikap positif atau niat membeli dengan advokasi. H3 karena itu berfokus pada kesediaan yang dilaporkan dan menempatkan rekomendasi, berbagi, pembelaan, serta partisipasi sebagai domain yang perlu diperiksa cakupan dan konsistensinya. H4 memiliki dasar berbeda: kredibilitas dapat berkaitan langsung dengan respons terhadap pesan bermerek, tetapi dukungan publik terhadap merek mungkin masih bergantung pada evaluasi konsumen atas merek dan risiko sosial tindakan tersebut. Pengujian jalur langsung memungkinkan hubungan itu dinilai setelah mediator diperhitungkan. Untuk H5, sintesis literatur memberi alasan integratif, bukan bukti konklusif bahwa semua mata rantai sudah pernah diuji bersama. Penelitian kredibilitas dan parasosial dapat menggunakan niat membeli sebagai luaran; penelitian autentisitas dapat menguji hubungan merek tanpa influencer; penelitian advokasi dapat berangkat dari komunitas atau pengalaman merek. Perbedaan tersebut membuat rangkaian KI → HP → AM → AMD layak diuji sebagai satu model pada konteks yang ditentukan. Hasil efek serial harus dinilai langsung dari estimasi hasil kali koefisien dan intervalnya; dukungan pada beberapa hubungan terpisah tidak cukup untuk menyatakan H5 didukung. Pembatasan ini juga memungkinkan temuan negatif atau tidak pasti dibahas sebagai informasi mengenai mata rantai yang belum tampak, bukan sebagai kegagalan penelitian. Perbandingan hasil antarpenelitian juga perlu memperhatikan cara konstruk dioperasionalkan. Sebutan “kredibilitas” dapat merujuk pada komunikator, isi pesan, atau merek; hubungan parasosial sesaat tidak selalu sama dengan rasa kedekatan yang berlangsung lebih lama. Demikian pula, autentisitas influencer berbeda dari autentisitas merek, sementara rekomendasi daring, electronic word of mouth, dan advokasi dapat memiliki domain yang saling beririsan tetapi tidak identik. Jika perbedaan ini diabaikan, kesan bahwa dua studi menemukan hasil yang sama dapat muncul hanya karena istilahnya serupa, padahal objek, indikator, dan luaran berbeda. Karena itu, ringkasan bukti dalam proposal mencatat batas konstruk dan tidak menggabungkan koefisien dari studi berbeda menjadi satu angka. Adaptasi instrumen pada penelitian ini juga akan mempertahankan definisi yang dipilih dan memeriksa apakah responden memahami objek setiap butir secara konsisten. Ringkasan meta-analitis dan studi pada satu konteks juga memiliki fungsi yang berbeda. Meta-analisis Han dan Balabanis (2024) membantu menggambarkan pola umum pada penelitian efektivitas influencer, tetapi menggabungkan studi yang dapat berbeda dalam platform, ukuran kredibilitas, kategori produk, dan keluaran yang dipilih. Karena itu, kecenderungan agregat berguna sebagai latar, bukan pengganti pengujian efek tertentu dalam model ini. Studi kontekstual dapat menjelaskan kondisi dan pengukuran dengan lebih rinci, tetapi hasilnya pun tidak otomatis berlaku lintas kategori atau wilayah. Sintesis proposal tidak menghitung berapa banyak artikel yang “mendukung” suatu jalur sebagai pemungutan suara. Relevansi ditimbang berdasarkan kesesuaian konstruk, objek, sampel, dan luaran. Pendekatan tersebut menjaga arah hipotesis tetap berlandaskan teori, sembari membiarkan kekuatan serta ketepatan setiap hubungan ditentukan oleh data yang kelak dikumpulkan.</w:t>
      </w:r>
    </w:p>
    <w:p>
      <w:pPr>
        <w:pStyle w:val="Heading3"/>
      </w:pPr>
      <w:r>
        <w:rPr>
          <w:rFonts w:ascii="Times New Roman" w:hAnsi="Times New Roman"/>
          <w:sz w:val="24"/>
        </w:rPr>
        <w:t>9. Kesenjangan penelitian dan kontribusi yang diharapkan</w:t>
      </w:r>
    </w:p>
    <w:p>
      <w:r>
        <w:rPr>
          <w:rFonts w:ascii="Times New Roman" w:hAnsi="Times New Roman"/>
          <w:sz w:val="24"/>
        </w:rPr>
        <w:t>Penelusuran literatur dalam Lampiran 3 digunakan untuk memeriksa penelitian terdahulu secara terarah. Strategi, batas pencarian, dan hasil akhir akan dilaporkan setelah penelusuran dilakukan; jumlah hasil tidak digunakan sebagai bukti tunggal bahwa hubungan tertentu belum pernah diteliti. Keputusan desain pada tabel tersebut menghubungkan setiap kesenjangan dengan tindakan yang memang termasuk ruang lingkup penelitian. Kesenjangan mekanisme dijawab dengan menguji rangkaian empat konstruk yang telah ditetapkan, bukan dengan menambah mediator atau moderator. Kesenjangan luaran dijawab dengan mengukur kesediaan advokasi dan membedakannya dari niat beli. Kesenjangan konstruk ditangani dengan memastikan satu objek influencer dan satu objek merek tetap digunakan pada seluruh kuesioner serta dengan memeriksa validitas diskriminan. Kesenjangan pengukuran ditangani melalui adaptasi bertahap, bukan melalui klaim bahwa skala sumber dapat langsung dipakai tanpa perubahan. Kesenjangan konteks dijawab dengan menyediakan bukti pada responden di Sulawesi Utara, tetapi teknik purposif membatasi inferensi populasi. Kesenjangan temporal dijawab secara jujur dengan menafsirkan mediasi sebagai hubungan tidak langsung yang konsisten dengan teori. Dengan demikian, kebaruan yang diharapkan terletak pada integrasi dan pengujian model dalam konteks yang dibatasi, bukan pada pernyataan bahwa belum ada penelitian lain yang menyentuh salah satu variabel. Rumusan kesenjangan juga membantu membedakan tujuan proposal dari hasil penelitian. Pada tahap seminar, peneliti mengajukan alasan mengapa model patut diuji. Setelah data tersedia, kontribusi harus dinilai kembali berdasarkan temuan aktual, kualitas pengukuran, dan kesesuaian dengan penelitian terdahulu. Klaim kebaruan atau kontribusi tidak boleh diperkuat semata-mata karena koefisien yang diharapkan muncul. Sintesis penelitian terdahulu dengan demikian tidak diarahkan untuk mencari satu studi yang “membuktikan” seluruh rangkaian. Rujukan digunakan untuk mendukung alasan teoretis dan memberi petunjuk tentang batas instrumen, sementara model tetap harus diuji pada objek dan populasi yang direncanakan. Pendekatan ini mengurangi risiko menyusun narasi yang hanya memilih temuan positif atau menggunakan luaran berbeda seolah-olah identik. Salah satu perbedaan penting terletak pada level analisis. Studi mengenai media, platform, atau kampanye dapat menilai karakteristik pesan; proposal ini mengukur persepsi individu terhadap satu influencer dan satu merek. Studi tentang merek destinasi, tim olahraga, atau produk dengan sejarah panjang menawarkan isyarat autentisitas tertentu, tetapi tidak otomatis berlaku bagi setiap merek yang dipilih responden. Perbedaan level dan kategori harus dinyatakan sebelum peneliti menggeneralisasi konsekuensi praktis.</w:t>
      </w:r>
    </w:p>
    <w:p>
      <w:r>
        <w:rPr>
          <w:rFonts w:ascii="Times New Roman" w:hAnsi="Times New Roman"/>
          <w:b/>
          <w:sz w:val="24"/>
        </w:rPr>
        <w:t>Tabel 2. Kesenjangan penelitian dan keputusan desain</w:t>
      </w:r>
    </w:p>
    <w:tbl>
      <w:tblPr>
        <w:tblStyle w:val="TableGrid"/>
        <w:tblW w:type="auto" w:w="0"/>
        <w:tblLayout w:type="autofit"/>
        <w:tblLook w:firstColumn="1" w:firstRow="1" w:lastColumn="0" w:lastRow="0" w:noHBand="0" w:noVBand="1" w:val="04A0"/>
      </w:tblPr>
      <w:tblGrid>
        <w:gridCol w:w="2646"/>
        <w:gridCol w:w="2646"/>
        <w:gridCol w:w="2646"/>
      </w:tblGrid>
      <w:tr>
        <w:tc>
          <w:tcPr>
            <w:tcW w:type="dxa" w:w="2646"/>
          </w:tcPr>
          <w:p>
            <w:pPr>
              <w:spacing w:after="40" w:line="240" w:lineRule="auto"/>
            </w:pPr>
            <w:r>
              <w:rPr>
                <w:rFonts w:ascii="Times New Roman" w:hAnsi="Times New Roman"/>
                <w:b/>
                <w:sz w:val="24"/>
              </w:rPr>
              <w:t>Jenis kesenjangan</w:t>
            </w:r>
          </w:p>
        </w:tc>
        <w:tc>
          <w:tcPr>
            <w:tcW w:type="dxa" w:w="2646"/>
          </w:tcPr>
          <w:p>
            <w:pPr>
              <w:spacing w:after="40" w:line="240" w:lineRule="auto"/>
            </w:pPr>
            <w:r>
              <w:rPr>
                <w:rFonts w:ascii="Times New Roman" w:hAnsi="Times New Roman"/>
                <w:b/>
                <w:sz w:val="24"/>
              </w:rPr>
              <w:t>Keadaan literatur yang menjadi perhatian</w:t>
            </w:r>
          </w:p>
        </w:tc>
        <w:tc>
          <w:tcPr>
            <w:tcW w:type="dxa" w:w="2646"/>
          </w:tcPr>
          <w:p>
            <w:pPr>
              <w:spacing w:after="40" w:line="240" w:lineRule="auto"/>
            </w:pPr>
            <w:r>
              <w:rPr>
                <w:rFonts w:ascii="Times New Roman" w:hAnsi="Times New Roman"/>
                <w:b/>
                <w:sz w:val="24"/>
              </w:rPr>
              <w:t>Keputusan dalam penelitian</w:t>
            </w:r>
          </w:p>
        </w:tc>
      </w:tr>
      <w:tr>
        <w:tc>
          <w:tcPr>
            <w:tcW w:type="dxa" w:w="2646"/>
          </w:tcPr>
          <w:p>
            <w:pPr>
              <w:spacing w:after="40" w:line="240" w:lineRule="auto"/>
            </w:pPr>
            <w:r>
              <w:rPr>
                <w:rFonts w:ascii="Times New Roman" w:hAnsi="Times New Roman"/>
                <w:sz w:val="24"/>
              </w:rPr>
              <w:t>Mekanisme</w:t>
            </w:r>
          </w:p>
        </w:tc>
        <w:tc>
          <w:tcPr>
            <w:tcW w:type="dxa" w:w="2646"/>
          </w:tcPr>
          <w:p>
            <w:pPr>
              <w:spacing w:after="40" w:line="240" w:lineRule="auto"/>
            </w:pPr>
            <w:r>
              <w:rPr>
                <w:rFonts w:ascii="Times New Roman" w:hAnsi="Times New Roman"/>
                <w:sz w:val="24"/>
              </w:rPr>
              <w:t>Hubungan kredibilitas, kedekatan parasosial, autentisitas, dan advokasi sering ditelaah pada model yang berbeda</w:t>
            </w:r>
          </w:p>
        </w:tc>
        <w:tc>
          <w:tcPr>
            <w:tcW w:type="dxa" w:w="2646"/>
          </w:tcPr>
          <w:p>
            <w:pPr>
              <w:spacing w:after="40" w:line="240" w:lineRule="auto"/>
            </w:pPr>
            <w:r>
              <w:rPr>
                <w:rFonts w:ascii="Times New Roman" w:hAnsi="Times New Roman"/>
                <w:sz w:val="24"/>
              </w:rPr>
              <w:t>Menguji mediasi berurutan serta melaporkan jalur alternatif yang telah ditetapkan</w:t>
            </w:r>
          </w:p>
        </w:tc>
      </w:tr>
      <w:tr>
        <w:tc>
          <w:tcPr>
            <w:tcW w:type="dxa" w:w="2646"/>
          </w:tcPr>
          <w:p>
            <w:pPr>
              <w:spacing w:after="40" w:line="240" w:lineRule="auto"/>
            </w:pPr>
            <w:r>
              <w:rPr>
                <w:rFonts w:ascii="Times New Roman" w:hAnsi="Times New Roman"/>
                <w:sz w:val="24"/>
              </w:rPr>
              <w:t>Luaran</w:t>
            </w:r>
          </w:p>
        </w:tc>
        <w:tc>
          <w:tcPr>
            <w:tcW w:type="dxa" w:w="2646"/>
          </w:tcPr>
          <w:p>
            <w:pPr>
              <w:spacing w:after="40" w:line="240" w:lineRule="auto"/>
            </w:pPr>
            <w:r>
              <w:rPr>
                <w:rFonts w:ascii="Times New Roman" w:hAnsi="Times New Roman"/>
                <w:sz w:val="24"/>
              </w:rPr>
              <w:t>Niat beli dan sikap merek lebih sering dipakai daripada dukungan sukarela di ruang digital</w:t>
            </w:r>
          </w:p>
        </w:tc>
        <w:tc>
          <w:tcPr>
            <w:tcW w:type="dxa" w:w="2646"/>
          </w:tcPr>
          <w:p>
            <w:pPr>
              <w:spacing w:after="40" w:line="240" w:lineRule="auto"/>
            </w:pPr>
            <w:r>
              <w:rPr>
                <w:rFonts w:ascii="Times New Roman" w:hAnsi="Times New Roman"/>
                <w:sz w:val="24"/>
              </w:rPr>
              <w:t>Menggunakan kesediaan advokasi merek digital dan memisahkannya dari pembelian</w:t>
            </w:r>
          </w:p>
        </w:tc>
      </w:tr>
      <w:tr>
        <w:tc>
          <w:tcPr>
            <w:tcW w:type="dxa" w:w="2646"/>
          </w:tcPr>
          <w:p>
            <w:pPr>
              <w:spacing w:after="40" w:line="240" w:lineRule="auto"/>
            </w:pPr>
            <w:r>
              <w:rPr>
                <w:rFonts w:ascii="Times New Roman" w:hAnsi="Times New Roman"/>
                <w:sz w:val="24"/>
              </w:rPr>
              <w:t>Batas konstruk</w:t>
            </w:r>
          </w:p>
        </w:tc>
        <w:tc>
          <w:tcPr>
            <w:tcW w:type="dxa" w:w="2646"/>
          </w:tcPr>
          <w:p>
            <w:pPr>
              <w:spacing w:after="40" w:line="240" w:lineRule="auto"/>
            </w:pPr>
            <w:r>
              <w:rPr>
                <w:rFonts w:ascii="Times New Roman" w:hAnsi="Times New Roman"/>
                <w:sz w:val="24"/>
              </w:rPr>
              <w:t>Penilaian influencer dapat bercampur dengan penilaian merek atau persepsi kesamaan</w:t>
            </w:r>
          </w:p>
        </w:tc>
        <w:tc>
          <w:tcPr>
            <w:tcW w:type="dxa" w:w="2646"/>
          </w:tcPr>
          <w:p>
            <w:pPr>
              <w:spacing w:after="40" w:line="240" w:lineRule="auto"/>
            </w:pPr>
            <w:r>
              <w:rPr>
                <w:rFonts w:ascii="Times New Roman" w:hAnsi="Times New Roman"/>
                <w:sz w:val="24"/>
              </w:rPr>
              <w:t>Menjaga sasaran orang–merek dan menguji validitas diskriminan</w:t>
            </w:r>
          </w:p>
        </w:tc>
      </w:tr>
      <w:tr>
        <w:tc>
          <w:tcPr>
            <w:tcW w:type="dxa" w:w="2646"/>
          </w:tcPr>
          <w:p>
            <w:pPr>
              <w:spacing w:after="40" w:line="240" w:lineRule="auto"/>
            </w:pPr>
            <w:r>
              <w:rPr>
                <w:rFonts w:ascii="Times New Roman" w:hAnsi="Times New Roman"/>
                <w:sz w:val="24"/>
              </w:rPr>
              <w:t>Pengukuran</w:t>
            </w:r>
          </w:p>
        </w:tc>
        <w:tc>
          <w:tcPr>
            <w:tcW w:type="dxa" w:w="2646"/>
          </w:tcPr>
          <w:p>
            <w:pPr>
              <w:spacing w:after="40" w:line="240" w:lineRule="auto"/>
            </w:pPr>
            <w:r>
              <w:rPr>
                <w:rFonts w:ascii="Times New Roman" w:hAnsi="Times New Roman"/>
                <w:sz w:val="24"/>
              </w:rPr>
              <w:t>Skala lintas konteks dapat berubah makna setelah diterjemahkan</w:t>
            </w:r>
          </w:p>
        </w:tc>
        <w:tc>
          <w:tcPr>
            <w:tcW w:type="dxa" w:w="2646"/>
          </w:tcPr>
          <w:p>
            <w:pPr>
              <w:spacing w:after="40" w:line="240" w:lineRule="auto"/>
            </w:pPr>
            <w:r>
              <w:rPr>
                <w:rFonts w:ascii="Times New Roman" w:hAnsi="Times New Roman"/>
                <w:sz w:val="24"/>
              </w:rPr>
              <w:t>Melakukan telaah sumber primer, terjemahan, panel ahli, wawancara kognitif, dan pilot</w:t>
            </w:r>
          </w:p>
        </w:tc>
      </w:tr>
      <w:tr>
        <w:tc>
          <w:tcPr>
            <w:tcW w:type="dxa" w:w="2646"/>
          </w:tcPr>
          <w:p>
            <w:pPr>
              <w:spacing w:after="40" w:line="240" w:lineRule="auto"/>
            </w:pPr>
            <w:r>
              <w:rPr>
                <w:rFonts w:ascii="Times New Roman" w:hAnsi="Times New Roman"/>
                <w:sz w:val="24"/>
              </w:rPr>
              <w:t>Konteks</w:t>
            </w:r>
          </w:p>
        </w:tc>
        <w:tc>
          <w:tcPr>
            <w:tcW w:type="dxa" w:w="2646"/>
          </w:tcPr>
          <w:p>
            <w:pPr>
              <w:spacing w:after="40" w:line="240" w:lineRule="auto"/>
            </w:pPr>
            <w:r>
              <w:rPr>
                <w:rFonts w:ascii="Times New Roman" w:hAnsi="Times New Roman"/>
                <w:sz w:val="24"/>
              </w:rPr>
              <w:t>Bukti dari satu jenis negara, wilayah, atau kategori produk tidak otomatis berlaku pada konteks lain</w:t>
            </w:r>
          </w:p>
        </w:tc>
        <w:tc>
          <w:tcPr>
            <w:tcW w:type="dxa" w:w="2646"/>
          </w:tcPr>
          <w:p>
            <w:pPr>
              <w:spacing w:after="40" w:line="240" w:lineRule="auto"/>
            </w:pPr>
            <w:r>
              <w:rPr>
                <w:rFonts w:ascii="Times New Roman" w:hAnsi="Times New Roman"/>
                <w:sz w:val="24"/>
              </w:rPr>
              <w:t>Menguji model pada responden yang memenuhi kriteria di Sulawesi Utara dan membatasi generalisasi</w:t>
            </w:r>
          </w:p>
        </w:tc>
      </w:tr>
      <w:tr>
        <w:tc>
          <w:tcPr>
            <w:tcW w:type="dxa" w:w="2646"/>
          </w:tcPr>
          <w:p>
            <w:pPr>
              <w:spacing w:after="40" w:line="240" w:lineRule="auto"/>
            </w:pPr>
            <w:r>
              <w:rPr>
                <w:rFonts w:ascii="Times New Roman" w:hAnsi="Times New Roman"/>
                <w:sz w:val="24"/>
              </w:rPr>
              <w:t>Inferensi</w:t>
            </w:r>
          </w:p>
        </w:tc>
        <w:tc>
          <w:tcPr>
            <w:tcW w:type="dxa" w:w="2646"/>
          </w:tcPr>
          <w:p>
            <w:pPr>
              <w:spacing w:after="40" w:line="240" w:lineRule="auto"/>
            </w:pPr>
            <w:r>
              <w:rPr>
                <w:rFonts w:ascii="Times New Roman" w:hAnsi="Times New Roman"/>
                <w:sz w:val="24"/>
              </w:rPr>
              <w:t>Survei satu waktu dapat menunjukkan hubungan, tetapi tidak menetapkan urutan waktu</w:t>
            </w:r>
          </w:p>
        </w:tc>
        <w:tc>
          <w:tcPr>
            <w:tcW w:type="dxa" w:w="2646"/>
          </w:tcPr>
          <w:p>
            <w:pPr>
              <w:spacing w:after="40" w:line="240" w:lineRule="auto"/>
            </w:pPr>
            <w:r>
              <w:rPr>
                <w:rFonts w:ascii="Times New Roman" w:hAnsi="Times New Roman"/>
                <w:sz w:val="24"/>
              </w:rPr>
              <w:t>Menafsirkan mediasi sebagai asosiasi tidak langsung yang konsisten dengan teori</w:t>
            </w:r>
          </w:p>
        </w:tc>
      </w:tr>
    </w:tbl>
    <w:p/>
    <w:p>
      <w:r>
        <w:rPr>
          <w:rFonts w:ascii="Times New Roman" w:hAnsi="Times New Roman"/>
          <w:i/>
          <w:sz w:val="24"/>
        </w:rPr>
        <w:t>Diadaptasi dari berkas Proposal Disertasi 14 Oktober 2026 (tabel 2 pada berkas sumber).</w:t>
      </w:r>
    </w:p>
    <w:p>
      <w:pPr>
        <w:pStyle w:val="Heading3"/>
      </w:pPr>
      <w:r>
        <w:rPr>
          <w:rFonts w:ascii="Times New Roman" w:hAnsi="Times New Roman"/>
          <w:sz w:val="24"/>
        </w:rPr>
        <w:t>10. Penjelasan tandingan dan batas model</w:t>
      </w:r>
    </w:p>
    <w:p>
      <w:r>
        <w:rPr>
          <w:rFonts w:ascii="Times New Roman" w:hAnsi="Times New Roman"/>
          <w:sz w:val="24"/>
        </w:rPr>
        <w:t>Model mengajukan satu urutan teoretis, tetapi bukan satu-satunya penjelasan yang mungkin. Kredibilitas dapat berkaitan dengan kedekatan; penilaian terhadap merek dapat dipengaruhi pengalaman langsung; dan autentisitas tidak menjamin konsumen akan menyatakan dukungan secara terbuka. Faktor-faktor tersebut menjadi batas interpretasi, bukan alasan untuk menambahkan konstruk atau jalur baru. Karena survei dilakukan satu kali, hasil akan dibaca sebagai pola hubungan yang konsisten dengan teori; kemungkinan hubungan balik dan faktor yang tidak diukur tetap diakui. Dalam survei potong lintang, arah KI → HP merupakan pengaturan teoretis, bukan satu-satunya urutan yang mungkin. Audiens yang merasa dekat dengan influencer dapat memberi penilaian kredibilitas lebih tinggi; hubungan tersebut mungkin juga berkembang bersamaan melalui paparan dan penilaian berulang. Demikian pula, pengalaman menggunakan merek dapat membentuk persepsi autentisitas sebelum responden melihat promosi influencer. Penelitian tidak menambahkan semua urutan alternatif itu ke model utama karena tujuan proposal ialah menguji rantai yang telah ditentukan. Namun, kemungkinan tersebut menjadi batas interpretasi dan alasan untuk tidak menggunakan istilah kausal secara mutlak. Kesimpulan tentang mediasi juga perlu membedakan efek tidak langsung statistik dari mekanisme yang terbukti berlangsung dalam waktu. Efek serial KI → HP → AM → AMD menunjukkan bahwa data selaras dengan jalur yang dihipotesiskan setelah hubungan lain dalam persamaan diperhitungkan. Efek tersebut tidak membuktikan bahwa kredibilitas secara temporal mendahului kedekatan, bahwa kedekatan menyebabkan autentisitas, atau bahwa autentisitas menghasilkan tindakan advokasi. Pengujian longitudinal atau eksperimental dapat memperkuat inferensi itu, tetapi berada di luar desain penelitian ini. Kesenjangan yang dirumuskan juga memiliki batas epistemik. Penelusuran literatur dapat menemukan bahwa kombinasi istilah tertentu jarang muncul, tetapi hal itu tidak membuktikan bahwa konstruk belum pernah diteliti dengan istilah lain atau dalam bidang ilmu yang berbeda. Oleh sebab itu, kontribusi proposal dibuat sepadan dengan bukti yang dapat dikumpulkan: integrasi model, pembedaan objek, penggunaan kesediaan advokasi sebagai luaran, dan pengujian pada responden yang memenuhi kriteria di Sulawesi Utara. Kontribusi yang diajukan terletak pada integrasi kredibilitas influencer, hubungan parasosial, autentisitas merek, dan kesediaan advokasi daring dalam satu model serta pengujiannya pada responden Generasi Z di Sulawesi Utara. Posisi dan kontribusi tersebut akan ditajamkan melalui penelusuran literatur yang terdokumentasi dan ditafsirkan sesuai hasil penelitian, tanpa klaim prioritas universal.</w:t>
      </w:r>
    </w:p>
    <w:p>
      <w:pPr>
        <w:pStyle w:val="Heading3"/>
      </w:pPr>
      <w:r>
        <w:rPr>
          <w:rFonts w:ascii="Times New Roman" w:hAnsi="Times New Roman"/>
          <w:sz w:val="24"/>
        </w:rPr>
        <w:t>11. Bukti empiris tambahan dan pembatasan pemindahan temuan</w:t>
      </w:r>
    </w:p>
    <w:p>
      <w:r>
        <w:rPr>
          <w:rFonts w:ascii="Times New Roman" w:hAnsi="Times New Roman"/>
          <w:sz w:val="24"/>
        </w:rPr>
        <w:t>Beberapa penelitian menempatkan faktor media dan karakter konten sebagai bagian dari respons konsumen terhadap influencer. Chidiac dan Bowden (2023) menelaah peran kekayaan dan kealamian media dalam niat membeli pada pemasaran influencer. Temuan pada ranah tersebut mengingatkan bahwa kualitas pengalaman media dapat ikut menjelaskan respons, sehingga hubungan kredibilitas dan parasosial tidak boleh dipahami terlepas dari konteks platform. Penelitian ini mencatat platform utama dan frekuensi penggunaan untuk mendeskripsikan sampel, tetapi tidak menjadikan karakteristik teknis setiap platform sebagai konstruk utama karena tujuan model berfokus pada mekanisme sumber–relasi–merek. Kredibilitas sumber juga tidak sama dengan autentisitas influencer. Balaban dan Szambolics (2022) mengusulkan model persepsi autentisitas diri influencer, sedangkan Lee dan Eastin (2021) mengembangkan skala persepsi autentisitas influencer. Singer et al. (2023) memperlihatkan bahwa definisi autentisitas influencer dapat berbeda antara kelompok generasi dalam konteks tertentu. Literatur tersebut memberi landasan untuk membedakan penilaian figur sebagai autentik dari penilaian figur sebagai kredibel. Penelitian ini mempertahankan fokus pada kredibilitas influencer karena memasukkan autentisitas influencer sekaligus autentisitas merek akan memperluas model dan menambah tuntutan pengukuran. Namun, potensi peran autentisitas influencer diakui sebagai variabel yang dapat diuji pada penelitian lanjutan. Penelitian mengenai autentisitas merek meliputi konteks produk, pariwisata, jasa, kemasan, dan konsumsi lintas budaya. Chen, Lee, dan Hyun (2022) membahas autentisitas merek pada jaringan kedai kopi di konteks budaya konsumsi tertentu. Safeer et al. (2022) menelaah persepsi merek lokal dan global serta autentisitas dalam perspektif Asia lintas budaya. Das et al. (2022) menghubungkan nilai konsumsi dan autentisitas merek dalam pembelian fesyen. Shi et al. (2022) mengkaji autentisitas merek destinasi dalam kaitannya dengan respons wisatawan. Wang et al. (2023) menelaah desain kemasan sederhana dan persepsi autentisitas. Rangkaian studi tersebut menunjukkan bahwa autentisitas dapat diaktifkan oleh petunjuk yang berbeda menurut kategori, tetapi tidak semuanya dapat digeneralisasikan pada pasangan influencer–merek konsumen muda di Sulawesi Utara. Kajian autentisitas terkait tanggung jawab dan komunikasi merek menambahkan batas penting. Safeer dan Liu (2023) membahas autentisitas tanggung jawab sosial perusahaan dalam pembentukan loyalitas. Kirkby, Baumgarth, dan Henseler (2023) menelaah pengungkapan suara merek berbasis kecerdasan buatan dan respons autentisitas. Rujukan tersebut menunjukkan bahwa klaim, praktik, dan cara komunikasi merek dapat memengaruhi persepsi autentisitas. Dalam penelitian ini, butir integritas harus dihindarkan dari penilaian lingkungan atau tanggung jawab yang tidak dapat diketahui oleh responden; jika isu tersebut dipertahankan, redaksinya harus spesifik dan pilihan “tidak dapat menilai” digunakan secara tepat. Perbedaan antara keaslian merek, kesesuaian diri, dan pilihan konsumen juga penting. Tseng dan Wang (2023) membahas autentisitas merek diri selebritas/internet serta keterlibatan selebritas dalam kaitannya dengan niat beli. Huh dan Kim (2024) menelaah sinyal konsumsi hijau sebagai simbol status, sedangkan Nguyen et al. (2023) membahas persepsi aktivisme merek dan loyalitas pada konsumen Generasi Z di Vietnam. Kajian ini menunjukkan relevansi nilai simbolik dan aktivisme, tetapi tidak dapat digunakan untuk mengasumsikan bahwa dimensi simbolisme pada semua merek di Sulawesi Utara beroperasi dengan cara yang sama. Pemindahan temuan lintas konteks dilakukan dengan tiga langkah. Pertama, konstruk ditentukan berdasarkan definisi sumber, bukan hanya kata yang sama dalam judul artikel. Kedua, luaran dan unit analisis dibandingkan: sikap terhadap merek, niat membeli, hubungan dengan destinasi, dan advokasi bukan luaran identik. Ketiga, perbedaan kategori produk, negara, platform, dan periode publikasi dicatat sebagai batas. Prosedur ini mencegah sitasi dipakai sebagai bukti universal dan memperjelas kontribusi empiris penelitian.</w:t>
      </w:r>
    </w:p>
    <w:p>
      <w:pPr>
        <w:pStyle w:val="Heading3"/>
      </w:pPr>
      <w:r>
        <w:rPr>
          <w:rFonts w:ascii="Times New Roman" w:hAnsi="Times New Roman"/>
          <w:sz w:val="24"/>
        </w:rPr>
        <w:t>12. Pertimbangan konteks media dan kategori merek</w:t>
      </w:r>
    </w:p>
    <w:p>
      <w:r>
        <w:rPr>
          <w:rFonts w:ascii="Times New Roman" w:hAnsi="Times New Roman"/>
          <w:sz w:val="24"/>
        </w:rPr>
        <w:t>Responden dapat memilih influencer dari kategori dan platform yang berbeda. Variasi ini memiliki konsekuensi bagi keterbandingan jawaban. Kredibilitas yang dinilai relevan untuk rekomendasi produk kecantikan mungkin tidak memiliki makna yang sama bagi layanan digital atau hiburan. Begitu pula, indikator kontinuitas merek lebih mudah dijawab untuk merek dengan identitas yang telah dikenal luas daripada merek yang baru muncul. Penelitian membatasi objek pada satu pasangan acuan per responden, mencatat kategori merek dan platform, dan melaporkan komposisinya agar variasi tidak tersembunyi. Penggunaan merek yang dipilih sendiri oleh responden meningkatkan relevansi personal, tetapi mengurangi keseragaman objek. Pilihan ini dipertahankan karena penelitian menguji mekanisme psikologis, bukan membandingkan merek. Kategori merek dilaporkan agar ragam konteks sampel terlihat, tanpa menambahkan uji kategori sebagai hipotesis. Jika satu kategori merek sangat dominan, hasil keseluruhan akan lebih banyak mencerminkan kategori tersebut. Komposisi kategori karena itu dilaporkan dan dipertimbangkan saat menafsirkan hasil. Perbandingan kategori tidak termasuk pengujian utama dan memerlukan rancangan serta ukuran sampel tersendiri bila dijadikan fokus penelitian lanjutan. Pertimbangan yang sama berlaku untuk platform. Format konten, fitur komentar, dan pola interaksi dapat berbeda antarplatform. Platform utama dicatat untuk menggambarkan sampel; karena tidak diuji sebagai konstruk, simpulan tidak menyatakan bahwa hubungan model berlaku sama kuat di seluruh platform. Pemilihan pasangan acuan juga memiliki konsekuensi bagi keterbandingan. Responden dapat memilih influencer dan merek yang dekat dengan pengalamannya, sehingga pertanyaan lebih mudah dipahami dan tidak meminta penilaian terhadap objek yang tidak dikenal. Sebaliknya, pasangan yang beragam membuat satu skor model merangkum konteks yang tidak sepenuhnya sama. Penelitian menanggapinya dengan menetapkan instruksi yang konsisten, mencatat kategori merek dan platform, serta membatasi kesimpulan pada pola keseluruhan yang diperoleh. Kriteria bahwa responden pernah melihat promosi atau rekomendasi memastikan adanya hubungan paparan antara influencer dan merek acuan. Kriteria tersebut tidak menjamin bahwa responden mengingat isi setiap pesan, mengetahui apakah unggahan dibayar, atau mempunyai pengalaman membeli. Karena itu, pertanyaan paparan sponsor dan pengalaman penggunaan ditempatkan terpisah dari konstruk utama. Perbedaan jawaban pada pertanyaan tambahan tersebut membantu pembaca memahami sampel, tetapi tidak diperlakukan sebagai bukti bahwa satu tipe paparan menyebabkan hasil tertentu. Keputusan tidak membatasi satu merek atau kategori untuk semua responden merupakan kompromi yang disadari. Penggunaan satu merek yang ditentukan peneliti dapat menghasilkan sampel yang lebih seragam, tetapi berisiko membuat sebagian responden tidak memiliki pengetahuan cukup. Sebaliknya, pilihan responden meningkatkan relevansi personal namun memperlebar variasi konteks. Karena model tidak ditujukan untuk merangking merek atau platform, pilihan personal dipertahankan dan heterogenitasnya dilaporkan sebagai batas penelitian. Hubungan antara objek penelitian dan batas populasi perlu dibaca bersama. Responden dipilih bukan hanya karena masuk kelompok umur yang ditentukan, tetapi juga karena pernah mengikuti influencer dan melihat promosi atau rekomendasi terhadap merek yang dikenal. Dengan demikian, model ditujukan pada konsumen yang memiliki pengalaman dasar untuk menilai kedua objek, bukan pada seluruh warga Sulawesi Utara tanpa membedakan paparan. Teknik purposif membuat batas ini dapat dijelaskan, tetapi tidak mendukung estimasi prevalensi atau generalisasi statistik untuk seluruh populasi. Platform utama dan kategori merek dapat memberi konteks pada perbedaan penilaian. Meskipun keduanya dilaporkan, desain tidak menyatakan bahwa variasi itu menjadi efek penyebab atau moderator. Jika terdapat kelompok yang dominan, bobot konteks tersebut perlu disebut saat menafsirkan hasil. Perbandingan antarplatform atau kategori memerlukan tujuan, ukuran sampel, dan pengujian kesetaraan instrumen tersendiri; karena hal itu bukan sasaran proposal, analisis utama tetap berada pada model yang sama untuk seluruh responden yang memenuhi syarat.</w:t>
      </w:r>
    </w:p>
    <w:p>
      <w:pPr>
        <w:pStyle w:val="Heading2"/>
      </w:pPr>
      <w:r>
        <w:rPr>
          <w:rFonts w:ascii="Times New Roman" w:hAnsi="Times New Roman"/>
          <w:sz w:val="24"/>
        </w:rPr>
        <w:t>B. Kerangka Pemikiran</w:t>
      </w:r>
    </w:p>
    <w:p>
      <w:pPr>
        <w:pStyle w:val="Heading3"/>
      </w:pPr>
      <w:r>
        <w:rPr>
          <w:rFonts w:ascii="Times New Roman" w:hAnsi="Times New Roman"/>
          <w:sz w:val="24"/>
        </w:rPr>
        <w:t>1. Alur penalaran model</w:t>
      </w:r>
    </w:p>
    <w:p>
      <w:r>
        <w:rPr>
          <w:rFonts w:ascii="Times New Roman" w:hAnsi="Times New Roman"/>
          <w:sz w:val="24"/>
        </w:rPr>
        <w:t>Dalam kerangka S-O-R, model berangkat dari stimulus berupa penilaian konsumen terhadap sumber pesan. Influencer yang dipersepsikan ahli, dapat dipercaya, dan menarik diduga lebih mudah membangun hubungan parasosial (keadaan relasional internal). Hubungan tersebut dapat memberi konteks bagi evaluasi autentisitas merek (keadaan evaluatif internal), yang selanjutnya dapat berkaitan dengan kesediaan merekomendasikan, membagikan konten, atau membela merek (respons). S-O-R memberi struktur umum model, sedangkan teori kredibilitas sumber, hubungan parasosial, dan transfer makna menjelaskan alasan masing-masing jalur. Penelitian menguji hubungan langsung kredibilitas influencer dengan advokasi serta menetapkan jalur alternatif KI → AM. Kredibilitas yang dipercaya dapat menjadi petunjuk bagi penilaian merek yang diasosiasikan dengan influencer, tetapi transfer makna tidak otomatis dan bukti terdahulu tidak menguji rantai serial yang sama (McCracken, 1989). Karena itu, KI → AM diestimasi sebagai jalur alternatif yang ditetapkan sebelum analisis, tanpa menjadi hipotesis tambahan. Faktor demografis dan pengalaman merek tidak diperlakukan sebagai konstruk inti.</w:t>
      </w:r>
    </w:p>
    <w:p>
      <w:pPr>
        <w:pStyle w:val="Heading3"/>
      </w:pPr>
      <w:r>
        <w:rPr>
          <w:rFonts w:ascii="Times New Roman" w:hAnsi="Times New Roman"/>
          <w:sz w:val="24"/>
        </w:rPr>
        <w:t>2. Pengembangan hipotesis</w:t>
      </w:r>
    </w:p>
    <w:p>
      <w:r>
        <w:rPr>
          <w:rFonts w:ascii="Times New Roman" w:hAnsi="Times New Roman"/>
          <w:sz w:val="24"/>
        </w:rPr>
        <w:t>a. H1: Kredibilitas influencer dan hubungan parasosial Teori kredibilitas sumber menyatakan bahwa keahlian, keterpercayaan, dan daya tarik dapat membantu penerimaan komunikator. Paparan berulang terhadap influencer yang dinilai kredibel dapat memberi kesempatan bagi audiens untuk merasa akrab dan terikat secara psikologis. Ketika rekomendasi dianggap kompeten dan dapat dipercaya, audiens mungkin lebih bersedia memberi perhatian pada cerita atau pengalaman personal influencer. Namun, keterlibatan parasosial juga dapat dipengaruhi kebiasaan mengikuti konten dan kesamaan yang dirasakan. Hubungan parasosial tetap bersifat satu arah; kredibilitas tidak membuktikan bahwa influencer mengenal pengikut secara pribadi. Dugaan positif berangkat dari kemungkinan bahwa sumber yang dinilai cakap, jujur, dan menarik lebih mudah memperoleh perhatian berulang, yang dapat mendukung rasa akrab. Namun, penelitian terdahulu mengukur konteks dan luaran yang beragam, sehingga arah dan besar hubungan tetap perlu diuji pada sampel ini. Berdasarkan alasan tersebut, dirumuskan: H1: Kredibilitas influencer berhubungan positif dengan hubungan parasosial. b. H2: Hubungan parasosial dan autentisitas merek Hubungan parasosial dapat membuat audiens lebih terbuka terhadap pesan dari figur yang diikuti. Melalui proses transfer makna, asosiasi pada influencer dapat menjadi salah satu petunjuk ketika konsumen menilai merek yang dipromosikan (McCracken, 1989). Proses tersebut tidak otomatis; konsumen tetap menilai merek berdasarkan pengetahuan dan pengalamannya. Rasa kedekatan dapat membuat rekomendasi lebih diperhatikan, tetapi tidak menggantikan isyarat kontinuitas, pemenuhan janji, integritas, dan makna merek. Hubungan positif diharapkan apabila asosiasi influencer–merek cukup jelas bagi responden; bila pasangan acuan lemah atau tidak dikenal, kedekatan pada figur mungkin tidak terbawa ke penilaian merek. Oleh karena itu, H2 menguji hubungan antara rasa kedekatan dengan influencer dan persepsi autentisitas merek: H2: Hubungan parasosial berhubungan positif dengan autentisitas merek. c. H3: Autentisitas merek dan advokasi merek digital Merek yang dipersepsikan konsisten, dapat dipercaya, berintegritas, dan bermakna dapat memberi alasan bagi konsumen untuk menyampaikan dukungan. Advokasi berbeda dari niat membeli karena mencakup kesediaan merekomendasikan, berbagi, atau membela merek. Penilaian autentisitas tidak menjamin tindakan aktual, dan dukungan publik dapat melibatkan risiko reputasi bagi konsumen. Meski demikian, konsumen yang menilai merek konsisten dan dapat dipercaya mungkin mempunyai alasan lebih kuat untuk menyatakan dukungan. Hubungan yang diajukan tetap bersifat probabilistik dan diukur melalui kesediaan yang dilaporkan. Perbedaan antara menyetujui bahwa merek autentik dan bersedia mengomunikasikan dukungan harus dipertahankan; responden dapat menilai merek secara positif tetapi tetap memilih tidak menyampaikan rekomendasi di ruang publik: H3: Autentisitas merek berhubungan positif dengan advokasi merek digital. d. H4: Hubungan langsung kredibilitas influencer dengan advokasi Konsumen dapat bersedia mendukung merek karena mempercayai rekomendasi influencer, meskipun hubungan parasosial dan autentisitas merek tidak sepenuhnya menjelaskan proses tersebut. Pengujian jalur langsung memungkinkan penelitian mengetahui apakah hubungan itu masih tampak setelah kedua mediator diperhitungkan. Jalur ini menjaga ruang bagi penjelasan bahwa rekomendasi dari sumber yang kredibel dapat berkaitan dengan dukungan tanpa seluruh hubungannya tersalur melalui mediator yang diajukan. Koefisiennya tetap merupakan asosiasi pada data survei, bukan bukti bahwa sumber secara langsung menyebabkan advokasi. H4 juga tidak menyatakan bahwa jalur langsung harus lebih kuat atau lebih penting daripada efek tidak langsung. Tujuannya ialah menilai apakah hubungan KI–AMD tetap teramati ketika mediator diperhitungkan dalam spesifikasi yang sama: H4: Kredibilitas influencer berhubungan positif secara langsung dengan advokasi merek digital setelah mediator diperhitungkan. e. H5: Mediasi berurutan H5 menyatukan tiga hubungan dalam satu efek tidak langsung: kredibilitas influencer berhubungan dengan hubungan parasosial; hubungan parasosial berhubungan dengan autentisitas merek; dan autentisitas merek berhubungan dengan advokasi. Efek ini diukur sebagai hasil kali koefisien jalur KI → HP, HP → AM, dan AM → AMD. Ketidakpastiannya dinilai dengan interval bootstrap, bukan dengan menjumlahkan keputusan signifikansi setiap jalur. Penilaian terhadap efek serial berfokus pada interval hasil kali tersebut dan arah estimasinya. Hasil yang tidak mendukung H5 tidak serta-merta membatalkan seluruh teori; hasil itu dapat menunjukkan bahwa satu atau lebih mata rantai belum tampak pada sampel, instrumen, atau konteks penelitian. Efek serial dilaporkan terpisah dari jalur langsung KI → AMD dan jalur tambahan HP → AMD, agar pembaca dapat membedakan kontribusi tiap komponen tanpa menambah hipotesis setelah analisis. H5: Hubungan parasosial dan autentisitas merek secara berurutan memediasi hubungan kredibilitas influencer dengan advokasi merek digital. Efek langsung dan efek tidak langsung menjawab pertanyaan yang berbeda. Koefisien KI → AMD menilai hubungan kredibilitas dengan advokasi setelah mediator diperhitungkan, sedangkan H5 menilai bagian hubungan yang berjalan melalui HP dan AM secara berurutan. Karena itu, ada kemungkinan efek serial didukung sementara koefisien langsung tidak didukung, atau sebaliknya. Proposal tidak akan menyebut mediasi “penuh” atau “sebagian” hanya dari pola nilai p; pembahasan akan berfokus pada estimasi, interval, arah, dan batas desain potong lintang. Hipotesis H1–H4 dirumuskan berarah positif karena teori dan sebagian bukti terdahulu mendukung hubungan tersebut. Arah yang diharapkan bukan hasil yang telah diamati. Apabila koefisien ternyata negatif, kecil, atau intervalnya mencakup nol, laporan tetap menyajikan estimasi dan menelaah kemungkinan penjelasan melalui kualitas pengukuran, karakteristik sampel, dan konteks. Perumusan ini membantu menjaga proposal dari kesan bahwa keberhasilan penelitian bergantung pada semua hipotesis yang didukung. Pemaknaan ini selaras dengan tujuan penelitian yang menjelaskan proses, tetapi tetap menghormati desain survei. Koefisien serial memberi informasi apakah pola kovariasi data konsisten dengan mediasi yang dihipotesiskan setelah jalur lain dalam persamaan diperhitungkan. Koefisien tersebut tidak menunjukkan kapan pengalaman terjadi, seberapa lama rasa kedekatan terbentuk, atau apakah konsumen benar-benar melakukan advokasi. Untuk pertanyaan temporal dan perilaku aktual diperlukan rancangan serta data yang berbeda.</w:t>
      </w:r>
    </w:p>
    <w:p>
      <w:pPr>
        <w:pStyle w:val="Heading3"/>
      </w:pPr>
      <w:r>
        <w:rPr>
          <w:rFonts w:ascii="Times New Roman" w:hAnsi="Times New Roman"/>
          <w:sz w:val="24"/>
        </w:rPr>
        <w:t>3. Ringkasan hipotesis</w:t>
      </w:r>
    </w:p>
    <w:p>
      <w:r>
        <w:rPr>
          <w:rFonts w:ascii="Times New Roman" w:hAnsi="Times New Roman"/>
          <w:b/>
          <w:sz w:val="24"/>
        </w:rPr>
        <w:t>Tabel 3. Ringkasan hipotesis penelitian</w:t>
      </w:r>
    </w:p>
    <w:tbl>
      <w:tblPr>
        <w:tblStyle w:val="TableGrid"/>
        <w:tblW w:type="auto" w:w="0"/>
        <w:tblLayout w:type="autofit"/>
        <w:tblLook w:firstColumn="1" w:firstRow="1" w:lastColumn="0" w:lastRow="0" w:noHBand="0" w:noVBand="1" w:val="04A0"/>
      </w:tblPr>
      <w:tblGrid>
        <w:gridCol w:w="2646"/>
        <w:gridCol w:w="2646"/>
        <w:gridCol w:w="2646"/>
      </w:tblGrid>
      <w:tr>
        <w:tc>
          <w:tcPr>
            <w:tcW w:type="dxa" w:w="2646"/>
          </w:tcPr>
          <w:p>
            <w:pPr>
              <w:spacing w:after="40" w:line="240" w:lineRule="auto"/>
            </w:pPr>
            <w:r>
              <w:rPr>
                <w:rFonts w:ascii="Times New Roman" w:hAnsi="Times New Roman"/>
                <w:b/>
                <w:sz w:val="24"/>
              </w:rPr>
              <w:t>Hipotesis</w:t>
            </w:r>
          </w:p>
        </w:tc>
        <w:tc>
          <w:tcPr>
            <w:tcW w:type="dxa" w:w="2646"/>
          </w:tcPr>
          <w:p>
            <w:pPr>
              <w:spacing w:after="40" w:line="240" w:lineRule="auto"/>
            </w:pPr>
            <w:r>
              <w:rPr>
                <w:rFonts w:ascii="Times New Roman" w:hAnsi="Times New Roman"/>
                <w:b/>
                <w:sz w:val="24"/>
              </w:rPr>
              <w:t>Hubungan yang diuji</w:t>
            </w:r>
          </w:p>
        </w:tc>
        <w:tc>
          <w:tcPr>
            <w:tcW w:type="dxa" w:w="2646"/>
          </w:tcPr>
          <w:p>
            <w:pPr>
              <w:spacing w:after="40" w:line="240" w:lineRule="auto"/>
            </w:pPr>
            <w:r>
              <w:rPr>
                <w:rFonts w:ascii="Times New Roman" w:hAnsi="Times New Roman"/>
                <w:b/>
                <w:sz w:val="24"/>
              </w:rPr>
              <w:t>Arah yang diharapkan</w:t>
            </w:r>
          </w:p>
        </w:tc>
      </w:tr>
      <w:tr>
        <w:tc>
          <w:tcPr>
            <w:tcW w:type="dxa" w:w="2646"/>
          </w:tcPr>
          <w:p>
            <w:pPr>
              <w:spacing w:after="40" w:line="240" w:lineRule="auto"/>
            </w:pPr>
            <w:r>
              <w:rPr>
                <w:rFonts w:ascii="Times New Roman" w:hAnsi="Times New Roman"/>
                <w:sz w:val="24"/>
              </w:rPr>
              <w:t>H1</w:t>
            </w:r>
          </w:p>
        </w:tc>
        <w:tc>
          <w:tcPr>
            <w:tcW w:type="dxa" w:w="2646"/>
          </w:tcPr>
          <w:p>
            <w:pPr>
              <w:spacing w:after="40" w:line="240" w:lineRule="auto"/>
            </w:pPr>
            <w:r>
              <w:rPr>
                <w:rFonts w:ascii="Times New Roman" w:hAnsi="Times New Roman"/>
                <w:sz w:val="24"/>
              </w:rPr>
              <w:t>Kredibilitas influencer → hubungan parasosial</w:t>
            </w:r>
          </w:p>
        </w:tc>
        <w:tc>
          <w:tcPr>
            <w:tcW w:type="dxa" w:w="2646"/>
          </w:tcPr>
          <w:p>
            <w:pPr>
              <w:spacing w:after="40" w:line="240" w:lineRule="auto"/>
            </w:pPr>
            <w:r>
              <w:rPr>
                <w:rFonts w:ascii="Times New Roman" w:hAnsi="Times New Roman"/>
                <w:sz w:val="24"/>
              </w:rPr>
              <w:t>Positif</w:t>
            </w:r>
          </w:p>
        </w:tc>
      </w:tr>
      <w:tr>
        <w:tc>
          <w:tcPr>
            <w:tcW w:type="dxa" w:w="2646"/>
          </w:tcPr>
          <w:p>
            <w:pPr>
              <w:spacing w:after="40" w:line="240" w:lineRule="auto"/>
            </w:pPr>
            <w:r>
              <w:rPr>
                <w:rFonts w:ascii="Times New Roman" w:hAnsi="Times New Roman"/>
                <w:sz w:val="24"/>
              </w:rPr>
              <w:t>H2</w:t>
            </w:r>
          </w:p>
        </w:tc>
        <w:tc>
          <w:tcPr>
            <w:tcW w:type="dxa" w:w="2646"/>
          </w:tcPr>
          <w:p>
            <w:pPr>
              <w:spacing w:after="40" w:line="240" w:lineRule="auto"/>
            </w:pPr>
            <w:r>
              <w:rPr>
                <w:rFonts w:ascii="Times New Roman" w:hAnsi="Times New Roman"/>
                <w:sz w:val="24"/>
              </w:rPr>
              <w:t>Hubungan parasosial → autentisitas merek</w:t>
            </w:r>
          </w:p>
        </w:tc>
        <w:tc>
          <w:tcPr>
            <w:tcW w:type="dxa" w:w="2646"/>
          </w:tcPr>
          <w:p>
            <w:pPr>
              <w:spacing w:after="40" w:line="240" w:lineRule="auto"/>
            </w:pPr>
            <w:r>
              <w:rPr>
                <w:rFonts w:ascii="Times New Roman" w:hAnsi="Times New Roman"/>
                <w:sz w:val="24"/>
              </w:rPr>
              <w:t>Positif</w:t>
            </w:r>
          </w:p>
        </w:tc>
      </w:tr>
      <w:tr>
        <w:tc>
          <w:tcPr>
            <w:tcW w:type="dxa" w:w="2646"/>
          </w:tcPr>
          <w:p>
            <w:pPr>
              <w:spacing w:after="40" w:line="240" w:lineRule="auto"/>
            </w:pPr>
            <w:r>
              <w:rPr>
                <w:rFonts w:ascii="Times New Roman" w:hAnsi="Times New Roman"/>
                <w:sz w:val="24"/>
              </w:rPr>
              <w:t>H3</w:t>
            </w:r>
          </w:p>
        </w:tc>
        <w:tc>
          <w:tcPr>
            <w:tcW w:type="dxa" w:w="2646"/>
          </w:tcPr>
          <w:p>
            <w:pPr>
              <w:spacing w:after="40" w:line="240" w:lineRule="auto"/>
            </w:pPr>
            <w:r>
              <w:rPr>
                <w:rFonts w:ascii="Times New Roman" w:hAnsi="Times New Roman"/>
                <w:sz w:val="24"/>
              </w:rPr>
              <w:t>Autentisitas merek → kesediaan advokasi merek digital</w:t>
            </w:r>
          </w:p>
        </w:tc>
        <w:tc>
          <w:tcPr>
            <w:tcW w:type="dxa" w:w="2646"/>
          </w:tcPr>
          <w:p>
            <w:pPr>
              <w:spacing w:after="40" w:line="240" w:lineRule="auto"/>
            </w:pPr>
            <w:r>
              <w:rPr>
                <w:rFonts w:ascii="Times New Roman" w:hAnsi="Times New Roman"/>
                <w:sz w:val="24"/>
              </w:rPr>
              <w:t>Positif</w:t>
            </w:r>
          </w:p>
        </w:tc>
      </w:tr>
      <w:tr>
        <w:tc>
          <w:tcPr>
            <w:tcW w:type="dxa" w:w="2646"/>
          </w:tcPr>
          <w:p>
            <w:pPr>
              <w:spacing w:after="40" w:line="240" w:lineRule="auto"/>
            </w:pPr>
            <w:r>
              <w:rPr>
                <w:rFonts w:ascii="Times New Roman" w:hAnsi="Times New Roman"/>
                <w:sz w:val="24"/>
              </w:rPr>
              <w:t>H4</w:t>
            </w:r>
          </w:p>
        </w:tc>
        <w:tc>
          <w:tcPr>
            <w:tcW w:type="dxa" w:w="2646"/>
          </w:tcPr>
          <w:p>
            <w:pPr>
              <w:spacing w:after="40" w:line="240" w:lineRule="auto"/>
            </w:pPr>
            <w:r>
              <w:rPr>
                <w:rFonts w:ascii="Times New Roman" w:hAnsi="Times New Roman"/>
                <w:sz w:val="24"/>
              </w:rPr>
              <w:t>Kredibilitas influencer → advokasi merek digital</w:t>
            </w:r>
          </w:p>
        </w:tc>
        <w:tc>
          <w:tcPr>
            <w:tcW w:type="dxa" w:w="2646"/>
          </w:tcPr>
          <w:p>
            <w:pPr>
              <w:spacing w:after="40" w:line="240" w:lineRule="auto"/>
            </w:pPr>
            <w:r>
              <w:rPr>
                <w:rFonts w:ascii="Times New Roman" w:hAnsi="Times New Roman"/>
                <w:sz w:val="24"/>
              </w:rPr>
              <w:t>Positif</w:t>
            </w:r>
          </w:p>
        </w:tc>
      </w:tr>
      <w:tr>
        <w:tc>
          <w:tcPr>
            <w:tcW w:type="dxa" w:w="2646"/>
          </w:tcPr>
          <w:p>
            <w:pPr>
              <w:spacing w:after="40" w:line="240" w:lineRule="auto"/>
            </w:pPr>
            <w:r>
              <w:rPr>
                <w:rFonts w:ascii="Times New Roman" w:hAnsi="Times New Roman"/>
                <w:sz w:val="24"/>
              </w:rPr>
              <w:t>H5</w:t>
            </w:r>
          </w:p>
        </w:tc>
        <w:tc>
          <w:tcPr>
            <w:tcW w:type="dxa" w:w="2646"/>
          </w:tcPr>
          <w:p>
            <w:pPr>
              <w:spacing w:after="40" w:line="240" w:lineRule="auto"/>
            </w:pPr>
            <w:r>
              <w:rPr>
                <w:rFonts w:ascii="Times New Roman" w:hAnsi="Times New Roman"/>
                <w:sz w:val="24"/>
              </w:rPr>
              <w:t>KI → HP → AM → kesediaan AMD (efek tidak langsung serial)</w:t>
            </w:r>
          </w:p>
        </w:tc>
        <w:tc>
          <w:tcPr>
            <w:tcW w:type="dxa" w:w="2646"/>
          </w:tcPr>
          <w:p>
            <w:pPr>
              <w:spacing w:after="40" w:line="240" w:lineRule="auto"/>
            </w:pPr>
            <w:r>
              <w:rPr>
                <w:rFonts w:ascii="Times New Roman" w:hAnsi="Times New Roman"/>
                <w:sz w:val="24"/>
              </w:rPr>
              <w:t>Positif</w:t>
            </w:r>
          </w:p>
        </w:tc>
      </w:tr>
    </w:tbl>
    <w:p/>
    <w:p>
      <w:pPr>
        <w:pStyle w:val="Heading3"/>
      </w:pPr>
      <w:r>
        <w:rPr>
          <w:rFonts w:ascii="Times New Roman" w:hAnsi="Times New Roman"/>
          <w:sz w:val="24"/>
        </w:rPr>
        <w:t>4. Model penelitian</w:t>
      </w:r>
    </w:p>
    <w:p>
      <w:r>
        <w:rPr>
          <w:rFonts w:ascii="Times New Roman" w:hAnsi="Times New Roman"/>
          <w:sz w:val="24"/>
        </w:rPr>
        <w:t>Model penelitian menguji empat konstruk dan lima hipotesis utama. H1–H3 membentuk rantai KI → HP → AM → AMD; H4 menguji hubungan langsung KI → AMD; H5 menguji efek tidak langsung serial melalui HP dan AM. Persamaan juga menetapkan KI → AM sebagai jalur alternatif (bukan hipotesis utama) serta memasukkan HP → AMD untuk memisahkan efek serial dari hubungan langsung mediator pertama dengan luaran. Pembedaan tersebut juga menjelaskan koefisien H4. Efek langsung KI → AMD dibaca setelah mediator dalam persamaan luaran diperhitungkan; ia tidak sama dengan korelasi sederhana antara kredibilitas dan advokasi. H5 menilai efek tidak langsung spesifik melalui dua mediator secara berurutan. Kedua estimasi dilaporkan bersama jalur tambahan HP → AMD, sehingga pembaca dapat melihat bagian model yang diuji dan bagian yang hanya membantu spesifikasi persamaan.</w:t>
      </w:r>
    </w:p>
    <w:p>
      <w:pPr>
        <w:pStyle w:val="ListBullet"/>
        <w:spacing w:after="40" w:line="360" w:lineRule="auto"/>
      </w:pPr>
      <w:r>
        <w:rPr>
          <w:rFonts w:ascii="Times New Roman" w:hAnsi="Times New Roman"/>
          <w:sz w:val="24"/>
        </w:rPr>
        <w:t>Gambar 1. Model mediasi berurutan pembentukan advokasi merek digital</w:t>
      </w:r>
    </w:p>
    <w:p>
      <w:r>
        <w:rPr>
          <w:rFonts w:ascii="Times New Roman" w:hAnsi="Times New Roman"/>
          <w:sz w:val="24"/>
        </w:rPr>
        <w:t>Catatan: jalur HP → AMD merupakan jalur tambahan dalam persamaan luaran, bukan hipotesis utama. Model menggambarkan hubungan yang diuji berdasarkan teori; survei satu gelombang tidak membuktikan urutan kausal.</w:t>
      </w:r>
    </w:p>
    <w:p>
      <w:pPr>
        <w:pStyle w:val="Heading3"/>
      </w:pPr>
      <w:r>
        <w:rPr>
          <w:rFonts w:ascii="Times New Roman" w:hAnsi="Times New Roman"/>
          <w:sz w:val="24"/>
        </w:rPr>
        <w:t>5. Dimensi konstruk dan pengukuran</w:t>
      </w:r>
    </w:p>
    <w:p>
      <w:r>
        <w:rPr>
          <w:rFonts w:ascii="Times New Roman" w:hAnsi="Times New Roman"/>
          <w:sz w:val="24"/>
        </w:rPr>
        <w:t>sedangkan advokasi mencakup rekomendasi, berbagi konten, dan pembelaan. Dalam analisis, butir terlebih dahulu diperiksa pada dimensi masingmasing. Dimensi kemudian digunakan untuk membentuk skor konstruk yang lebih luas. Dengan cara ini, penelitian tetap dapat melaporkan kualitas setiap dimensi tanpa mengubah model utama menjadi empat belas hipotesis terpisah. Rincian model pengukuran dan kriteria pemeriksaannya dijelaskan pada Bab III. Pemisahan objek dalam butir membantu membatasi kontaminasi isi. Pernyataan kredibilitas selalu merujuk pada influencer; pernyataan hubungan parasosial merujuk pada perasaan responden terhadap influencer; pernyataan autentisitas merujuk pada merek; dan butir advokasi merujuk pada kesediaan responden mendukung merek. Panel ahli, wawancara kognitif, serta pemeriksaan model pengukuran digunakan untuk menilai apakah pemisahan tersebut dipahami responden. Jika suatu butir tampak mengukur dua objek sekaligus, redaksinya diperbaiki sebelum survei utama. Model tingkat lebih tinggi memerlukan kehati-hatian karena dimensi yang membentuk konstruk tidak harus memiliki besaran atau variasi yang sama. Penilaian kredibilitas dapat tinggi pada keahlian tetapi lebih rendah pada daya tarik; merek dapat dinilai berintegritas tanpa diketahui sejarahnya; dan responden dapat bersedia merekomendasikan tetapi tidak bersedia membela merek secara terbuka. Oleh sebab itu, hasil kualitas dimensi dan bobot pembentuk dilaporkan secukupnya di samping estimasi hubungan empat konstruk. Keputusan ini mempertahankan model inti sambil memberi informasi tentang bagaimana konstruk multidimensi tersebut terukur. Bab ini menjelaskan bahwa penelitian menggunakan S-O-R sebagai kerangka utama: kredibilitas influencer menjadi stimulus, hubungan parasosial dan autentisitas merek menjadi dua keadaan internal yang berurutan, dan kesediaan advokasi merek digital menjadi respons. SDL melengkapi kerangka tersebut dengan menjelaskan nilai partisipasi konsumen, sedangkan teori kredibilitas sumber, hubungan parasosial, transfer makna, autentisitas merek, dan advokasi menerangkan mekanisme serta konstruk spesifik. Lima hipotesis dirumuskan, termasuk pengujian efek tidak langsung berurutan. Bab III menjelaskan cara mengukur konstruk dan menguji hubungan tersebut.</w:t>
      </w:r>
    </w:p>
    <w:p>
      <w:r>
        <w:rPr>
          <w:rFonts w:ascii="Times New Roman" w:hAnsi="Times New Roman"/>
          <w:sz w:val="24"/>
        </w:rPr>
        <w:t>&lt;!-- Gambar 1 (Model Mediasi Berurutan) dan Gambar 2 (Alur Pelaksanaan Penelitian) ditempatkan di sini. --&gt;</w:t>
      </w:r>
    </w:p>
    <w:p>
      <w:r>
        <w:rPr>
          <w:rFonts w:ascii="Times New Roman" w:hAnsi="Times New Roman"/>
          <w:b/>
          <w:sz w:val="24"/>
        </w:rPr>
        <w:t>Tabel 4. Posisi dan sasaran keempat konstruk</w:t>
      </w:r>
    </w:p>
    <w:tbl>
      <w:tblPr>
        <w:tblStyle w:val="TableGrid"/>
        <w:tblW w:type="auto" w:w="0"/>
        <w:tblLayout w:type="autofit"/>
        <w:tblLook w:firstColumn="1" w:firstRow="1" w:lastColumn="0" w:lastRow="0" w:noHBand="0" w:noVBand="1" w:val="04A0"/>
      </w:tblPr>
      <w:tblGrid>
        <w:gridCol w:w="1587"/>
        <w:gridCol w:w="1587"/>
        <w:gridCol w:w="1587"/>
        <w:gridCol w:w="1587"/>
        <w:gridCol w:w="1587"/>
      </w:tblGrid>
      <w:tr>
        <w:tc>
          <w:tcPr>
            <w:tcW w:type="dxa" w:w="1587"/>
          </w:tcPr>
          <w:p>
            <w:pPr>
              <w:spacing w:after="40" w:line="240" w:lineRule="auto"/>
            </w:pPr>
            <w:r>
              <w:rPr>
                <w:rFonts w:ascii="Times New Roman" w:hAnsi="Times New Roman"/>
                <w:b/>
                <w:sz w:val="24"/>
              </w:rPr>
              <w:t>Simbol</w:t>
            </w:r>
          </w:p>
        </w:tc>
        <w:tc>
          <w:tcPr>
            <w:tcW w:type="dxa" w:w="1587"/>
          </w:tcPr>
          <w:p>
            <w:pPr>
              <w:spacing w:after="40" w:line="240" w:lineRule="auto"/>
            </w:pPr>
            <w:r>
              <w:rPr>
                <w:rFonts w:ascii="Times New Roman" w:hAnsi="Times New Roman"/>
                <w:b/>
                <w:sz w:val="24"/>
              </w:rPr>
              <w:t>Konstruk</w:t>
            </w:r>
          </w:p>
        </w:tc>
        <w:tc>
          <w:tcPr>
            <w:tcW w:type="dxa" w:w="1587"/>
          </w:tcPr>
          <w:p>
            <w:pPr>
              <w:spacing w:after="40" w:line="240" w:lineRule="auto"/>
            </w:pPr>
            <w:r>
              <w:rPr>
                <w:rFonts w:ascii="Times New Roman" w:hAnsi="Times New Roman"/>
                <w:b/>
                <w:sz w:val="24"/>
              </w:rPr>
              <w:t>Objek evaluasi</w:t>
            </w:r>
          </w:p>
        </w:tc>
        <w:tc>
          <w:tcPr>
            <w:tcW w:type="dxa" w:w="1587"/>
          </w:tcPr>
          <w:p>
            <w:pPr>
              <w:spacing w:after="40" w:line="240" w:lineRule="auto"/>
            </w:pPr>
            <w:r>
              <w:rPr>
                <w:rFonts w:ascii="Times New Roman" w:hAnsi="Times New Roman"/>
                <w:b/>
                <w:sz w:val="24"/>
              </w:rPr>
              <w:t>Peran analitis</w:t>
            </w:r>
          </w:p>
        </w:tc>
        <w:tc>
          <w:tcPr>
            <w:tcW w:type="dxa" w:w="1587"/>
          </w:tcPr>
          <w:p>
            <w:pPr>
              <w:spacing w:after="40" w:line="240" w:lineRule="auto"/>
            </w:pPr>
            <w:r>
              <w:rPr>
                <w:rFonts w:ascii="Times New Roman" w:hAnsi="Times New Roman"/>
                <w:b/>
                <w:sz w:val="24"/>
              </w:rPr>
              <w:t>Jumlah butir inti</w:t>
            </w:r>
          </w:p>
        </w:tc>
      </w:tr>
      <w:tr>
        <w:tc>
          <w:tcPr>
            <w:tcW w:type="dxa" w:w="1587"/>
          </w:tcPr>
          <w:p>
            <w:pPr>
              <w:spacing w:after="40" w:line="240" w:lineRule="auto"/>
            </w:pPr>
            <w:r>
              <w:rPr>
                <w:rFonts w:ascii="Times New Roman" w:hAnsi="Times New Roman"/>
                <w:sz w:val="24"/>
              </w:rPr>
              <w:t>X/KI</w:t>
            </w:r>
          </w:p>
        </w:tc>
        <w:tc>
          <w:tcPr>
            <w:tcW w:type="dxa" w:w="1587"/>
          </w:tcPr>
          <w:p>
            <w:pPr>
              <w:spacing w:after="40" w:line="240" w:lineRule="auto"/>
            </w:pPr>
            <w:r>
              <w:rPr>
                <w:rFonts w:ascii="Times New Roman" w:hAnsi="Times New Roman"/>
                <w:sz w:val="24"/>
              </w:rPr>
              <w:t>Kredibilitas influencer</w:t>
            </w:r>
          </w:p>
        </w:tc>
        <w:tc>
          <w:tcPr>
            <w:tcW w:type="dxa" w:w="1587"/>
          </w:tcPr>
          <w:p>
            <w:pPr>
              <w:spacing w:after="40" w:line="240" w:lineRule="auto"/>
            </w:pPr>
            <w:r>
              <w:rPr>
                <w:rFonts w:ascii="Times New Roman" w:hAnsi="Times New Roman"/>
                <w:sz w:val="24"/>
              </w:rPr>
              <w:t>Orang/influencer</w:t>
            </w:r>
          </w:p>
        </w:tc>
        <w:tc>
          <w:tcPr>
            <w:tcW w:type="dxa" w:w="1587"/>
          </w:tcPr>
          <w:p>
            <w:pPr>
              <w:spacing w:after="40" w:line="240" w:lineRule="auto"/>
            </w:pPr>
            <w:r>
              <w:rPr>
                <w:rFonts w:ascii="Times New Roman" w:hAnsi="Times New Roman"/>
                <w:sz w:val="24"/>
              </w:rPr>
              <w:t>Prediktor eksogen</w:t>
            </w:r>
          </w:p>
        </w:tc>
        <w:tc>
          <w:tcPr>
            <w:tcW w:type="dxa" w:w="1587"/>
          </w:tcPr>
          <w:p>
            <w:pPr>
              <w:spacing w:after="40" w:line="240" w:lineRule="auto"/>
            </w:pPr>
            <w:r>
              <w:rPr>
                <w:rFonts w:ascii="Times New Roman" w:hAnsi="Times New Roman"/>
                <w:sz w:val="24"/>
              </w:rPr>
              <w:t>9</w:t>
            </w:r>
          </w:p>
        </w:tc>
      </w:tr>
      <w:tr>
        <w:tc>
          <w:tcPr>
            <w:tcW w:type="dxa" w:w="1587"/>
          </w:tcPr>
          <w:p>
            <w:pPr>
              <w:spacing w:after="40" w:line="240" w:lineRule="auto"/>
            </w:pPr>
            <w:r>
              <w:rPr>
                <w:rFonts w:ascii="Times New Roman" w:hAnsi="Times New Roman"/>
                <w:sz w:val="24"/>
              </w:rPr>
              <w:t>M1/HP</w:t>
            </w:r>
          </w:p>
        </w:tc>
        <w:tc>
          <w:tcPr>
            <w:tcW w:type="dxa" w:w="1587"/>
          </w:tcPr>
          <w:p>
            <w:pPr>
              <w:spacing w:after="40" w:line="240" w:lineRule="auto"/>
            </w:pPr>
            <w:r>
              <w:rPr>
                <w:rFonts w:ascii="Times New Roman" w:hAnsi="Times New Roman"/>
                <w:sz w:val="24"/>
              </w:rPr>
              <w:t>Hubungan parasosial</w:t>
            </w:r>
          </w:p>
        </w:tc>
        <w:tc>
          <w:tcPr>
            <w:tcW w:type="dxa" w:w="1587"/>
          </w:tcPr>
          <w:p>
            <w:pPr>
              <w:spacing w:after="40" w:line="240" w:lineRule="auto"/>
            </w:pPr>
            <w:r>
              <w:rPr>
                <w:rFonts w:ascii="Times New Roman" w:hAnsi="Times New Roman"/>
                <w:sz w:val="24"/>
              </w:rPr>
              <w:t>Relasi pengikut–influencer</w:t>
            </w:r>
          </w:p>
        </w:tc>
        <w:tc>
          <w:tcPr>
            <w:tcW w:type="dxa" w:w="1587"/>
          </w:tcPr>
          <w:p>
            <w:pPr>
              <w:spacing w:after="40" w:line="240" w:lineRule="auto"/>
            </w:pPr>
            <w:r>
              <w:rPr>
                <w:rFonts w:ascii="Times New Roman" w:hAnsi="Times New Roman"/>
                <w:sz w:val="24"/>
              </w:rPr>
              <w:t>Mediator pertama</w:t>
            </w:r>
          </w:p>
        </w:tc>
        <w:tc>
          <w:tcPr>
            <w:tcW w:type="dxa" w:w="1587"/>
          </w:tcPr>
          <w:p>
            <w:pPr>
              <w:spacing w:after="40" w:line="240" w:lineRule="auto"/>
            </w:pPr>
            <w:r>
              <w:rPr>
                <w:rFonts w:ascii="Times New Roman" w:hAnsi="Times New Roman"/>
                <w:sz w:val="24"/>
              </w:rPr>
              <w:t>9</w:t>
            </w:r>
          </w:p>
        </w:tc>
      </w:tr>
      <w:tr>
        <w:tc>
          <w:tcPr>
            <w:tcW w:type="dxa" w:w="1587"/>
          </w:tcPr>
          <w:p>
            <w:pPr>
              <w:spacing w:after="40" w:line="240" w:lineRule="auto"/>
            </w:pPr>
            <w:r>
              <w:rPr>
                <w:rFonts w:ascii="Times New Roman" w:hAnsi="Times New Roman"/>
                <w:sz w:val="24"/>
              </w:rPr>
              <w:t>M2/AM</w:t>
            </w:r>
          </w:p>
        </w:tc>
        <w:tc>
          <w:tcPr>
            <w:tcW w:type="dxa" w:w="1587"/>
          </w:tcPr>
          <w:p>
            <w:pPr>
              <w:spacing w:after="40" w:line="240" w:lineRule="auto"/>
            </w:pPr>
            <w:r>
              <w:rPr>
                <w:rFonts w:ascii="Times New Roman" w:hAnsi="Times New Roman"/>
                <w:sz w:val="24"/>
              </w:rPr>
              <w:t>Autentisitas merek</w:t>
            </w:r>
          </w:p>
        </w:tc>
        <w:tc>
          <w:tcPr>
            <w:tcW w:type="dxa" w:w="1587"/>
          </w:tcPr>
          <w:p>
            <w:pPr>
              <w:spacing w:after="40" w:line="240" w:lineRule="auto"/>
            </w:pPr>
            <w:r>
              <w:rPr>
                <w:rFonts w:ascii="Times New Roman" w:hAnsi="Times New Roman"/>
                <w:sz w:val="24"/>
              </w:rPr>
              <w:t>Merek yang dipromosikan</w:t>
            </w:r>
          </w:p>
        </w:tc>
        <w:tc>
          <w:tcPr>
            <w:tcW w:type="dxa" w:w="1587"/>
          </w:tcPr>
          <w:p>
            <w:pPr>
              <w:spacing w:after="40" w:line="240" w:lineRule="auto"/>
            </w:pPr>
            <w:r>
              <w:rPr>
                <w:rFonts w:ascii="Times New Roman" w:hAnsi="Times New Roman"/>
                <w:sz w:val="24"/>
              </w:rPr>
              <w:t>Mediator kedua</w:t>
            </w:r>
          </w:p>
        </w:tc>
        <w:tc>
          <w:tcPr>
            <w:tcW w:type="dxa" w:w="1587"/>
          </w:tcPr>
          <w:p>
            <w:pPr>
              <w:spacing w:after="40" w:line="240" w:lineRule="auto"/>
            </w:pPr>
            <w:r>
              <w:rPr>
                <w:rFonts w:ascii="Times New Roman" w:hAnsi="Times New Roman"/>
                <w:sz w:val="24"/>
              </w:rPr>
              <w:t>12</w:t>
            </w:r>
          </w:p>
        </w:tc>
      </w:tr>
      <w:tr>
        <w:tc>
          <w:tcPr>
            <w:tcW w:type="dxa" w:w="1587"/>
          </w:tcPr>
          <w:p>
            <w:pPr>
              <w:spacing w:after="40" w:line="240" w:lineRule="auto"/>
            </w:pPr>
            <w:r>
              <w:rPr>
                <w:rFonts w:ascii="Times New Roman" w:hAnsi="Times New Roman"/>
                <w:sz w:val="24"/>
              </w:rPr>
              <w:t>Y/AMD</w:t>
            </w:r>
          </w:p>
        </w:tc>
        <w:tc>
          <w:tcPr>
            <w:tcW w:type="dxa" w:w="1587"/>
          </w:tcPr>
          <w:p>
            <w:pPr>
              <w:spacing w:after="40" w:line="240" w:lineRule="auto"/>
            </w:pPr>
            <w:r>
              <w:rPr>
                <w:rFonts w:ascii="Times New Roman" w:hAnsi="Times New Roman"/>
                <w:sz w:val="24"/>
              </w:rPr>
              <w:t>Kesediaan advokasi merek digital</w:t>
            </w:r>
          </w:p>
        </w:tc>
        <w:tc>
          <w:tcPr>
            <w:tcW w:type="dxa" w:w="1587"/>
          </w:tcPr>
          <w:p>
            <w:pPr>
              <w:spacing w:after="40" w:line="240" w:lineRule="auto"/>
            </w:pPr>
            <w:r>
              <w:rPr>
                <w:rFonts w:ascii="Times New Roman" w:hAnsi="Times New Roman"/>
                <w:sz w:val="24"/>
              </w:rPr>
              <w:t>Diri responden terhadap merek</w:t>
            </w:r>
          </w:p>
        </w:tc>
        <w:tc>
          <w:tcPr>
            <w:tcW w:type="dxa" w:w="1587"/>
          </w:tcPr>
          <w:p>
            <w:pPr>
              <w:spacing w:after="40" w:line="240" w:lineRule="auto"/>
            </w:pPr>
            <w:r>
              <w:rPr>
                <w:rFonts w:ascii="Times New Roman" w:hAnsi="Times New Roman"/>
                <w:sz w:val="24"/>
              </w:rPr>
              <w:t>Luaran endogen</w:t>
            </w:r>
          </w:p>
        </w:tc>
        <w:tc>
          <w:tcPr>
            <w:tcW w:type="dxa" w:w="1587"/>
          </w:tcPr>
          <w:p>
            <w:pPr>
              <w:spacing w:after="40" w:line="240" w:lineRule="auto"/>
            </w:pPr>
            <w:r>
              <w:rPr>
                <w:rFonts w:ascii="Times New Roman" w:hAnsi="Times New Roman"/>
                <w:sz w:val="24"/>
              </w:rPr>
              <w:t>9</w:t>
            </w:r>
          </w:p>
        </w:tc>
      </w:tr>
    </w:tbl>
    <w:p/>
    <w:p>
      <w:r>
        <w:rPr>
          <w:rFonts w:ascii="Times New Roman" w:hAnsi="Times New Roman"/>
          <w:i/>
          <w:sz w:val="24"/>
        </w:rPr>
        <w:t>Diadaptasi dari berkas PROPOSAL_DISERTASI_TANPA_MODERATOR (tabel 10 pada berkas sumber). Jumlah butir AMD disesuaikan dengan keputusan tiga domain pada dokumen induk; lihat Catatan Integrasi butir 2.</w:t>
      </w:r>
    </w:p>
    <w:p>
      <w:r>
        <w:rPr>
          <w:rFonts w:ascii="Times New Roman" w:hAnsi="Times New Roman"/>
          <w:b/>
          <w:sz w:val="24"/>
        </w:rPr>
        <w:t>Tabel 5. Definisi operasional dan landasan instrumen</w:t>
      </w:r>
    </w:p>
    <w:tbl>
      <w:tblPr>
        <w:tblStyle w:val="TableGrid"/>
        <w:tblW w:type="auto" w:w="0"/>
        <w:tblLayout w:type="autofit"/>
        <w:tblLook w:firstColumn="1" w:firstRow="1" w:lastColumn="0" w:lastRow="0" w:noHBand="0" w:noVBand="1" w:val="04A0"/>
      </w:tblPr>
      <w:tblGrid>
        <w:gridCol w:w="1984"/>
        <w:gridCol w:w="1984"/>
        <w:gridCol w:w="1984"/>
        <w:gridCol w:w="1984"/>
      </w:tblGrid>
      <w:tr>
        <w:tc>
          <w:tcPr>
            <w:tcW w:type="dxa" w:w="1984"/>
          </w:tcPr>
          <w:p>
            <w:pPr>
              <w:spacing w:after="40" w:line="240" w:lineRule="auto"/>
            </w:pPr>
            <w:r>
              <w:rPr>
                <w:rFonts w:ascii="Times New Roman" w:hAnsi="Times New Roman"/>
                <w:b/>
                <w:sz w:val="24"/>
              </w:rPr>
              <w:t>Konstruk</w:t>
            </w:r>
          </w:p>
        </w:tc>
        <w:tc>
          <w:tcPr>
            <w:tcW w:type="dxa" w:w="1984"/>
          </w:tcPr>
          <w:p>
            <w:pPr>
              <w:spacing w:after="40" w:line="240" w:lineRule="auto"/>
            </w:pPr>
            <w:r>
              <w:rPr>
                <w:rFonts w:ascii="Times New Roman" w:hAnsi="Times New Roman"/>
                <w:b/>
                <w:sz w:val="24"/>
              </w:rPr>
              <w:t>Definisi kerja</w:t>
            </w:r>
          </w:p>
        </w:tc>
        <w:tc>
          <w:tcPr>
            <w:tcW w:type="dxa" w:w="1984"/>
          </w:tcPr>
          <w:p>
            <w:pPr>
              <w:spacing w:after="40" w:line="240" w:lineRule="auto"/>
            </w:pPr>
            <w:r>
              <w:rPr>
                <w:rFonts w:ascii="Times New Roman" w:hAnsi="Times New Roman"/>
                <w:b/>
                <w:sz w:val="24"/>
              </w:rPr>
              <w:t>Cakupan dimensi</w:t>
            </w:r>
          </w:p>
        </w:tc>
        <w:tc>
          <w:tcPr>
            <w:tcW w:type="dxa" w:w="1984"/>
          </w:tcPr>
          <w:p>
            <w:pPr>
              <w:spacing w:after="40" w:line="240" w:lineRule="auto"/>
            </w:pPr>
            <w:r>
              <w:rPr>
                <w:rFonts w:ascii="Times New Roman" w:hAnsi="Times New Roman"/>
                <w:b/>
                <w:sz w:val="24"/>
              </w:rPr>
              <w:t>Sumber adaptasi dan batas antarobjek</w:t>
            </w:r>
          </w:p>
        </w:tc>
      </w:tr>
      <w:tr>
        <w:tc>
          <w:tcPr>
            <w:tcW w:type="dxa" w:w="1984"/>
          </w:tcPr>
          <w:p>
            <w:pPr>
              <w:spacing w:after="40" w:line="240" w:lineRule="auto"/>
            </w:pPr>
            <w:r>
              <w:rPr>
                <w:rFonts w:ascii="Times New Roman" w:hAnsi="Times New Roman"/>
                <w:sz w:val="24"/>
              </w:rPr>
              <w:t>KI</w:t>
            </w:r>
          </w:p>
        </w:tc>
        <w:tc>
          <w:tcPr>
            <w:tcW w:type="dxa" w:w="1984"/>
          </w:tcPr>
          <w:p>
            <w:pPr>
              <w:spacing w:after="40" w:line="240" w:lineRule="auto"/>
            </w:pPr>
            <w:r>
              <w:rPr>
                <w:rFonts w:ascii="Times New Roman" w:hAnsi="Times New Roman"/>
                <w:sz w:val="24"/>
              </w:rPr>
              <w:t>Penilaian konsumen atas kapasitas dan kelayakan influencer sebagai penyampai rekomendasi.</w:t>
            </w:r>
          </w:p>
        </w:tc>
        <w:tc>
          <w:tcPr>
            <w:tcW w:type="dxa" w:w="1984"/>
          </w:tcPr>
          <w:p>
            <w:pPr>
              <w:spacing w:after="40" w:line="240" w:lineRule="auto"/>
            </w:pPr>
            <w:r>
              <w:rPr>
                <w:rFonts w:ascii="Times New Roman" w:hAnsi="Times New Roman"/>
                <w:sz w:val="24"/>
              </w:rPr>
              <w:t>Keahlian, kepercayaan, daya tarik.</w:t>
            </w:r>
          </w:p>
        </w:tc>
        <w:tc>
          <w:tcPr>
            <w:tcW w:type="dxa" w:w="1984"/>
          </w:tcPr>
          <w:p>
            <w:pPr>
              <w:spacing w:after="40" w:line="240" w:lineRule="auto"/>
            </w:pPr>
            <w:r>
              <w:rPr>
                <w:rFonts w:ascii="Times New Roman" w:hAnsi="Times New Roman"/>
                <w:sz w:val="24"/>
              </w:rPr>
              <w:t>Ohanian (1990); Lou &amp; Yuan (2019). Seluruh butir menilai orang.</w:t>
            </w:r>
          </w:p>
        </w:tc>
      </w:tr>
      <w:tr>
        <w:tc>
          <w:tcPr>
            <w:tcW w:type="dxa" w:w="1984"/>
          </w:tcPr>
          <w:p>
            <w:pPr>
              <w:spacing w:after="40" w:line="240" w:lineRule="auto"/>
            </w:pPr>
            <w:r>
              <w:rPr>
                <w:rFonts w:ascii="Times New Roman" w:hAnsi="Times New Roman"/>
                <w:sz w:val="24"/>
              </w:rPr>
              <w:t>HP</w:t>
            </w:r>
          </w:p>
        </w:tc>
        <w:tc>
          <w:tcPr>
            <w:tcW w:type="dxa" w:w="1984"/>
          </w:tcPr>
          <w:p>
            <w:pPr>
              <w:spacing w:after="40" w:line="240" w:lineRule="auto"/>
            </w:pPr>
            <w:r>
              <w:rPr>
                <w:rFonts w:ascii="Times New Roman" w:hAnsi="Times New Roman"/>
                <w:sz w:val="24"/>
              </w:rPr>
              <w:t>Rasa dekat satu arah yang relatif stabil setelah mengikuti influencer berulang.</w:t>
            </w:r>
          </w:p>
        </w:tc>
        <w:tc>
          <w:tcPr>
            <w:tcW w:type="dxa" w:w="1984"/>
          </w:tcPr>
          <w:p>
            <w:pPr>
              <w:spacing w:after="40" w:line="240" w:lineRule="auto"/>
            </w:pPr>
            <w:r>
              <w:rPr>
                <w:rFonts w:ascii="Times New Roman" w:hAnsi="Times New Roman"/>
                <w:sz w:val="24"/>
              </w:rPr>
              <w:t>Pertemanan, kedekatan emosional, pemahaman/identifikasi.</w:t>
            </w:r>
          </w:p>
        </w:tc>
        <w:tc>
          <w:tcPr>
            <w:tcW w:type="dxa" w:w="1984"/>
          </w:tcPr>
          <w:p>
            <w:pPr>
              <w:spacing w:after="40" w:line="240" w:lineRule="auto"/>
            </w:pPr>
            <w:r>
              <w:rPr>
                <w:rFonts w:ascii="Times New Roman" w:hAnsi="Times New Roman"/>
                <w:sz w:val="24"/>
              </w:rPr>
              <w:t>Horton &amp; Wohl (1956); Dibble et al. (2016). Tidak menyiratkan hubungan timbal balik nyata.</w:t>
            </w:r>
          </w:p>
        </w:tc>
      </w:tr>
      <w:tr>
        <w:tc>
          <w:tcPr>
            <w:tcW w:type="dxa" w:w="1984"/>
          </w:tcPr>
          <w:p>
            <w:pPr>
              <w:spacing w:after="40" w:line="240" w:lineRule="auto"/>
            </w:pPr>
            <w:r>
              <w:rPr>
                <w:rFonts w:ascii="Times New Roman" w:hAnsi="Times New Roman"/>
                <w:sz w:val="24"/>
              </w:rPr>
              <w:t>AM</w:t>
            </w:r>
          </w:p>
        </w:tc>
        <w:tc>
          <w:tcPr>
            <w:tcW w:type="dxa" w:w="1984"/>
          </w:tcPr>
          <w:p>
            <w:pPr>
              <w:spacing w:after="40" w:line="240" w:lineRule="auto"/>
            </w:pPr>
            <w:r>
              <w:rPr>
                <w:rFonts w:ascii="Times New Roman" w:hAnsi="Times New Roman"/>
                <w:sz w:val="24"/>
              </w:rPr>
              <w:t>Penilaian konsumen bahwa merek mempertahankan karakter, menepati janji, berintegritas, dan bermakna.</w:t>
            </w:r>
          </w:p>
        </w:tc>
        <w:tc>
          <w:tcPr>
            <w:tcW w:type="dxa" w:w="1984"/>
          </w:tcPr>
          <w:p>
            <w:pPr>
              <w:spacing w:after="40" w:line="240" w:lineRule="auto"/>
            </w:pPr>
            <w:r>
              <w:rPr>
                <w:rFonts w:ascii="Times New Roman" w:hAnsi="Times New Roman"/>
                <w:sz w:val="24"/>
              </w:rPr>
              <w:t>Kontinuitas, kredibilitas merek, integritas, simbolisme.</w:t>
            </w:r>
          </w:p>
        </w:tc>
        <w:tc>
          <w:tcPr>
            <w:tcW w:type="dxa" w:w="1984"/>
          </w:tcPr>
          <w:p>
            <w:pPr>
              <w:spacing w:after="40" w:line="240" w:lineRule="auto"/>
            </w:pPr>
            <w:r>
              <w:rPr>
                <w:rFonts w:ascii="Times New Roman" w:hAnsi="Times New Roman"/>
                <w:sz w:val="24"/>
              </w:rPr>
              <w:t>Napoli et al. (2014); Morhart et al. (2015). Subjek butir merek, bukan figur.</w:t>
            </w:r>
          </w:p>
        </w:tc>
      </w:tr>
      <w:tr>
        <w:tc>
          <w:tcPr>
            <w:tcW w:type="dxa" w:w="1984"/>
          </w:tcPr>
          <w:p>
            <w:pPr>
              <w:spacing w:after="40" w:line="240" w:lineRule="auto"/>
            </w:pPr>
            <w:r>
              <w:rPr>
                <w:rFonts w:ascii="Times New Roman" w:hAnsi="Times New Roman"/>
                <w:sz w:val="24"/>
              </w:rPr>
              <w:t>AMD</w:t>
            </w:r>
          </w:p>
        </w:tc>
        <w:tc>
          <w:tcPr>
            <w:tcW w:type="dxa" w:w="1984"/>
          </w:tcPr>
          <w:p>
            <w:pPr>
              <w:spacing w:after="40" w:line="240" w:lineRule="auto"/>
            </w:pPr>
            <w:r>
              <w:rPr>
                <w:rFonts w:ascii="Times New Roman" w:hAnsi="Times New Roman"/>
                <w:sz w:val="24"/>
              </w:rPr>
              <w:t>Kesediaan melakukan tindakan mendukung merek secara sukarela di saluran digital.</w:t>
            </w:r>
          </w:p>
        </w:tc>
        <w:tc>
          <w:tcPr>
            <w:tcW w:type="dxa" w:w="1984"/>
          </w:tcPr>
          <w:p>
            <w:pPr>
              <w:spacing w:after="40" w:line="240" w:lineRule="auto"/>
            </w:pPr>
            <w:r>
              <w:rPr>
                <w:rFonts w:ascii="Times New Roman" w:hAnsi="Times New Roman"/>
                <w:sz w:val="24"/>
              </w:rPr>
              <w:t>Rekomendasi, berbagi konten, pembelaan.</w:t>
            </w:r>
          </w:p>
        </w:tc>
        <w:tc>
          <w:tcPr>
            <w:tcW w:type="dxa" w:w="1984"/>
          </w:tcPr>
          <w:p>
            <w:pPr>
              <w:spacing w:after="40" w:line="240" w:lineRule="auto"/>
            </w:pPr>
            <w:r>
              <w:rPr>
                <w:rFonts w:ascii="Times New Roman" w:hAnsi="Times New Roman"/>
                <w:sz w:val="24"/>
              </w:rPr>
              <w:t>Wilk et al. (2020). Hasil yang diukur adalah kesediaan yang dilaporkan, bukan catatan tindakan.</w:t>
            </w:r>
          </w:p>
        </w:tc>
      </w:tr>
    </w:tbl>
    <w:p/>
    <w:p>
      <w:r>
        <w:rPr>
          <w:rFonts w:ascii="Times New Roman" w:hAnsi="Times New Roman"/>
          <w:i/>
          <w:sz w:val="24"/>
        </w:rPr>
        <w:t>Diadaptasi dari berkas PROPOSAL_DISERTASI_TANPA_MODERATOR (tabel 11 pada berkas sumber).</w:t>
      </w:r>
    </w:p>
    <w:p>
      <w:r>
        <w:rPr>
          <w:rFonts w:ascii="Times New Roman" w:hAnsi="Times New Roman"/>
          <w:b/>
          <w:sz w:val="24"/>
        </w:rPr>
        <w:t>Tabel 6. Pemetaan dimensi dan isi indikator</w:t>
      </w:r>
    </w:p>
    <w:tbl>
      <w:tblPr>
        <w:tblStyle w:val="TableGrid"/>
        <w:tblW w:type="auto" w:w="0"/>
        <w:tblLayout w:type="autofit"/>
        <w:tblLook w:firstColumn="1" w:firstRow="1" w:lastColumn="0" w:lastRow="0" w:noHBand="0" w:noVBand="1" w:val="04A0"/>
      </w:tblPr>
      <w:tblGrid>
        <w:gridCol w:w="1984"/>
        <w:gridCol w:w="1984"/>
        <w:gridCol w:w="1984"/>
        <w:gridCol w:w="1984"/>
      </w:tblGrid>
      <w:tr>
        <w:tc>
          <w:tcPr>
            <w:tcW w:type="dxa" w:w="1984"/>
          </w:tcPr>
          <w:p>
            <w:pPr>
              <w:spacing w:after="40" w:line="240" w:lineRule="auto"/>
            </w:pPr>
            <w:r>
              <w:rPr>
                <w:rFonts w:ascii="Times New Roman" w:hAnsi="Times New Roman"/>
                <w:b/>
                <w:sz w:val="24"/>
              </w:rPr>
              <w:t>Kelompok indikator</w:t>
            </w:r>
          </w:p>
        </w:tc>
        <w:tc>
          <w:tcPr>
            <w:tcW w:type="dxa" w:w="1984"/>
          </w:tcPr>
          <w:p>
            <w:pPr>
              <w:spacing w:after="40" w:line="240" w:lineRule="auto"/>
            </w:pPr>
            <w:r>
              <w:rPr>
                <w:rFonts w:ascii="Times New Roman" w:hAnsi="Times New Roman"/>
                <w:b/>
                <w:sz w:val="24"/>
              </w:rPr>
              <w:t>Kode</w:t>
            </w:r>
          </w:p>
        </w:tc>
        <w:tc>
          <w:tcPr>
            <w:tcW w:type="dxa" w:w="1984"/>
          </w:tcPr>
          <w:p>
            <w:pPr>
              <w:spacing w:after="40" w:line="240" w:lineRule="auto"/>
            </w:pPr>
            <w:r>
              <w:rPr>
                <w:rFonts w:ascii="Times New Roman" w:hAnsi="Times New Roman"/>
                <w:b/>
                <w:sz w:val="24"/>
              </w:rPr>
              <w:t>Fokus isi butir</w:t>
            </w:r>
          </w:p>
        </w:tc>
        <w:tc>
          <w:tcPr>
            <w:tcW w:type="dxa" w:w="1984"/>
          </w:tcPr>
          <w:p>
            <w:pPr>
              <w:spacing w:after="40" w:line="240" w:lineRule="auto"/>
            </w:pPr>
            <w:r>
              <w:rPr>
                <w:rFonts w:ascii="Times New Roman" w:hAnsi="Times New Roman"/>
                <w:b/>
                <w:sz w:val="24"/>
              </w:rPr>
              <w:t>Objek yang dinilai</w:t>
            </w:r>
          </w:p>
        </w:tc>
      </w:tr>
      <w:tr>
        <w:tc>
          <w:tcPr>
            <w:tcW w:type="dxa" w:w="1984"/>
          </w:tcPr>
          <w:p>
            <w:pPr>
              <w:spacing w:after="40" w:line="240" w:lineRule="auto"/>
            </w:pPr>
            <w:r>
              <w:rPr>
                <w:rFonts w:ascii="Times New Roman" w:hAnsi="Times New Roman"/>
                <w:sz w:val="24"/>
              </w:rPr>
              <w:t>Keahlian</w:t>
            </w:r>
          </w:p>
        </w:tc>
        <w:tc>
          <w:tcPr>
            <w:tcW w:type="dxa" w:w="1984"/>
          </w:tcPr>
          <w:p>
            <w:pPr>
              <w:spacing w:after="40" w:line="240" w:lineRule="auto"/>
            </w:pPr>
            <w:r>
              <w:rPr>
                <w:rFonts w:ascii="Times New Roman" w:hAnsi="Times New Roman"/>
                <w:sz w:val="24"/>
              </w:rPr>
              <w:t>KI1–KI3</w:t>
            </w:r>
          </w:p>
        </w:tc>
        <w:tc>
          <w:tcPr>
            <w:tcW w:type="dxa" w:w="1984"/>
          </w:tcPr>
          <w:p>
            <w:pPr>
              <w:spacing w:after="40" w:line="240" w:lineRule="auto"/>
            </w:pPr>
            <w:r>
              <w:rPr>
                <w:rFonts w:ascii="Times New Roman" w:hAnsi="Times New Roman"/>
                <w:sz w:val="24"/>
              </w:rPr>
              <w:t>Pengetahuan, pengalaman kategori, dan kompetensi menjelaskan rekomendasi</w:t>
            </w:r>
          </w:p>
        </w:tc>
        <w:tc>
          <w:tcPr>
            <w:tcW w:type="dxa" w:w="1984"/>
          </w:tcPr>
          <w:p>
            <w:pPr>
              <w:spacing w:after="40" w:line="240" w:lineRule="auto"/>
            </w:pPr>
            <w:r>
              <w:rPr>
                <w:rFonts w:ascii="Times New Roman" w:hAnsi="Times New Roman"/>
                <w:sz w:val="24"/>
              </w:rPr>
              <w:t>Influencer</w:t>
            </w:r>
          </w:p>
        </w:tc>
      </w:tr>
      <w:tr>
        <w:tc>
          <w:tcPr>
            <w:tcW w:type="dxa" w:w="1984"/>
          </w:tcPr>
          <w:p>
            <w:pPr>
              <w:spacing w:after="40" w:line="240" w:lineRule="auto"/>
            </w:pPr>
            <w:r>
              <w:rPr>
                <w:rFonts w:ascii="Times New Roman" w:hAnsi="Times New Roman"/>
                <w:sz w:val="24"/>
              </w:rPr>
              <w:t>Keterpercayaan</w:t>
            </w:r>
          </w:p>
        </w:tc>
        <w:tc>
          <w:tcPr>
            <w:tcW w:type="dxa" w:w="1984"/>
          </w:tcPr>
          <w:p>
            <w:pPr>
              <w:spacing w:after="40" w:line="240" w:lineRule="auto"/>
            </w:pPr>
            <w:r>
              <w:rPr>
                <w:rFonts w:ascii="Times New Roman" w:hAnsi="Times New Roman"/>
                <w:sz w:val="24"/>
              </w:rPr>
              <w:t>KI4–KI6</w:t>
            </w:r>
          </w:p>
        </w:tc>
        <w:tc>
          <w:tcPr>
            <w:tcW w:type="dxa" w:w="1984"/>
          </w:tcPr>
          <w:p>
            <w:pPr>
              <w:spacing w:after="40" w:line="240" w:lineRule="auto"/>
            </w:pPr>
            <w:r>
              <w:rPr>
                <w:rFonts w:ascii="Times New Roman" w:hAnsi="Times New Roman"/>
                <w:sz w:val="24"/>
              </w:rPr>
              <w:t>Kejujuran, keterandalan, dan dapat dipercayainya rekomendasi</w:t>
            </w:r>
          </w:p>
        </w:tc>
        <w:tc>
          <w:tcPr>
            <w:tcW w:type="dxa" w:w="1984"/>
          </w:tcPr>
          <w:p>
            <w:pPr>
              <w:spacing w:after="40" w:line="240" w:lineRule="auto"/>
            </w:pPr>
            <w:r>
              <w:rPr>
                <w:rFonts w:ascii="Times New Roman" w:hAnsi="Times New Roman"/>
                <w:sz w:val="24"/>
              </w:rPr>
              <w:t>Influencer</w:t>
            </w:r>
          </w:p>
        </w:tc>
      </w:tr>
      <w:tr>
        <w:tc>
          <w:tcPr>
            <w:tcW w:type="dxa" w:w="1984"/>
          </w:tcPr>
          <w:p>
            <w:pPr>
              <w:spacing w:after="40" w:line="240" w:lineRule="auto"/>
            </w:pPr>
            <w:r>
              <w:rPr>
                <w:rFonts w:ascii="Times New Roman" w:hAnsi="Times New Roman"/>
                <w:sz w:val="24"/>
              </w:rPr>
              <w:t>Daya tarik</w:t>
            </w:r>
          </w:p>
        </w:tc>
        <w:tc>
          <w:tcPr>
            <w:tcW w:type="dxa" w:w="1984"/>
          </w:tcPr>
          <w:p>
            <w:pPr>
              <w:spacing w:after="40" w:line="240" w:lineRule="auto"/>
            </w:pPr>
            <w:r>
              <w:rPr>
                <w:rFonts w:ascii="Times New Roman" w:hAnsi="Times New Roman"/>
                <w:sz w:val="24"/>
              </w:rPr>
              <w:t>KI7–KI9</w:t>
            </w:r>
          </w:p>
        </w:tc>
        <w:tc>
          <w:tcPr>
            <w:tcW w:type="dxa" w:w="1984"/>
          </w:tcPr>
          <w:p>
            <w:pPr>
              <w:spacing w:after="40" w:line="240" w:lineRule="auto"/>
            </w:pPr>
            <w:r>
              <w:rPr>
                <w:rFonts w:ascii="Times New Roman" w:hAnsi="Times New Roman"/>
                <w:sz w:val="24"/>
              </w:rPr>
              <w:t>Daya tarik komunikator, gaya penyampaian, dan ketertarikan terhadap konten</w:t>
            </w:r>
          </w:p>
        </w:tc>
        <w:tc>
          <w:tcPr>
            <w:tcW w:type="dxa" w:w="1984"/>
          </w:tcPr>
          <w:p>
            <w:pPr>
              <w:spacing w:after="40" w:line="240" w:lineRule="auto"/>
            </w:pPr>
            <w:r>
              <w:rPr>
                <w:rFonts w:ascii="Times New Roman" w:hAnsi="Times New Roman"/>
                <w:sz w:val="24"/>
              </w:rPr>
              <w:t>Influencer</w:t>
            </w:r>
          </w:p>
        </w:tc>
      </w:tr>
      <w:tr>
        <w:tc>
          <w:tcPr>
            <w:tcW w:type="dxa" w:w="1984"/>
          </w:tcPr>
          <w:p>
            <w:pPr>
              <w:spacing w:after="40" w:line="240" w:lineRule="auto"/>
            </w:pPr>
            <w:r>
              <w:rPr>
                <w:rFonts w:ascii="Times New Roman" w:hAnsi="Times New Roman"/>
                <w:sz w:val="24"/>
              </w:rPr>
              <w:t>Persepsi pertemanan</w:t>
            </w:r>
          </w:p>
        </w:tc>
        <w:tc>
          <w:tcPr>
            <w:tcW w:type="dxa" w:w="1984"/>
          </w:tcPr>
          <w:p>
            <w:pPr>
              <w:spacing w:after="40" w:line="240" w:lineRule="auto"/>
            </w:pPr>
            <w:r>
              <w:rPr>
                <w:rFonts w:ascii="Times New Roman" w:hAnsi="Times New Roman"/>
                <w:sz w:val="24"/>
              </w:rPr>
              <w:t>HP1–HP3</w:t>
            </w:r>
          </w:p>
        </w:tc>
        <w:tc>
          <w:tcPr>
            <w:tcW w:type="dxa" w:w="1984"/>
          </w:tcPr>
          <w:p>
            <w:pPr>
              <w:spacing w:after="40" w:line="240" w:lineRule="auto"/>
            </w:pPr>
            <w:r>
              <w:rPr>
                <w:rFonts w:ascii="Times New Roman" w:hAnsi="Times New Roman"/>
                <w:sz w:val="24"/>
              </w:rPr>
              <w:t>Rasa akrab, mengenal kepribadian, dan kenyamanan mengikuti konten</w:t>
            </w:r>
          </w:p>
        </w:tc>
        <w:tc>
          <w:tcPr>
            <w:tcW w:type="dxa" w:w="1984"/>
          </w:tcPr>
          <w:p>
            <w:pPr>
              <w:spacing w:after="40" w:line="240" w:lineRule="auto"/>
            </w:pPr>
            <w:r>
              <w:rPr>
                <w:rFonts w:ascii="Times New Roman" w:hAnsi="Times New Roman"/>
                <w:sz w:val="24"/>
              </w:rPr>
              <w:t>Hubungan pengikut–influencer</w:t>
            </w:r>
          </w:p>
        </w:tc>
      </w:tr>
      <w:tr>
        <w:tc>
          <w:tcPr>
            <w:tcW w:type="dxa" w:w="1984"/>
          </w:tcPr>
          <w:p>
            <w:pPr>
              <w:spacing w:after="40" w:line="240" w:lineRule="auto"/>
            </w:pPr>
            <w:r>
              <w:rPr>
                <w:rFonts w:ascii="Times New Roman" w:hAnsi="Times New Roman"/>
                <w:sz w:val="24"/>
              </w:rPr>
              <w:t>Keterikatan emosional</w:t>
            </w:r>
          </w:p>
        </w:tc>
        <w:tc>
          <w:tcPr>
            <w:tcW w:type="dxa" w:w="1984"/>
          </w:tcPr>
          <w:p>
            <w:pPr>
              <w:spacing w:after="40" w:line="240" w:lineRule="auto"/>
            </w:pPr>
            <w:r>
              <w:rPr>
                <w:rFonts w:ascii="Times New Roman" w:hAnsi="Times New Roman"/>
                <w:sz w:val="24"/>
              </w:rPr>
              <w:t>HP4–HP6</w:t>
            </w:r>
          </w:p>
        </w:tc>
        <w:tc>
          <w:tcPr>
            <w:tcW w:type="dxa" w:w="1984"/>
          </w:tcPr>
          <w:p>
            <w:pPr>
              <w:spacing w:after="40" w:line="240" w:lineRule="auto"/>
            </w:pPr>
            <w:r>
              <w:rPr>
                <w:rFonts w:ascii="Times New Roman" w:hAnsi="Times New Roman"/>
                <w:sz w:val="24"/>
              </w:rPr>
              <w:t>Kedekatan emosional dan keterikatan yang dirasakan setelah mengikuti figur</w:t>
            </w:r>
          </w:p>
        </w:tc>
        <w:tc>
          <w:tcPr>
            <w:tcW w:type="dxa" w:w="1984"/>
          </w:tcPr>
          <w:p>
            <w:pPr>
              <w:spacing w:after="40" w:line="240" w:lineRule="auto"/>
            </w:pPr>
            <w:r>
              <w:rPr>
                <w:rFonts w:ascii="Times New Roman" w:hAnsi="Times New Roman"/>
                <w:sz w:val="24"/>
              </w:rPr>
              <w:t>Hubungan pengikut–influencer</w:t>
            </w:r>
          </w:p>
        </w:tc>
      </w:tr>
      <w:tr>
        <w:tc>
          <w:tcPr>
            <w:tcW w:type="dxa" w:w="1984"/>
          </w:tcPr>
          <w:p>
            <w:pPr>
              <w:spacing w:after="40" w:line="240" w:lineRule="auto"/>
            </w:pPr>
            <w:r>
              <w:rPr>
                <w:rFonts w:ascii="Times New Roman" w:hAnsi="Times New Roman"/>
                <w:sz w:val="24"/>
              </w:rPr>
              <w:t>Pemahaman figur</w:t>
            </w:r>
          </w:p>
        </w:tc>
        <w:tc>
          <w:tcPr>
            <w:tcW w:type="dxa" w:w="1984"/>
          </w:tcPr>
          <w:p>
            <w:pPr>
              <w:spacing w:after="40" w:line="240" w:lineRule="auto"/>
            </w:pPr>
            <w:r>
              <w:rPr>
                <w:rFonts w:ascii="Times New Roman" w:hAnsi="Times New Roman"/>
                <w:sz w:val="24"/>
              </w:rPr>
              <w:t>HP7–HP9</w:t>
            </w:r>
          </w:p>
        </w:tc>
        <w:tc>
          <w:tcPr>
            <w:tcW w:type="dxa" w:w="1984"/>
          </w:tcPr>
          <w:p>
            <w:pPr>
              <w:spacing w:after="40" w:line="240" w:lineRule="auto"/>
            </w:pPr>
            <w:r>
              <w:rPr>
                <w:rFonts w:ascii="Times New Roman" w:hAnsi="Times New Roman"/>
                <w:sz w:val="24"/>
              </w:rPr>
              <w:t>Memahami cara berpikir dan kecenderungan pandangan influencer</w:t>
            </w:r>
          </w:p>
        </w:tc>
        <w:tc>
          <w:tcPr>
            <w:tcW w:type="dxa" w:w="1984"/>
          </w:tcPr>
          <w:p>
            <w:pPr>
              <w:spacing w:after="40" w:line="240" w:lineRule="auto"/>
            </w:pPr>
            <w:r>
              <w:rPr>
                <w:rFonts w:ascii="Times New Roman" w:hAnsi="Times New Roman"/>
                <w:sz w:val="24"/>
              </w:rPr>
              <w:t>Hubungan pengikut–influencer</w:t>
            </w:r>
          </w:p>
        </w:tc>
      </w:tr>
      <w:tr>
        <w:tc>
          <w:tcPr>
            <w:tcW w:type="dxa" w:w="1984"/>
          </w:tcPr>
          <w:p>
            <w:pPr>
              <w:spacing w:after="40" w:line="240" w:lineRule="auto"/>
            </w:pPr>
            <w:r>
              <w:rPr>
                <w:rFonts w:ascii="Times New Roman" w:hAnsi="Times New Roman"/>
                <w:sz w:val="24"/>
              </w:rPr>
              <w:t>Kontinuitas</w:t>
            </w:r>
          </w:p>
        </w:tc>
        <w:tc>
          <w:tcPr>
            <w:tcW w:type="dxa" w:w="1984"/>
          </w:tcPr>
          <w:p>
            <w:pPr>
              <w:spacing w:after="40" w:line="240" w:lineRule="auto"/>
            </w:pPr>
            <w:r>
              <w:rPr>
                <w:rFonts w:ascii="Times New Roman" w:hAnsi="Times New Roman"/>
                <w:sz w:val="24"/>
              </w:rPr>
              <w:t>AM1–AM3</w:t>
            </w:r>
          </w:p>
        </w:tc>
        <w:tc>
          <w:tcPr>
            <w:tcW w:type="dxa" w:w="1984"/>
          </w:tcPr>
          <w:p>
            <w:pPr>
              <w:spacing w:after="40" w:line="240" w:lineRule="auto"/>
            </w:pPr>
            <w:r>
              <w:rPr>
                <w:rFonts w:ascii="Times New Roman" w:hAnsi="Times New Roman"/>
                <w:sz w:val="24"/>
              </w:rPr>
              <w:t>Konsistensi karakter dan nilai merek dari waktu ke waktu</w:t>
            </w:r>
          </w:p>
        </w:tc>
        <w:tc>
          <w:tcPr>
            <w:tcW w:type="dxa" w:w="1984"/>
          </w:tcPr>
          <w:p>
            <w:pPr>
              <w:spacing w:after="40" w:line="240" w:lineRule="auto"/>
            </w:pPr>
            <w:r>
              <w:rPr>
                <w:rFonts w:ascii="Times New Roman" w:hAnsi="Times New Roman"/>
                <w:sz w:val="24"/>
              </w:rPr>
              <w:t>Merek</w:t>
            </w:r>
          </w:p>
        </w:tc>
      </w:tr>
      <w:tr>
        <w:tc>
          <w:tcPr>
            <w:tcW w:type="dxa" w:w="1984"/>
          </w:tcPr>
          <w:p>
            <w:pPr>
              <w:spacing w:after="40" w:line="240" w:lineRule="auto"/>
            </w:pPr>
            <w:r>
              <w:rPr>
                <w:rFonts w:ascii="Times New Roman" w:hAnsi="Times New Roman"/>
                <w:sz w:val="24"/>
              </w:rPr>
              <w:t>Kredibilitas merek</w:t>
            </w:r>
          </w:p>
        </w:tc>
        <w:tc>
          <w:tcPr>
            <w:tcW w:type="dxa" w:w="1984"/>
          </w:tcPr>
          <w:p>
            <w:pPr>
              <w:spacing w:after="40" w:line="240" w:lineRule="auto"/>
            </w:pPr>
            <w:r>
              <w:rPr>
                <w:rFonts w:ascii="Times New Roman" w:hAnsi="Times New Roman"/>
                <w:sz w:val="24"/>
              </w:rPr>
              <w:t>AM4–AM6</w:t>
            </w:r>
          </w:p>
        </w:tc>
        <w:tc>
          <w:tcPr>
            <w:tcW w:type="dxa" w:w="1984"/>
          </w:tcPr>
          <w:p>
            <w:pPr>
              <w:spacing w:after="40" w:line="240" w:lineRule="auto"/>
            </w:pPr>
            <w:r>
              <w:rPr>
                <w:rFonts w:ascii="Times New Roman" w:hAnsi="Times New Roman"/>
                <w:sz w:val="24"/>
              </w:rPr>
              <w:t>Pemenuhan janji dan kejujuran informasi merek</w:t>
            </w:r>
          </w:p>
        </w:tc>
        <w:tc>
          <w:tcPr>
            <w:tcW w:type="dxa" w:w="1984"/>
          </w:tcPr>
          <w:p>
            <w:pPr>
              <w:spacing w:after="40" w:line="240" w:lineRule="auto"/>
            </w:pPr>
            <w:r>
              <w:rPr>
                <w:rFonts w:ascii="Times New Roman" w:hAnsi="Times New Roman"/>
                <w:sz w:val="24"/>
              </w:rPr>
              <w:t>Merek</w:t>
            </w:r>
          </w:p>
        </w:tc>
      </w:tr>
      <w:tr>
        <w:tc>
          <w:tcPr>
            <w:tcW w:type="dxa" w:w="1984"/>
          </w:tcPr>
          <w:p>
            <w:pPr>
              <w:spacing w:after="40" w:line="240" w:lineRule="auto"/>
            </w:pPr>
            <w:r>
              <w:rPr>
                <w:rFonts w:ascii="Times New Roman" w:hAnsi="Times New Roman"/>
                <w:sz w:val="24"/>
              </w:rPr>
              <w:t>Integritas</w:t>
            </w:r>
          </w:p>
        </w:tc>
        <w:tc>
          <w:tcPr>
            <w:tcW w:type="dxa" w:w="1984"/>
          </w:tcPr>
          <w:p>
            <w:pPr>
              <w:spacing w:after="40" w:line="240" w:lineRule="auto"/>
            </w:pPr>
            <w:r>
              <w:rPr>
                <w:rFonts w:ascii="Times New Roman" w:hAnsi="Times New Roman"/>
                <w:sz w:val="24"/>
              </w:rPr>
              <w:t>AM7–AM9</w:t>
            </w:r>
          </w:p>
        </w:tc>
        <w:tc>
          <w:tcPr>
            <w:tcW w:type="dxa" w:w="1984"/>
          </w:tcPr>
          <w:p>
            <w:pPr>
              <w:spacing w:after="40" w:line="240" w:lineRule="auto"/>
            </w:pPr>
            <w:r>
              <w:rPr>
                <w:rFonts w:ascii="Times New Roman" w:hAnsi="Times New Roman"/>
                <w:sz w:val="24"/>
              </w:rPr>
              <w:t>Keselarasan klaim dan tindakan serta kepedulian yang dapat dinilai</w:t>
            </w:r>
          </w:p>
        </w:tc>
        <w:tc>
          <w:tcPr>
            <w:tcW w:type="dxa" w:w="1984"/>
          </w:tcPr>
          <w:p>
            <w:pPr>
              <w:spacing w:after="40" w:line="240" w:lineRule="auto"/>
            </w:pPr>
            <w:r>
              <w:rPr>
                <w:rFonts w:ascii="Times New Roman" w:hAnsi="Times New Roman"/>
                <w:sz w:val="24"/>
              </w:rPr>
              <w:t>Merek</w:t>
            </w:r>
          </w:p>
        </w:tc>
      </w:tr>
      <w:tr>
        <w:tc>
          <w:tcPr>
            <w:tcW w:type="dxa" w:w="1984"/>
          </w:tcPr>
          <w:p>
            <w:pPr>
              <w:spacing w:after="40" w:line="240" w:lineRule="auto"/>
            </w:pPr>
            <w:r>
              <w:rPr>
                <w:rFonts w:ascii="Times New Roman" w:hAnsi="Times New Roman"/>
                <w:sz w:val="24"/>
              </w:rPr>
              <w:t>Simbolisme</w:t>
            </w:r>
          </w:p>
        </w:tc>
        <w:tc>
          <w:tcPr>
            <w:tcW w:type="dxa" w:w="1984"/>
          </w:tcPr>
          <w:p>
            <w:pPr>
              <w:spacing w:after="40" w:line="240" w:lineRule="auto"/>
            </w:pPr>
            <w:r>
              <w:rPr>
                <w:rFonts w:ascii="Times New Roman" w:hAnsi="Times New Roman"/>
                <w:sz w:val="24"/>
              </w:rPr>
              <w:t>AM10–AM12</w:t>
            </w:r>
          </w:p>
        </w:tc>
        <w:tc>
          <w:tcPr>
            <w:tcW w:type="dxa" w:w="1984"/>
          </w:tcPr>
          <w:p>
            <w:pPr>
              <w:spacing w:after="40" w:line="240" w:lineRule="auto"/>
            </w:pPr>
            <w:r>
              <w:rPr>
                <w:rFonts w:ascii="Times New Roman" w:hAnsi="Times New Roman"/>
                <w:sz w:val="24"/>
              </w:rPr>
              <w:t>Makna identitas dan keselarasan makna merek bagi responden</w:t>
            </w:r>
          </w:p>
        </w:tc>
        <w:tc>
          <w:tcPr>
            <w:tcW w:type="dxa" w:w="1984"/>
          </w:tcPr>
          <w:p>
            <w:pPr>
              <w:spacing w:after="40" w:line="240" w:lineRule="auto"/>
            </w:pPr>
            <w:r>
              <w:rPr>
                <w:rFonts w:ascii="Times New Roman" w:hAnsi="Times New Roman"/>
                <w:sz w:val="24"/>
              </w:rPr>
              <w:t>Merek</w:t>
            </w:r>
          </w:p>
        </w:tc>
      </w:tr>
      <w:tr>
        <w:tc>
          <w:tcPr>
            <w:tcW w:type="dxa" w:w="1984"/>
          </w:tcPr>
          <w:p>
            <w:pPr>
              <w:spacing w:after="40" w:line="240" w:lineRule="auto"/>
            </w:pPr>
            <w:r>
              <w:rPr>
                <w:rFonts w:ascii="Times New Roman" w:hAnsi="Times New Roman"/>
                <w:sz w:val="24"/>
              </w:rPr>
              <w:t>Rekomendasi</w:t>
            </w:r>
          </w:p>
        </w:tc>
        <w:tc>
          <w:tcPr>
            <w:tcW w:type="dxa" w:w="1984"/>
          </w:tcPr>
          <w:p>
            <w:pPr>
              <w:spacing w:after="40" w:line="240" w:lineRule="auto"/>
            </w:pPr>
            <w:r>
              <w:rPr>
                <w:rFonts w:ascii="Times New Roman" w:hAnsi="Times New Roman"/>
                <w:sz w:val="24"/>
              </w:rPr>
              <w:t>AMD1–AMD3</w:t>
            </w:r>
          </w:p>
        </w:tc>
        <w:tc>
          <w:tcPr>
            <w:tcW w:type="dxa" w:w="1984"/>
          </w:tcPr>
          <w:p>
            <w:pPr>
              <w:spacing w:after="40" w:line="240" w:lineRule="auto"/>
            </w:pPr>
            <w:r>
              <w:rPr>
                <w:rFonts w:ascii="Times New Roman" w:hAnsi="Times New Roman"/>
                <w:sz w:val="24"/>
              </w:rPr>
              <w:t>Kesediaan merekomendasikan atau menulis ulasan</w:t>
            </w:r>
          </w:p>
        </w:tc>
        <w:tc>
          <w:tcPr>
            <w:tcW w:type="dxa" w:w="1984"/>
          </w:tcPr>
          <w:p>
            <w:pPr>
              <w:spacing w:after="40" w:line="240" w:lineRule="auto"/>
            </w:pPr>
            <w:r>
              <w:rPr>
                <w:rFonts w:ascii="Times New Roman" w:hAnsi="Times New Roman"/>
                <w:sz w:val="24"/>
              </w:rPr>
              <w:t>Tindakan responden terhadap merek</w:t>
            </w:r>
          </w:p>
        </w:tc>
      </w:tr>
      <w:tr>
        <w:tc>
          <w:tcPr>
            <w:tcW w:type="dxa" w:w="1984"/>
          </w:tcPr>
          <w:p>
            <w:pPr>
              <w:spacing w:after="40" w:line="240" w:lineRule="auto"/>
            </w:pPr>
            <w:r>
              <w:rPr>
                <w:rFonts w:ascii="Times New Roman" w:hAnsi="Times New Roman"/>
                <w:sz w:val="24"/>
              </w:rPr>
              <w:t>Berbagi konten</w:t>
            </w:r>
          </w:p>
        </w:tc>
        <w:tc>
          <w:tcPr>
            <w:tcW w:type="dxa" w:w="1984"/>
          </w:tcPr>
          <w:p>
            <w:pPr>
              <w:spacing w:after="40" w:line="240" w:lineRule="auto"/>
            </w:pPr>
            <w:r>
              <w:rPr>
                <w:rFonts w:ascii="Times New Roman" w:hAnsi="Times New Roman"/>
                <w:sz w:val="24"/>
              </w:rPr>
              <w:t>AMD4–AMD6</w:t>
            </w:r>
          </w:p>
        </w:tc>
        <w:tc>
          <w:tcPr>
            <w:tcW w:type="dxa" w:w="1984"/>
          </w:tcPr>
          <w:p>
            <w:pPr>
              <w:spacing w:after="40" w:line="240" w:lineRule="auto"/>
            </w:pPr>
            <w:r>
              <w:rPr>
                <w:rFonts w:ascii="Times New Roman" w:hAnsi="Times New Roman"/>
                <w:sz w:val="24"/>
              </w:rPr>
              <w:t>Kesediaan menyebarkan, menandai, atau mengunggah ulang konten</w:t>
            </w:r>
          </w:p>
        </w:tc>
        <w:tc>
          <w:tcPr>
            <w:tcW w:type="dxa" w:w="1984"/>
          </w:tcPr>
          <w:p>
            <w:pPr>
              <w:spacing w:after="40" w:line="240" w:lineRule="auto"/>
            </w:pPr>
            <w:r>
              <w:rPr>
                <w:rFonts w:ascii="Times New Roman" w:hAnsi="Times New Roman"/>
                <w:sz w:val="24"/>
              </w:rPr>
              <w:t>Tindakan responden terhadap merek</w:t>
            </w:r>
          </w:p>
        </w:tc>
      </w:tr>
      <w:tr>
        <w:tc>
          <w:tcPr>
            <w:tcW w:type="dxa" w:w="1984"/>
          </w:tcPr>
          <w:p>
            <w:pPr>
              <w:spacing w:after="40" w:line="240" w:lineRule="auto"/>
            </w:pPr>
            <w:r>
              <w:rPr>
                <w:rFonts w:ascii="Times New Roman" w:hAnsi="Times New Roman"/>
                <w:sz w:val="24"/>
              </w:rPr>
              <w:t>Pembelaan</w:t>
            </w:r>
          </w:p>
        </w:tc>
        <w:tc>
          <w:tcPr>
            <w:tcW w:type="dxa" w:w="1984"/>
          </w:tcPr>
          <w:p>
            <w:pPr>
              <w:spacing w:after="40" w:line="240" w:lineRule="auto"/>
            </w:pPr>
            <w:r>
              <w:rPr>
                <w:rFonts w:ascii="Times New Roman" w:hAnsi="Times New Roman"/>
                <w:sz w:val="24"/>
              </w:rPr>
              <w:t>AMD7–AMD9</w:t>
            </w:r>
          </w:p>
        </w:tc>
        <w:tc>
          <w:tcPr>
            <w:tcW w:type="dxa" w:w="1984"/>
          </w:tcPr>
          <w:p>
            <w:pPr>
              <w:spacing w:after="40" w:line="240" w:lineRule="auto"/>
            </w:pPr>
            <w:r>
              <w:rPr>
                <w:rFonts w:ascii="Times New Roman" w:hAnsi="Times New Roman"/>
                <w:sz w:val="24"/>
              </w:rPr>
              <w:t>Kesediaan meluruskan informasi keliru dan membela merek</w:t>
            </w:r>
          </w:p>
        </w:tc>
        <w:tc>
          <w:tcPr>
            <w:tcW w:type="dxa" w:w="1984"/>
          </w:tcPr>
          <w:p>
            <w:pPr>
              <w:spacing w:after="40" w:line="240" w:lineRule="auto"/>
            </w:pPr>
            <w:r>
              <w:rPr>
                <w:rFonts w:ascii="Times New Roman" w:hAnsi="Times New Roman"/>
                <w:sz w:val="24"/>
              </w:rPr>
              <w:t>Tindakan responden terhadap merek</w:t>
            </w:r>
          </w:p>
        </w:tc>
      </w:tr>
    </w:tbl>
    <w:p/>
    <w:p>
      <w:r>
        <w:rPr>
          <w:rFonts w:ascii="Times New Roman" w:hAnsi="Times New Roman"/>
          <w:i/>
          <w:sz w:val="24"/>
        </w:rPr>
        <w:t>Diadaptasi dari berkas Proposal Disertasi 14 Oktober 2026 (tabel 5 pada berkas sumber).</w:t>
      </w:r>
    </w:p>
    <w:p>
      <w:r>
        <w:br w:type="page"/>
      </w:r>
    </w:p>
    <w:p>
      <w:pPr>
        <w:pStyle w:val="Heading1"/>
      </w:pPr>
      <w:r>
        <w:rPr>
          <w:rFonts w:ascii="Times New Roman" w:hAnsi="Times New Roman"/>
          <w:sz w:val="28"/>
        </w:rPr>
        <w:t>BAB III. METODOLOGI RISET</w:t>
      </w:r>
    </w:p>
    <w:p>
      <w:pPr>
        <w:pStyle w:val="Heading2"/>
      </w:pPr>
      <w:r>
        <w:rPr>
          <w:rFonts w:ascii="Times New Roman" w:hAnsi="Times New Roman"/>
          <w:sz w:val="24"/>
        </w:rPr>
        <w:t>A. Sumber Data, Subjek, Objek, Tempat, dan Waktu Riset</w:t>
      </w:r>
    </w:p>
    <w:p>
      <w:pPr>
        <w:pStyle w:val="Heading3"/>
      </w:pPr>
      <w:r>
        <w:rPr>
          <w:rFonts w:ascii="Times New Roman" w:hAnsi="Times New Roman"/>
          <w:sz w:val="24"/>
        </w:rPr>
        <w:t>1. Sumber data</w:t>
      </w:r>
    </w:p>
    <w:p>
      <w:r>
        <w:rPr>
          <w:rFonts w:ascii="Times New Roman" w:hAnsi="Times New Roman"/>
          <w:sz w:val="24"/>
        </w:rPr>
        <w:t>Data utama berupa jawaban individu melalui kuesioner daring terstruktur. Unit analisis adalah konsumen, bukan influencer, unggahan, merek, atau perusahaan. Kuesioner digunakan untuk memperoleh penilaian atas influencer acuan, hubungan yang dirasakan dengan figur tersebut, penilaian atas merek acuan, serta kesediaan melakukan tindakan dukungan di ruang digital. Data sekunder berupa artikel ilmiah, laporan digital yang dapat ditelusuri, dan catatan proses pencarian literatur digunakan untuk menyusun landasan penelitian; data sekunder tidak diperlakukan sebagai pengganti data responden. Data disimpan sebagai berkas anonim pada tingkat responden. Nama influencer dan merek acuan digunakan untuk menjaga ketepatan objek pengukuran, tetapi tidak akan dipublikasikan bersama identitas responden. Jika kontak diperlukan untuk kegiatan tindak lanjut, informasi kontak disimpan secara terpisah dan hanya dikumpulkan dengan persetujuan khusus. Pelaporan hasil dilakukan dalam bentuk agregat, koefisien, dan ringkasan kelompok.</w:t>
      </w:r>
    </w:p>
    <w:p>
      <w:pPr>
        <w:pStyle w:val="Heading3"/>
      </w:pPr>
      <w:r>
        <w:rPr>
          <w:rFonts w:ascii="Times New Roman" w:hAnsi="Times New Roman"/>
          <w:sz w:val="24"/>
        </w:rPr>
        <w:t>2. Subjek dan populasi sasaran</w:t>
      </w:r>
    </w:p>
    <w:p>
      <w:r>
        <w:rPr>
          <w:rFonts w:ascii="Times New Roman" w:hAnsi="Times New Roman"/>
          <w:sz w:val="24"/>
        </w:rPr>
        <w:t>Populasi sasaran adalah Generasi Z berusia 18–27 tahun yang berdomisili di Provinsi Sulawesi Utara dan aktif menggunakan media sosial. Rentang usia tersebut merupakan batas operasional penelitian; usia dan waktu pengumpulan data dicatat agar klasifikasi responden dapat ditafsirkan secara konsisten. Kriteria inklusi adalah: (1) berusia 18–27 tahun; (2) berdomisili di salah satu kabupaten/kota di Sulawesi Utara; (3) aktif menggunakan media sosial; (4) mengikuti sekurang-kurangnya satu akun influencer; (5) pernah melihat influencer tersebut mempromosikan, mengulas, atau merekomendasikan merek; (6) dapat menyebutkan satu influencer dan satu merek yang sama sebagai acuan dalam kuesioner; serta (7) memberikan persetujuan setelah membaca informasi penelitian. Pengalaman menggunakan merek tidak dijadikan syarat inklusi agar responden yang mengenal merek melalui paparan atau pengalaman nonpembelian tetap dapat berpartisipasi. Pengalaman tersebut ditanyakan untuk mendeskripsikan sampel dan membantu pembaca memahami konteks penilaian, bukan untuk membentuk kelompok pengujian tambahan. Jawaban “tidak dapat menilai” dikodekan sebagai data hilang, bukan nilai netral. Proporsi per butir dilaporkan; pada dimensi merek tiga-butir, skor dimensi dihitung bila sedikitnya dua jawaban berskor tersedia. Responden tanpa skor untuk salah satu dimensi autentisitas tidak masuk analisis utama.</w:t>
      </w:r>
    </w:p>
    <w:p>
      <w:pPr>
        <w:ind w:left="567" w:right="283"/>
      </w:pPr>
      <w:r>
        <w:rPr>
          <w:rFonts w:ascii="Times New Roman" w:hAnsi="Times New Roman"/>
          <w:b/>
          <w:i/>
          <w:sz w:val="24"/>
        </w:rPr>
        <w:t>Kriteria kelayakan responden (disisipkan dari berkas PROPOSAL_DISERTASI_TANPA_MODERATOR).</w:t>
      </w:r>
      <w:r>
        <w:rPr>
          <w:rFonts w:ascii="Times New Roman" w:hAnsi="Times New Roman"/>
          <w:i/>
          <w:sz w:val="24"/>
        </w:rPr>
        <w:t xml:space="preserve"> Setiap responden menetapkan satu influencer yang telah diikutinya sekurang-kurangnya </w:t>
      </w:r>
      <w:r>
        <w:rPr>
          <w:rFonts w:ascii="Times New Roman" w:hAnsi="Times New Roman"/>
          <w:b/>
          <w:i/>
          <w:sz w:val="24"/>
        </w:rPr>
        <w:t>enam bulan</w:t>
      </w:r>
      <w:r>
        <w:rPr>
          <w:rFonts w:ascii="Times New Roman" w:hAnsi="Times New Roman"/>
          <w:i/>
          <w:sz w:val="24"/>
        </w:rPr>
        <w:t>, dan satu merek yang pernah direkomendasikan influencer tersebut serta dikenal responden. Syarat lama mengikuti influencer dimaksudkan agar relasi yang diukur relatif stabil. Penetapan pasangan influencer–merek dilakukan sebelum responden melihat butir luaran, untuk mengurangi pemilihan merek berdasarkan preferensi jawaban. Bila tidak ada merek yang memenuhi syarat, pengisian dihentikan dan jawaban parsial tidak disimpan sebagai data utama.</w:t>
      </w:r>
    </w:p>
    <w:p>
      <w:pPr>
        <w:pStyle w:val="Heading3"/>
      </w:pPr>
      <w:r>
        <w:rPr>
          <w:rFonts w:ascii="Times New Roman" w:hAnsi="Times New Roman"/>
          <w:sz w:val="24"/>
        </w:rPr>
        <w:t>3. Objek penelitian dan batas antarvariabel</w:t>
      </w:r>
    </w:p>
    <w:p>
      <w:r>
        <w:rPr>
          <w:rFonts w:ascii="Times New Roman" w:hAnsi="Times New Roman"/>
          <w:sz w:val="24"/>
        </w:rPr>
        <w:t>Objek konseptual penelitian mencakup empat konstruk tingkat tinggi: kredibilitas influencer (atribut yang dipersepsikan pada orang), hubungan parasosial (rasa kedekatan satu arah terhadap orang), autentisitas merek (penilaian terhadap merek), dan kesediaan advokasi merek digital (kecenderungan responden melakukan dukungan terhadap merek). Responden menilai satu pasangan influencer–merek yang sama pada setiap blok pertanyaan. Kredibilitas influencer tidak dipakai untuk menilai jumlah pengikut atau popularitas. Hubungan parasosial tidak mengandaikan bahwa influencer mengenal responden secara pribadi. Autentisitas merek merupakan persepsi konsumen, bukan audit terhadap perusahaan. Kesediaan advokasi merupakan kesiapan bertindak yang dilaporkan, bukan catatan tindakan aktual. Kategori merek, pengalaman menggunakan merek, tingkat pengenalan merek, dan paparan sponsor dicatat terpisah untuk mendeskripsikan konteks dan tidak dicampurkan ke dalam skor empat konstruk utama.</w:t>
      </w:r>
    </w:p>
    <w:p>
      <w:pPr>
        <w:pStyle w:val="Heading3"/>
      </w:pPr>
      <w:r>
        <w:rPr>
          <w:rFonts w:ascii="Times New Roman" w:hAnsi="Times New Roman"/>
          <w:sz w:val="24"/>
        </w:rPr>
        <w:t>4. Tempat dan waktu penelitian</w:t>
      </w:r>
    </w:p>
    <w:p>
      <w:r>
        <w:rPr>
          <w:rFonts w:ascii="Times New Roman" w:hAnsi="Times New Roman"/>
          <w:sz w:val="24"/>
        </w:rPr>
        <w:t>Penelitian dilaksanakan di Provinsi Sulawesi Utara. Pengumpulan data direncanakan secara daring agar responden dari berbagai kabupaten/kota dapat dijangkau. Rangkaian penelitian direncanakan berlangsung selama delapan bulan sejak usulan disetujui, meliputi pemantapan proposal dan etik, finalisasi instrumen, pengumpulan data, analisis, penyelesaian disertasi, dan penyiapan artikel ilmiah.</w:t>
      </w:r>
    </w:p>
    <w:p>
      <w:pPr>
        <w:pStyle w:val="Heading2"/>
      </w:pPr>
      <w:r>
        <w:rPr>
          <w:rFonts w:ascii="Times New Roman" w:hAnsi="Times New Roman"/>
          <w:sz w:val="24"/>
        </w:rPr>
        <w:t>B. Metode (Desain)</w:t>
      </w:r>
    </w:p>
    <w:p>
      <w:pPr>
        <w:pStyle w:val="Heading3"/>
      </w:pPr>
      <w:r>
        <w:rPr>
          <w:rFonts w:ascii="Times New Roman" w:hAnsi="Times New Roman"/>
          <w:sz w:val="24"/>
        </w:rPr>
        <w:t>1. Pendekatan penelitian</w:t>
      </w:r>
    </w:p>
    <w:p>
      <w:r>
        <w:rPr>
          <w:rFonts w:ascii="Times New Roman" w:hAnsi="Times New Roman"/>
          <w:sz w:val="24"/>
        </w:rPr>
        <w:t>Penelitian menggunakan pendekatan kuantitatif eksplanatori dengan survei daring satu gelombang sebagai pengujian utama. Pendekatan tersebut sesuai untuk mengestimasi hubungan antarkonstruk laten dan efek tidak langsung spesifik yang telah diturunkan dari teori. Rancangan tidak memuat moderator, interaksi, atau moderated mediation. Karakteristik demografis dan informasi paparan digunakan untuk mendeskripsikan sampel, bukan sebagai hipotesis tambahan. Satu gelombang data tidak dapat memastikan bahwa kredibilitas influencer muncul sebelum hubungan parasosial, hubungan parasosial sebelum evaluasi autentisitas, dan autentisitas sebelum kesediaan advokasi. Karena itu, istilah mediasi dalam penelitian ini merujuk pada struktur asosiasi kondisional yang konsisten dengan urutan teori. Simpulan tidak akan menyatakan sebabakibat secara tegas. Jika pada pelaksanaan berikutnya tersedia sumber daya untuk pengumpulan beberapa gelombang, desain tersebut dapat digunakan sebagai pengujian lanjutan, tetapi tidak akan dicampur dengan analisis utama tanpa protokol yang jelas.</w:t>
      </w:r>
    </w:p>
    <w:p>
      <w:pPr>
        <w:pStyle w:val="Heading3"/>
      </w:pPr>
      <w:r>
        <w:rPr>
          <w:rFonts w:ascii="Times New Roman" w:hAnsi="Times New Roman"/>
          <w:sz w:val="24"/>
        </w:rPr>
        <w:t>2. Alasan pemilihan PLS-SEM</w:t>
      </w:r>
    </w:p>
    <w:p>
      <w:r>
        <w:rPr>
          <w:rFonts w:ascii="Times New Roman" w:hAnsi="Times New Roman"/>
          <w:sz w:val="24"/>
        </w:rPr>
        <w:t>Analisis menggunakan Structural Equation Modeling–Partial Least Squares (PLS-SEM) karena penelitian menguji hubungan di antara konstruk laten yang diukur dengan beberapa butir dan mencakup efek tidak langsung berurutan. PLS-SEM memungkinkan evaluasi model pengukuran sebelum penafsiran hubungan antarkonstruk (Hair et al., 2019, 2022). Pemilihan PLS-SEM tidak berarti bahwa kualitas data atau ukuran sampel dapat diabaikan. Model pengukuran dan model struktural akan diperiksa secara terpisah. Hasil dilaporkan bersama koefisien dan interval kepercayaan, sehingga keputusan tidak hanya didasarkan pada nilai signifikansi.</w:t>
      </w:r>
    </w:p>
    <w:p>
      <w:pPr>
        <w:pStyle w:val="Heading3"/>
      </w:pPr>
      <w:r>
        <w:rPr>
          <w:rFonts w:ascii="Times New Roman" w:hAnsi="Times New Roman"/>
          <w:sz w:val="24"/>
        </w:rPr>
        <w:t>3. Model struktural</w:t>
      </w:r>
    </w:p>
    <w:p>
      <w:r>
        <w:rPr>
          <w:rFonts w:ascii="Times New Roman" w:hAnsi="Times New Roman"/>
          <w:sz w:val="24"/>
        </w:rPr>
        <w:t>Notasi penelitian: X = kredibilitas influencer (KI), M1 = hubungan parasosial (HP), M2 = autentisitas merek (AM), dan Y = kesediaan advokasi merek digital (AMD). Model utama menguji KI → HP, HP → AM, AM → AMD, KI → AMD, serta jalur alternatif KI → AM yang telah ditetapkan secara teoretis sebelum analisis. Persamaan Y juga mencakup HP → AMD sebagai jalur tambahan. Jalur KI → AM dan HP → AMD bukan hipotesis utama; model tidak memuat moderator atau interaksi. Persamaan ringkas model adalah: M1 (HP) = i1 + a1X + e1 M2 (AM) = i2 + a2X + d21M1 + e2 Y (AMD) = i3 + c′X + b1M1 + b2M2 + e3 H1 = a1; H2 = d21; H3 = b2; H4 = c′; dan H5 = a1 × d21 × b2. Jalur a2 (KI → AM) dan b1 (HP → AMD) ditetapkan sebagai jalur alternatif/tambahan, bukan hipotesis utama. Model utama tidak memasukkan kovariat; kovariat yang tersedia hanya digunakan dalam analisis sensitivitas yang ditetapkan sebelumnya.</w:t>
      </w:r>
    </w:p>
    <w:p>
      <w:pPr>
        <w:pStyle w:val="Heading3"/>
      </w:pPr>
      <w:r>
        <w:rPr>
          <w:rFonts w:ascii="Times New Roman" w:hAnsi="Times New Roman"/>
          <w:sz w:val="24"/>
        </w:rPr>
        <w:t>4. Operasionalisasi dan struktur pengukuran</w:t>
      </w:r>
    </w:p>
    <w:p>
      <w:r>
        <w:rPr>
          <w:rFonts w:ascii="Times New Roman" w:hAnsi="Times New Roman"/>
          <w:sz w:val="24"/>
        </w:rPr>
        <w:t xml:space="preserve">Seluruh butir inti menggunakan skala persetujuan lima kategori: 1 = sangat tidak setuju, 2 = tidak setuju, 3 = netral, 4 = setuju, dan 5 = sangat setuju. Pilihan “tidak dapat menilai” disediakan pada butir yang memerlukan pengetahuan khusus tentang merek dan diperlakukan sebagai data hilang, bukan sebagai nilai netral. Instrumen akan ditelaah sumbernya, diadaptasi ke Bahasa Indonesia, dinilai oleh ahli, diuji secara kognitif, dan dipilotkan sebelum pengumpulan data utama. </w:t>
      </w:r>
      <w:r>
        <w:rPr>
          <w:rFonts w:ascii="Times New Roman" w:hAnsi="Times New Roman"/>
          <w:b/>
          <w:sz w:val="24"/>
        </w:rPr>
        <w:t>Tabel 7. Operasionalisasi konstruk penelitian</w:t>
      </w:r>
    </w:p>
    <w:tbl>
      <w:tblPr>
        <w:tblStyle w:val="TableGrid"/>
        <w:tblW w:type="auto" w:w="0"/>
        <w:tblLayout w:type="autofit"/>
        <w:tblLook w:firstColumn="1" w:firstRow="1" w:lastColumn="0" w:lastRow="0" w:noHBand="0" w:noVBand="1" w:val="04A0"/>
      </w:tblPr>
      <w:tblGrid>
        <w:gridCol w:w="1587"/>
        <w:gridCol w:w="1587"/>
        <w:gridCol w:w="1587"/>
        <w:gridCol w:w="1587"/>
        <w:gridCol w:w="1587"/>
      </w:tblGrid>
      <w:tr>
        <w:tc>
          <w:tcPr>
            <w:tcW w:type="dxa" w:w="1587"/>
          </w:tcPr>
          <w:p>
            <w:pPr>
              <w:spacing w:after="40" w:line="240" w:lineRule="auto"/>
            </w:pPr>
            <w:r>
              <w:rPr>
                <w:rFonts w:ascii="Times New Roman" w:hAnsi="Times New Roman"/>
                <w:b/>
                <w:sz w:val="24"/>
              </w:rPr>
              <w:t>Konstruk utama</w:t>
            </w:r>
          </w:p>
        </w:tc>
        <w:tc>
          <w:tcPr>
            <w:tcW w:type="dxa" w:w="1587"/>
          </w:tcPr>
          <w:p>
            <w:pPr>
              <w:spacing w:after="40" w:line="240" w:lineRule="auto"/>
            </w:pPr>
            <w:r>
              <w:rPr>
                <w:rFonts w:ascii="Times New Roman" w:hAnsi="Times New Roman"/>
                <w:b/>
                <w:sz w:val="24"/>
              </w:rPr>
              <w:t>Dimensi pengukuran</w:t>
            </w:r>
          </w:p>
        </w:tc>
        <w:tc>
          <w:tcPr>
            <w:tcW w:type="dxa" w:w="1587"/>
          </w:tcPr>
          <w:p>
            <w:pPr>
              <w:spacing w:after="40" w:line="240" w:lineRule="auto"/>
            </w:pPr>
            <w:r>
              <w:rPr>
                <w:rFonts w:ascii="Times New Roman" w:hAnsi="Times New Roman"/>
                <w:b/>
                <w:sz w:val="24"/>
              </w:rPr>
              <w:t>Jumlah butir rencana</w:t>
            </w:r>
          </w:p>
        </w:tc>
        <w:tc>
          <w:tcPr>
            <w:tcW w:type="dxa" w:w="1587"/>
          </w:tcPr>
          <w:p>
            <w:pPr>
              <w:spacing w:after="40" w:line="240" w:lineRule="auto"/>
            </w:pPr>
            <w:r>
              <w:rPr>
                <w:rFonts w:ascii="Times New Roman" w:hAnsi="Times New Roman"/>
                <w:b/>
                <w:sz w:val="24"/>
              </w:rPr>
              <w:t>Arah butir dan objek penilaian</w:t>
            </w:r>
          </w:p>
        </w:tc>
        <w:tc>
          <w:tcPr>
            <w:tcW w:type="dxa" w:w="1587"/>
          </w:tcPr>
          <w:p>
            <w:pPr>
              <w:spacing w:after="40" w:line="240" w:lineRule="auto"/>
            </w:pPr>
            <w:r>
              <w:rPr>
                <w:rFonts w:ascii="Times New Roman" w:hAnsi="Times New Roman"/>
                <w:b/>
                <w:sz w:val="24"/>
              </w:rPr>
              <w:t>Peran dalam model</w:t>
            </w:r>
          </w:p>
        </w:tc>
      </w:tr>
      <w:tr>
        <w:tc>
          <w:tcPr>
            <w:tcW w:type="dxa" w:w="1587"/>
          </w:tcPr>
          <w:p>
            <w:pPr>
              <w:spacing w:after="40" w:line="240" w:lineRule="auto"/>
            </w:pPr>
            <w:r>
              <w:rPr>
                <w:rFonts w:ascii="Times New Roman" w:hAnsi="Times New Roman"/>
                <w:sz w:val="24"/>
              </w:rPr>
              <w:t>Kredibilitas influencer (KI)</w:t>
            </w:r>
          </w:p>
        </w:tc>
        <w:tc>
          <w:tcPr>
            <w:tcW w:type="dxa" w:w="1587"/>
          </w:tcPr>
          <w:p>
            <w:pPr>
              <w:spacing w:after="40" w:line="240" w:lineRule="auto"/>
            </w:pPr>
            <w:r>
              <w:rPr>
                <w:rFonts w:ascii="Times New Roman" w:hAnsi="Times New Roman"/>
                <w:sz w:val="24"/>
              </w:rPr>
              <w:t>Keahlian; keterpercayaan; daya tarik</w:t>
            </w:r>
          </w:p>
        </w:tc>
        <w:tc>
          <w:tcPr>
            <w:tcW w:type="dxa" w:w="1587"/>
          </w:tcPr>
          <w:p>
            <w:pPr>
              <w:spacing w:after="40" w:line="240" w:lineRule="auto"/>
            </w:pPr>
            <w:r>
              <w:rPr>
                <w:rFonts w:ascii="Times New Roman" w:hAnsi="Times New Roman"/>
                <w:sz w:val="24"/>
              </w:rPr>
              <w:t>9</w:t>
            </w:r>
          </w:p>
        </w:tc>
        <w:tc>
          <w:tcPr>
            <w:tcW w:type="dxa" w:w="1587"/>
          </w:tcPr>
          <w:p>
            <w:pPr>
              <w:spacing w:after="40" w:line="240" w:lineRule="auto"/>
            </w:pPr>
            <w:r>
              <w:rPr>
                <w:rFonts w:ascii="Times New Roman" w:hAnsi="Times New Roman"/>
                <w:sz w:val="24"/>
              </w:rPr>
              <w:t>Seluruh butir menilai influencer acuan</w:t>
            </w:r>
          </w:p>
        </w:tc>
        <w:tc>
          <w:tcPr>
            <w:tcW w:type="dxa" w:w="1587"/>
          </w:tcPr>
          <w:p>
            <w:pPr>
              <w:spacing w:after="40" w:line="240" w:lineRule="auto"/>
            </w:pPr>
            <w:r>
              <w:rPr>
                <w:rFonts w:ascii="Times New Roman" w:hAnsi="Times New Roman"/>
                <w:sz w:val="24"/>
              </w:rPr>
              <w:t>Prediktor eksogen</w:t>
            </w:r>
          </w:p>
        </w:tc>
      </w:tr>
      <w:tr>
        <w:tc>
          <w:tcPr>
            <w:tcW w:type="dxa" w:w="1587"/>
          </w:tcPr>
          <w:p>
            <w:pPr>
              <w:spacing w:after="40" w:line="240" w:lineRule="auto"/>
            </w:pPr>
            <w:r>
              <w:rPr>
                <w:rFonts w:ascii="Times New Roman" w:hAnsi="Times New Roman"/>
                <w:sz w:val="24"/>
              </w:rPr>
              <w:t>Hubungan parasosial (HP)</w:t>
            </w:r>
          </w:p>
        </w:tc>
        <w:tc>
          <w:tcPr>
            <w:tcW w:type="dxa" w:w="1587"/>
          </w:tcPr>
          <w:p>
            <w:pPr>
              <w:spacing w:after="40" w:line="240" w:lineRule="auto"/>
            </w:pPr>
            <w:r>
              <w:rPr>
                <w:rFonts w:ascii="Times New Roman" w:hAnsi="Times New Roman"/>
                <w:sz w:val="24"/>
              </w:rPr>
              <w:t>Persepsi pertemanan; keterikatan emosional; pemahaman terhadap figur</w:t>
            </w:r>
          </w:p>
        </w:tc>
        <w:tc>
          <w:tcPr>
            <w:tcW w:type="dxa" w:w="1587"/>
          </w:tcPr>
          <w:p>
            <w:pPr>
              <w:spacing w:after="40" w:line="240" w:lineRule="auto"/>
            </w:pPr>
            <w:r>
              <w:rPr>
                <w:rFonts w:ascii="Times New Roman" w:hAnsi="Times New Roman"/>
                <w:sz w:val="24"/>
              </w:rPr>
              <w:t>9</w:t>
            </w:r>
          </w:p>
        </w:tc>
        <w:tc>
          <w:tcPr>
            <w:tcW w:type="dxa" w:w="1587"/>
          </w:tcPr>
          <w:p>
            <w:pPr>
              <w:spacing w:after="40" w:line="240" w:lineRule="auto"/>
            </w:pPr>
            <w:r>
              <w:rPr>
                <w:rFonts w:ascii="Times New Roman" w:hAnsi="Times New Roman"/>
                <w:sz w:val="24"/>
              </w:rPr>
              <w:t>Seluruh butir menilai hubungan responden– influencer</w:t>
            </w:r>
          </w:p>
        </w:tc>
        <w:tc>
          <w:tcPr>
            <w:tcW w:type="dxa" w:w="1587"/>
          </w:tcPr>
          <w:p>
            <w:pPr>
              <w:spacing w:after="40" w:line="240" w:lineRule="auto"/>
            </w:pPr>
            <w:r>
              <w:rPr>
                <w:rFonts w:ascii="Times New Roman" w:hAnsi="Times New Roman"/>
                <w:sz w:val="24"/>
              </w:rPr>
              <w:t>Mediator pertama</w:t>
            </w:r>
          </w:p>
        </w:tc>
      </w:tr>
      <w:tr>
        <w:tc>
          <w:tcPr>
            <w:tcW w:type="dxa" w:w="1587"/>
          </w:tcPr>
          <w:p>
            <w:pPr>
              <w:spacing w:after="40" w:line="240" w:lineRule="auto"/>
            </w:pPr>
            <w:r>
              <w:rPr>
                <w:rFonts w:ascii="Times New Roman" w:hAnsi="Times New Roman"/>
                <w:sz w:val="24"/>
              </w:rPr>
              <w:t>Autentisitas merek (AM)</w:t>
            </w:r>
          </w:p>
        </w:tc>
        <w:tc>
          <w:tcPr>
            <w:tcW w:type="dxa" w:w="1587"/>
          </w:tcPr>
          <w:p>
            <w:pPr>
              <w:spacing w:after="40" w:line="240" w:lineRule="auto"/>
            </w:pPr>
            <w:r>
              <w:rPr>
                <w:rFonts w:ascii="Times New Roman" w:hAnsi="Times New Roman"/>
                <w:sz w:val="24"/>
              </w:rPr>
              <w:t>Kontinuitas; kredibilitas merek; integritas; simbolisme</w:t>
            </w:r>
          </w:p>
        </w:tc>
        <w:tc>
          <w:tcPr>
            <w:tcW w:type="dxa" w:w="1587"/>
          </w:tcPr>
          <w:p>
            <w:pPr>
              <w:spacing w:after="40" w:line="240" w:lineRule="auto"/>
            </w:pPr>
            <w:r>
              <w:rPr>
                <w:rFonts w:ascii="Times New Roman" w:hAnsi="Times New Roman"/>
                <w:sz w:val="24"/>
              </w:rPr>
              <w:t>12</w:t>
            </w:r>
          </w:p>
        </w:tc>
        <w:tc>
          <w:tcPr>
            <w:tcW w:type="dxa" w:w="1587"/>
          </w:tcPr>
          <w:p>
            <w:pPr>
              <w:spacing w:after="40" w:line="240" w:lineRule="auto"/>
            </w:pPr>
            <w:r>
              <w:rPr>
                <w:rFonts w:ascii="Times New Roman" w:hAnsi="Times New Roman"/>
                <w:sz w:val="24"/>
              </w:rPr>
              <w:t>Seluruh butir menilai merek acuan</w:t>
            </w:r>
          </w:p>
        </w:tc>
        <w:tc>
          <w:tcPr>
            <w:tcW w:type="dxa" w:w="1587"/>
          </w:tcPr>
          <w:p>
            <w:pPr>
              <w:spacing w:after="40" w:line="240" w:lineRule="auto"/>
            </w:pPr>
            <w:r>
              <w:rPr>
                <w:rFonts w:ascii="Times New Roman" w:hAnsi="Times New Roman"/>
                <w:sz w:val="24"/>
              </w:rPr>
              <w:t>Mediator kedua</w:t>
            </w:r>
          </w:p>
        </w:tc>
      </w:tr>
      <w:tr>
        <w:tc>
          <w:tcPr>
            <w:tcW w:type="dxa" w:w="1587"/>
          </w:tcPr>
          <w:p>
            <w:pPr>
              <w:spacing w:after="40" w:line="240" w:lineRule="auto"/>
            </w:pPr>
            <w:r>
              <w:rPr>
                <w:rFonts w:ascii="Times New Roman" w:hAnsi="Times New Roman"/>
                <w:sz w:val="24"/>
              </w:rPr>
              <w:t>Kesediaan advokasi digital (AMD)</w:t>
            </w:r>
          </w:p>
        </w:tc>
        <w:tc>
          <w:tcPr>
            <w:tcW w:type="dxa" w:w="1587"/>
          </w:tcPr>
          <w:p>
            <w:pPr>
              <w:spacing w:after="40" w:line="240" w:lineRule="auto"/>
            </w:pPr>
            <w:r>
              <w:rPr>
                <w:rFonts w:ascii="Times New Roman" w:hAnsi="Times New Roman"/>
                <w:sz w:val="24"/>
              </w:rPr>
              <w:t>Rekomendasi; berbagi konten; pembelaan</w:t>
            </w:r>
          </w:p>
        </w:tc>
        <w:tc>
          <w:tcPr>
            <w:tcW w:type="dxa" w:w="1587"/>
          </w:tcPr>
          <w:p>
            <w:pPr>
              <w:spacing w:after="40" w:line="240" w:lineRule="auto"/>
            </w:pPr>
            <w:r>
              <w:rPr>
                <w:rFonts w:ascii="Times New Roman" w:hAnsi="Times New Roman"/>
                <w:sz w:val="24"/>
              </w:rPr>
              <w:t>9</w:t>
            </w:r>
          </w:p>
        </w:tc>
        <w:tc>
          <w:tcPr>
            <w:tcW w:type="dxa" w:w="1587"/>
          </w:tcPr>
          <w:p>
            <w:pPr>
              <w:spacing w:after="40" w:line="240" w:lineRule="auto"/>
            </w:pPr>
            <w:r>
              <w:rPr>
                <w:rFonts w:ascii="Times New Roman" w:hAnsi="Times New Roman"/>
                <w:sz w:val="24"/>
              </w:rPr>
              <w:t>Kesediaan responden mendukung merek secara digital</w:t>
            </w:r>
          </w:p>
        </w:tc>
        <w:tc>
          <w:tcPr>
            <w:tcW w:type="dxa" w:w="1587"/>
          </w:tcPr>
          <w:p>
            <w:pPr>
              <w:spacing w:after="40" w:line="240" w:lineRule="auto"/>
            </w:pPr>
            <w:r>
              <w:rPr>
                <w:rFonts w:ascii="Times New Roman" w:hAnsi="Times New Roman"/>
                <w:sz w:val="24"/>
              </w:rPr>
              <w:t>Luaran endogen</w:t>
            </w:r>
          </w:p>
        </w:tc>
      </w:tr>
    </w:tbl>
    <w:p/>
    <w:p>
      <w:r>
        <w:rPr>
          <w:rFonts w:ascii="Times New Roman" w:hAnsi="Times New Roman"/>
          <w:sz w:val="24"/>
        </w:rPr>
        <w:t xml:space="preserve">Hubungan parasosial dioperasionalkan melalui tiga domain yang telah didefinisikan pada Bab II. Kecukupan cakupan isi dan kesesuaian pemahaman responden diperiksa sebelum survei utama; pada tahap analisis, kolinearitas dan kontribusi dimensi formatif dinilai sesuai prosedur yang ditetapkan. Perubahan instrumen, apabila diperlukan setelah penilaian ahli dan uji coba, dicatat sebelum data utama dikumpulkan. dan rekomendasi tidak sama dengan pembelaan. Pada AMD, ketiga dimensi yang dipertahankan—rekomendasi, berbagi konten, dan pembelaan— mewakili bentuk dukungan berbeda yang tidak saling menggantikan. Keputusan ini ditetapkan berdasarkan definisi teoritis sebelum data utama dianalisis. Jika hasil statistik menunjukkan bobot salah satu dimensi kecil, peneliti meninjau apakah hal itu terkait dengan definisi, keterbatasan pengetahuan responden, atau sifat konteks sampel. Perubahan model tidak dilakukan semata-mata untuk meningkatkan signifikansi atau menyesuaikan hasil yang diharapkan. Dengan demikian, penilaian model pengukuran memberi perhatian pada statistik dan keterwakilan isi secara bersamaan. Ringkasan pemetaan isi indikator disajikan berikut ini. </w:t>
      </w:r>
      <w:r>
        <w:rPr>
          <w:rFonts w:ascii="Times New Roman" w:hAnsi="Times New Roman"/>
          <w:b/>
          <w:sz w:val="24"/>
        </w:rPr>
        <w:t>Tabel 8. Sumber konseptual dan status penelusuran item</w:t>
      </w:r>
    </w:p>
    <w:tbl>
      <w:tblPr>
        <w:tblStyle w:val="TableGrid"/>
        <w:tblW w:type="auto" w:w="0"/>
        <w:tblLayout w:type="autofit"/>
        <w:tblLook w:firstColumn="1" w:firstRow="1" w:lastColumn="0" w:lastRow="0" w:noHBand="0" w:noVBand="1" w:val="04A0"/>
      </w:tblPr>
      <w:tblGrid>
        <w:gridCol w:w="1984"/>
        <w:gridCol w:w="1984"/>
        <w:gridCol w:w="1984"/>
        <w:gridCol w:w="1984"/>
      </w:tblGrid>
      <w:tr>
        <w:tc>
          <w:tcPr>
            <w:tcW w:type="dxa" w:w="1984"/>
          </w:tcPr>
          <w:p>
            <w:pPr>
              <w:spacing w:after="40" w:line="240" w:lineRule="auto"/>
            </w:pPr>
            <w:r>
              <w:rPr>
                <w:rFonts w:ascii="Times New Roman" w:hAnsi="Times New Roman"/>
                <w:b/>
                <w:sz w:val="24"/>
              </w:rPr>
              <w:t>Kode item</w:t>
            </w:r>
          </w:p>
        </w:tc>
        <w:tc>
          <w:tcPr>
            <w:tcW w:type="dxa" w:w="1984"/>
          </w:tcPr>
          <w:p>
            <w:pPr>
              <w:spacing w:after="40" w:line="240" w:lineRule="auto"/>
            </w:pPr>
            <w:r>
              <w:rPr>
                <w:rFonts w:ascii="Times New Roman" w:hAnsi="Times New Roman"/>
                <w:b/>
                <w:sz w:val="24"/>
              </w:rPr>
              <w:t>Dimensi</w:t>
            </w:r>
          </w:p>
        </w:tc>
        <w:tc>
          <w:tcPr>
            <w:tcW w:type="dxa" w:w="1984"/>
          </w:tcPr>
          <w:p>
            <w:pPr>
              <w:spacing w:after="40" w:line="240" w:lineRule="auto"/>
            </w:pPr>
            <w:r>
              <w:rPr>
                <w:rFonts w:ascii="Times New Roman" w:hAnsi="Times New Roman"/>
                <w:b/>
                <w:sz w:val="24"/>
              </w:rPr>
              <w:t>Sumber konseptual/skala</w:t>
            </w:r>
          </w:p>
        </w:tc>
        <w:tc>
          <w:tcPr>
            <w:tcW w:type="dxa" w:w="1984"/>
          </w:tcPr>
          <w:p>
            <w:pPr>
              <w:spacing w:after="40" w:line="240" w:lineRule="auto"/>
            </w:pPr>
            <w:r>
              <w:rPr>
                <w:rFonts w:ascii="Times New Roman" w:hAnsi="Times New Roman"/>
                <w:b/>
                <w:sz w:val="24"/>
              </w:rPr>
              <w:t>Posisi sumber dalam pengembangan instrumen</w:t>
            </w:r>
          </w:p>
        </w:tc>
      </w:tr>
      <w:tr>
        <w:tc>
          <w:tcPr>
            <w:tcW w:type="dxa" w:w="1984"/>
          </w:tcPr>
          <w:p>
            <w:pPr>
              <w:spacing w:after="40" w:line="240" w:lineRule="auto"/>
            </w:pPr>
            <w:r>
              <w:rPr>
                <w:rFonts w:ascii="Times New Roman" w:hAnsi="Times New Roman"/>
                <w:sz w:val="24"/>
              </w:rPr>
              <w:t>KI1–KI3</w:t>
            </w:r>
          </w:p>
        </w:tc>
        <w:tc>
          <w:tcPr>
            <w:tcW w:type="dxa" w:w="1984"/>
          </w:tcPr>
          <w:p>
            <w:pPr>
              <w:spacing w:after="40" w:line="240" w:lineRule="auto"/>
            </w:pPr>
            <w:r>
              <w:rPr>
                <w:rFonts w:ascii="Times New Roman" w:hAnsi="Times New Roman"/>
                <w:sz w:val="24"/>
              </w:rPr>
              <w:t>Keahlian</w:t>
            </w:r>
          </w:p>
        </w:tc>
        <w:tc>
          <w:tcPr>
            <w:tcW w:type="dxa" w:w="1984"/>
          </w:tcPr>
          <w:p>
            <w:pPr>
              <w:spacing w:after="40" w:line="240" w:lineRule="auto"/>
            </w:pPr>
            <w:r>
              <w:rPr>
                <w:rFonts w:ascii="Times New Roman" w:hAnsi="Times New Roman"/>
                <w:sz w:val="24"/>
              </w:rPr>
              <w:t>Ohanian (1990), subskala expertise</w:t>
            </w:r>
          </w:p>
        </w:tc>
        <w:tc>
          <w:tcPr>
            <w:tcW w:type="dxa" w:w="1984"/>
          </w:tcPr>
          <w:p>
            <w:pPr>
              <w:spacing w:after="40" w:line="240" w:lineRule="auto"/>
            </w:pPr>
            <w:r>
              <w:rPr>
                <w:rFonts w:ascii="Times New Roman" w:hAnsi="Times New Roman"/>
                <w:sz w:val="24"/>
              </w:rPr>
              <w:t>Dimensi Ohanian diadaptasi ke konteks rekomendasi influencer digital; korespondensi sumber, adaptasi bahasa, dan validitas isi diperiksa pada pengembangan instrumen.</w:t>
            </w:r>
          </w:p>
        </w:tc>
      </w:tr>
      <w:tr>
        <w:tc>
          <w:tcPr>
            <w:tcW w:type="dxa" w:w="1984"/>
          </w:tcPr>
          <w:p>
            <w:pPr>
              <w:spacing w:after="40" w:line="240" w:lineRule="auto"/>
            </w:pPr>
            <w:r>
              <w:rPr>
                <w:rFonts w:ascii="Times New Roman" w:hAnsi="Times New Roman"/>
                <w:sz w:val="24"/>
              </w:rPr>
              <w:t>KI4–KI6</w:t>
            </w:r>
          </w:p>
        </w:tc>
        <w:tc>
          <w:tcPr>
            <w:tcW w:type="dxa" w:w="1984"/>
          </w:tcPr>
          <w:p>
            <w:pPr>
              <w:spacing w:after="40" w:line="240" w:lineRule="auto"/>
            </w:pPr>
            <w:r>
              <w:rPr>
                <w:rFonts w:ascii="Times New Roman" w:hAnsi="Times New Roman"/>
                <w:sz w:val="24"/>
              </w:rPr>
              <w:t>Keterpercayaan</w:t>
            </w:r>
          </w:p>
        </w:tc>
        <w:tc>
          <w:tcPr>
            <w:tcW w:type="dxa" w:w="1984"/>
          </w:tcPr>
          <w:p>
            <w:pPr>
              <w:spacing w:after="40" w:line="240" w:lineRule="auto"/>
            </w:pPr>
            <w:r>
              <w:rPr>
                <w:rFonts w:ascii="Times New Roman" w:hAnsi="Times New Roman"/>
                <w:sz w:val="24"/>
              </w:rPr>
              <w:t>Ohanian (1990), subskala trustworthiness</w:t>
            </w:r>
          </w:p>
        </w:tc>
        <w:tc>
          <w:tcPr>
            <w:tcW w:type="dxa" w:w="1984"/>
          </w:tcPr>
          <w:p>
            <w:pPr>
              <w:spacing w:after="40" w:line="240" w:lineRule="auto"/>
            </w:pPr>
            <w:r>
              <w:rPr>
                <w:rFonts w:ascii="Times New Roman" w:hAnsi="Times New Roman"/>
                <w:sz w:val="24"/>
              </w:rPr>
              <w:t>Dimensi Ohanian diadaptasi ke konteks rekomendasi influencer digital; korespondensi sumber, adaptasi bahasa, dan validitas isi diperiksa pada pengembangan instrumen.</w:t>
            </w:r>
          </w:p>
        </w:tc>
      </w:tr>
      <w:tr>
        <w:tc>
          <w:tcPr>
            <w:tcW w:type="dxa" w:w="1984"/>
          </w:tcPr>
          <w:p>
            <w:pPr>
              <w:spacing w:after="40" w:line="240" w:lineRule="auto"/>
            </w:pPr>
            <w:r>
              <w:rPr>
                <w:rFonts w:ascii="Times New Roman" w:hAnsi="Times New Roman"/>
                <w:sz w:val="24"/>
              </w:rPr>
              <w:t>KI7–KI9</w:t>
            </w:r>
          </w:p>
        </w:tc>
        <w:tc>
          <w:tcPr>
            <w:tcW w:type="dxa" w:w="1984"/>
          </w:tcPr>
          <w:p>
            <w:pPr>
              <w:spacing w:after="40" w:line="240" w:lineRule="auto"/>
            </w:pPr>
            <w:r>
              <w:rPr>
                <w:rFonts w:ascii="Times New Roman" w:hAnsi="Times New Roman"/>
                <w:sz w:val="24"/>
              </w:rPr>
              <w:t>Daya tarik</w:t>
            </w:r>
          </w:p>
        </w:tc>
        <w:tc>
          <w:tcPr>
            <w:tcW w:type="dxa" w:w="1984"/>
          </w:tcPr>
          <w:p>
            <w:pPr>
              <w:spacing w:after="40" w:line="240" w:lineRule="auto"/>
            </w:pPr>
            <w:r>
              <w:rPr>
                <w:rFonts w:ascii="Times New Roman" w:hAnsi="Times New Roman"/>
                <w:sz w:val="24"/>
              </w:rPr>
              <w:t>Ohanian (1990), subskala attractiveness</w:t>
            </w:r>
          </w:p>
        </w:tc>
        <w:tc>
          <w:tcPr>
            <w:tcW w:type="dxa" w:w="1984"/>
          </w:tcPr>
          <w:p>
            <w:pPr>
              <w:spacing w:after="40" w:line="240" w:lineRule="auto"/>
            </w:pPr>
            <w:r>
              <w:rPr>
                <w:rFonts w:ascii="Times New Roman" w:hAnsi="Times New Roman"/>
                <w:sz w:val="24"/>
              </w:rPr>
              <w:t>Dimensi Ohanian diadaptasi ke konteks rekomendasi influencer digital; korespondensi sumber, adaptasi bahasa, dan validitas isi diperiksa pada pengembangan instrumen.</w:t>
            </w:r>
          </w:p>
        </w:tc>
      </w:tr>
      <w:tr>
        <w:tc>
          <w:tcPr>
            <w:tcW w:type="dxa" w:w="1984"/>
          </w:tcPr>
          <w:p>
            <w:pPr>
              <w:spacing w:after="40" w:line="240" w:lineRule="auto"/>
            </w:pPr>
            <w:r>
              <w:rPr>
                <w:rFonts w:ascii="Times New Roman" w:hAnsi="Times New Roman"/>
                <w:sz w:val="24"/>
              </w:rPr>
              <w:t>HP1– HP3</w:t>
            </w:r>
          </w:p>
        </w:tc>
        <w:tc>
          <w:tcPr>
            <w:tcW w:type="dxa" w:w="1984"/>
          </w:tcPr>
          <w:p>
            <w:pPr>
              <w:spacing w:after="40" w:line="240" w:lineRule="auto"/>
            </w:pPr>
            <w:r>
              <w:rPr>
                <w:rFonts w:ascii="Times New Roman" w:hAnsi="Times New Roman"/>
                <w:sz w:val="24"/>
              </w:rPr>
              <w:t>Persepsi pertemanan</w:t>
            </w:r>
          </w:p>
        </w:tc>
        <w:tc>
          <w:tcPr>
            <w:tcW w:type="dxa" w:w="1984"/>
          </w:tcPr>
          <w:p>
            <w:pPr>
              <w:spacing w:after="40" w:line="240" w:lineRule="auto"/>
            </w:pPr>
            <w:r>
              <w:rPr>
                <w:rFonts w:ascii="Times New Roman" w:hAnsi="Times New Roman"/>
                <w:sz w:val="24"/>
              </w:rPr>
              <w:t>Horton &amp; Wohl (1956); Dibble et al. (2016); Hartmann &amp; Goldhoorn (2011); Yuan &amp; Lou (2020); Aw &amp; Chuah (2021)</w:t>
            </w:r>
          </w:p>
        </w:tc>
        <w:tc>
          <w:tcPr>
            <w:tcW w:type="dxa" w:w="1984"/>
          </w:tcPr>
          <w:p>
            <w:pPr>
              <w:spacing w:after="40" w:line="240" w:lineRule="auto"/>
            </w:pPr>
            <w:r>
              <w:rPr>
                <w:rFonts w:ascii="Times New Roman" w:hAnsi="Times New Roman"/>
                <w:sz w:val="24"/>
              </w:rPr>
              <w:t>Landasan konseptual dan bukti empiris parasosial; domain operasional disesuaikan dengan hubungan yang dirasakan berkelanjutan dan diuji melalui validasi isi, wawancara kognitif, serta pilot.</w:t>
            </w:r>
          </w:p>
        </w:tc>
      </w:tr>
      <w:tr>
        <w:tc>
          <w:tcPr>
            <w:tcW w:type="dxa" w:w="1984"/>
          </w:tcPr>
          <w:p>
            <w:pPr>
              <w:spacing w:after="40" w:line="240" w:lineRule="auto"/>
            </w:pPr>
            <w:r>
              <w:rPr>
                <w:rFonts w:ascii="Times New Roman" w:hAnsi="Times New Roman"/>
                <w:sz w:val="24"/>
              </w:rPr>
              <w:t>HP4– HP6</w:t>
            </w:r>
          </w:p>
        </w:tc>
        <w:tc>
          <w:tcPr>
            <w:tcW w:type="dxa" w:w="1984"/>
          </w:tcPr>
          <w:p>
            <w:pPr>
              <w:spacing w:after="40" w:line="240" w:lineRule="auto"/>
            </w:pPr>
            <w:r>
              <w:rPr>
                <w:rFonts w:ascii="Times New Roman" w:hAnsi="Times New Roman"/>
                <w:sz w:val="24"/>
              </w:rPr>
              <w:t>Keterikatan emosional</w:t>
            </w:r>
          </w:p>
        </w:tc>
        <w:tc>
          <w:tcPr>
            <w:tcW w:type="dxa" w:w="1984"/>
          </w:tcPr>
          <w:p>
            <w:pPr>
              <w:spacing w:after="40" w:line="240" w:lineRule="auto"/>
            </w:pPr>
            <w:r>
              <w:rPr>
                <w:rFonts w:ascii="Times New Roman" w:hAnsi="Times New Roman"/>
                <w:sz w:val="24"/>
              </w:rPr>
              <w:t>Horton &amp; Wohl (1956); Dibble et al. (2016); Hartmann &amp; Goldhoorn (2011); Yuan &amp; Lou (2020); Aw &amp; Chuah (2021)</w:t>
            </w:r>
          </w:p>
        </w:tc>
        <w:tc>
          <w:tcPr>
            <w:tcW w:type="dxa" w:w="1984"/>
          </w:tcPr>
          <w:p>
            <w:pPr>
              <w:spacing w:after="40" w:line="240" w:lineRule="auto"/>
            </w:pPr>
            <w:r>
              <w:rPr>
                <w:rFonts w:ascii="Times New Roman" w:hAnsi="Times New Roman"/>
                <w:sz w:val="24"/>
              </w:rPr>
              <w:t>Landasan konseptual dan bukti empiris parasosial; domain operasional disesuaikan dengan hubungan yang dirasakan berkelanjutan dan diuji melalui validasi isi, wawancara kognitif, serta pilot.</w:t>
            </w:r>
          </w:p>
        </w:tc>
      </w:tr>
      <w:tr>
        <w:tc>
          <w:tcPr>
            <w:tcW w:type="dxa" w:w="1984"/>
          </w:tcPr>
          <w:p>
            <w:pPr>
              <w:spacing w:after="40" w:line="240" w:lineRule="auto"/>
            </w:pPr>
            <w:r>
              <w:rPr>
                <w:rFonts w:ascii="Times New Roman" w:hAnsi="Times New Roman"/>
                <w:sz w:val="24"/>
              </w:rPr>
              <w:t>HP7– HP9</w:t>
            </w:r>
          </w:p>
        </w:tc>
        <w:tc>
          <w:tcPr>
            <w:tcW w:type="dxa" w:w="1984"/>
          </w:tcPr>
          <w:p>
            <w:pPr>
              <w:spacing w:after="40" w:line="240" w:lineRule="auto"/>
            </w:pPr>
            <w:r>
              <w:rPr>
                <w:rFonts w:ascii="Times New Roman" w:hAnsi="Times New Roman"/>
                <w:sz w:val="24"/>
              </w:rPr>
              <w:t>Pemahaman figur</w:t>
            </w:r>
          </w:p>
        </w:tc>
        <w:tc>
          <w:tcPr>
            <w:tcW w:type="dxa" w:w="1984"/>
          </w:tcPr>
          <w:p>
            <w:pPr>
              <w:spacing w:after="40" w:line="240" w:lineRule="auto"/>
            </w:pPr>
            <w:r>
              <w:rPr>
                <w:rFonts w:ascii="Times New Roman" w:hAnsi="Times New Roman"/>
                <w:sz w:val="24"/>
              </w:rPr>
              <w:t>Horton &amp; Wohl (1956); Dibble et al. (2016); Hartmann &amp; Goldhoorn (2011); Yuan &amp; Lou (2020); Aw &amp; Chuah (2021)</w:t>
            </w:r>
          </w:p>
        </w:tc>
        <w:tc>
          <w:tcPr>
            <w:tcW w:type="dxa" w:w="1984"/>
          </w:tcPr>
          <w:p>
            <w:pPr>
              <w:spacing w:after="40" w:line="240" w:lineRule="auto"/>
            </w:pPr>
            <w:r>
              <w:rPr>
                <w:rFonts w:ascii="Times New Roman" w:hAnsi="Times New Roman"/>
                <w:sz w:val="24"/>
              </w:rPr>
              <w:t>Landasan konseptual dan bukti empiris parasosial; domain operasional disesuaikan dengan hubungan yang dirasakan berkelanjutan dan diuji melalui validasi isi, wawancara kognitif, serta pilot.</w:t>
            </w:r>
          </w:p>
        </w:tc>
      </w:tr>
      <w:tr>
        <w:tc>
          <w:tcPr>
            <w:tcW w:type="dxa" w:w="1984"/>
          </w:tcPr>
          <w:p>
            <w:pPr>
              <w:spacing w:after="40" w:line="240" w:lineRule="auto"/>
            </w:pPr>
            <w:r>
              <w:rPr>
                <w:rFonts w:ascii="Times New Roman" w:hAnsi="Times New Roman"/>
                <w:sz w:val="24"/>
              </w:rPr>
              <w:t>AM1– AM3</w:t>
            </w:r>
          </w:p>
        </w:tc>
        <w:tc>
          <w:tcPr>
            <w:tcW w:type="dxa" w:w="1984"/>
          </w:tcPr>
          <w:p>
            <w:pPr>
              <w:spacing w:after="40" w:line="240" w:lineRule="auto"/>
            </w:pPr>
            <w:r>
              <w:rPr>
                <w:rFonts w:ascii="Times New Roman" w:hAnsi="Times New Roman"/>
                <w:sz w:val="24"/>
              </w:rPr>
              <w:t>Kontinuitas</w:t>
            </w:r>
          </w:p>
        </w:tc>
        <w:tc>
          <w:tcPr>
            <w:tcW w:type="dxa" w:w="1984"/>
          </w:tcPr>
          <w:p>
            <w:pPr>
              <w:spacing w:after="40" w:line="240" w:lineRule="auto"/>
            </w:pPr>
            <w:r>
              <w:rPr>
                <w:rFonts w:ascii="Times New Roman" w:hAnsi="Times New Roman"/>
                <w:sz w:val="24"/>
              </w:rPr>
              <w:t>Morhart et al. (2015); Napoli et al. (2014)</w:t>
            </w:r>
          </w:p>
        </w:tc>
        <w:tc>
          <w:tcPr>
            <w:tcW w:type="dxa" w:w="1984"/>
          </w:tcPr>
          <w:p>
            <w:pPr>
              <w:spacing w:after="40" w:line="240" w:lineRule="auto"/>
            </w:pPr>
            <w:r>
              <w:rPr>
                <w:rFonts w:ascii="Times New Roman" w:hAnsi="Times New Roman"/>
                <w:sz w:val="24"/>
              </w:rPr>
              <w:t>Dimensi autentisitas merek berbasis konsumen diadaptasi untuk objek merek acuan; redaksi dan kesesuaian kategori diperiksa sebelum survei.</w:t>
            </w:r>
          </w:p>
        </w:tc>
      </w:tr>
      <w:tr>
        <w:tc>
          <w:tcPr>
            <w:tcW w:type="dxa" w:w="1984"/>
          </w:tcPr>
          <w:p>
            <w:pPr>
              <w:spacing w:after="40" w:line="240" w:lineRule="auto"/>
            </w:pPr>
            <w:r>
              <w:rPr>
                <w:rFonts w:ascii="Times New Roman" w:hAnsi="Times New Roman"/>
                <w:sz w:val="24"/>
              </w:rPr>
              <w:t>AM4– AM6</w:t>
            </w:r>
          </w:p>
        </w:tc>
        <w:tc>
          <w:tcPr>
            <w:tcW w:type="dxa" w:w="1984"/>
          </w:tcPr>
          <w:p>
            <w:pPr>
              <w:spacing w:after="40" w:line="240" w:lineRule="auto"/>
            </w:pPr>
            <w:r>
              <w:rPr>
                <w:rFonts w:ascii="Times New Roman" w:hAnsi="Times New Roman"/>
                <w:sz w:val="24"/>
              </w:rPr>
              <w:t>Kredibilitas merek</w:t>
            </w:r>
          </w:p>
        </w:tc>
        <w:tc>
          <w:tcPr>
            <w:tcW w:type="dxa" w:w="1984"/>
          </w:tcPr>
          <w:p>
            <w:pPr>
              <w:spacing w:after="40" w:line="240" w:lineRule="auto"/>
            </w:pPr>
            <w:r>
              <w:rPr>
                <w:rFonts w:ascii="Times New Roman" w:hAnsi="Times New Roman"/>
                <w:sz w:val="24"/>
              </w:rPr>
              <w:t>Morhart et al. (2015); Napoli et al. (2014)</w:t>
            </w:r>
          </w:p>
        </w:tc>
        <w:tc>
          <w:tcPr>
            <w:tcW w:type="dxa" w:w="1984"/>
          </w:tcPr>
          <w:p>
            <w:pPr>
              <w:spacing w:after="40" w:line="240" w:lineRule="auto"/>
            </w:pPr>
            <w:r>
              <w:rPr>
                <w:rFonts w:ascii="Times New Roman" w:hAnsi="Times New Roman"/>
                <w:sz w:val="24"/>
              </w:rPr>
              <w:t>Dimensi autentisitas merek berbasis konsumen diadaptasi untuk objek merek acuan; redaksi dan kesesuaian kategori diperiksa sebelum survei.</w:t>
            </w:r>
          </w:p>
        </w:tc>
      </w:tr>
      <w:tr>
        <w:tc>
          <w:tcPr>
            <w:tcW w:type="dxa" w:w="1984"/>
          </w:tcPr>
          <w:p>
            <w:pPr>
              <w:spacing w:after="40" w:line="240" w:lineRule="auto"/>
            </w:pPr>
            <w:r>
              <w:rPr>
                <w:rFonts w:ascii="Times New Roman" w:hAnsi="Times New Roman"/>
                <w:sz w:val="24"/>
              </w:rPr>
              <w:t>AM7– AM9</w:t>
            </w:r>
          </w:p>
        </w:tc>
        <w:tc>
          <w:tcPr>
            <w:tcW w:type="dxa" w:w="1984"/>
          </w:tcPr>
          <w:p>
            <w:pPr>
              <w:spacing w:after="40" w:line="240" w:lineRule="auto"/>
            </w:pPr>
            <w:r>
              <w:rPr>
                <w:rFonts w:ascii="Times New Roman" w:hAnsi="Times New Roman"/>
                <w:sz w:val="24"/>
              </w:rPr>
              <w:t>Integritas</w:t>
            </w:r>
          </w:p>
        </w:tc>
        <w:tc>
          <w:tcPr>
            <w:tcW w:type="dxa" w:w="1984"/>
          </w:tcPr>
          <w:p>
            <w:pPr>
              <w:spacing w:after="40" w:line="240" w:lineRule="auto"/>
            </w:pPr>
            <w:r>
              <w:rPr>
                <w:rFonts w:ascii="Times New Roman" w:hAnsi="Times New Roman"/>
                <w:sz w:val="24"/>
              </w:rPr>
              <w:t>Morhart et al. (2015); Napoli et al. (2014)</w:t>
            </w:r>
          </w:p>
        </w:tc>
        <w:tc>
          <w:tcPr>
            <w:tcW w:type="dxa" w:w="1984"/>
          </w:tcPr>
          <w:p>
            <w:pPr>
              <w:spacing w:after="40" w:line="240" w:lineRule="auto"/>
            </w:pPr>
            <w:r>
              <w:rPr>
                <w:rFonts w:ascii="Times New Roman" w:hAnsi="Times New Roman"/>
                <w:sz w:val="24"/>
              </w:rPr>
              <w:t>Dimensi autentisitas merek berbasis konsumen diadaptasi untuk objek merek acuan; redaksi dan kesesuaian kategori diperiksa sebelum survei.</w:t>
            </w:r>
          </w:p>
        </w:tc>
      </w:tr>
      <w:tr>
        <w:tc>
          <w:tcPr>
            <w:tcW w:type="dxa" w:w="1984"/>
          </w:tcPr>
          <w:p>
            <w:pPr>
              <w:spacing w:after="40" w:line="240" w:lineRule="auto"/>
            </w:pPr>
            <w:r>
              <w:rPr>
                <w:rFonts w:ascii="Times New Roman" w:hAnsi="Times New Roman"/>
                <w:sz w:val="24"/>
              </w:rPr>
              <w:t>AM10– AM12</w:t>
            </w:r>
          </w:p>
        </w:tc>
        <w:tc>
          <w:tcPr>
            <w:tcW w:type="dxa" w:w="1984"/>
          </w:tcPr>
          <w:p>
            <w:pPr>
              <w:spacing w:after="40" w:line="240" w:lineRule="auto"/>
            </w:pPr>
            <w:r>
              <w:rPr>
                <w:rFonts w:ascii="Times New Roman" w:hAnsi="Times New Roman"/>
                <w:sz w:val="24"/>
              </w:rPr>
              <w:t>Simbolisme</w:t>
            </w:r>
          </w:p>
        </w:tc>
        <w:tc>
          <w:tcPr>
            <w:tcW w:type="dxa" w:w="1984"/>
          </w:tcPr>
          <w:p>
            <w:pPr>
              <w:spacing w:after="40" w:line="240" w:lineRule="auto"/>
            </w:pPr>
            <w:r>
              <w:rPr>
                <w:rFonts w:ascii="Times New Roman" w:hAnsi="Times New Roman"/>
                <w:sz w:val="24"/>
              </w:rPr>
              <w:t>Morhart et al. (2015); Napoli et al. (2014)</w:t>
            </w:r>
          </w:p>
        </w:tc>
        <w:tc>
          <w:tcPr>
            <w:tcW w:type="dxa" w:w="1984"/>
          </w:tcPr>
          <w:p>
            <w:pPr>
              <w:spacing w:after="40" w:line="240" w:lineRule="auto"/>
            </w:pPr>
            <w:r>
              <w:rPr>
                <w:rFonts w:ascii="Times New Roman" w:hAnsi="Times New Roman"/>
                <w:sz w:val="24"/>
              </w:rPr>
              <w:t>Dimensi autentisitas merek berbasis konsumen diadaptasi untuk objek merek acuan; redaksi dan kesesuaian kategori diperiksa sebelum survei.</w:t>
            </w:r>
          </w:p>
        </w:tc>
      </w:tr>
      <w:tr>
        <w:tc>
          <w:tcPr>
            <w:tcW w:type="dxa" w:w="1984"/>
          </w:tcPr>
          <w:p>
            <w:pPr>
              <w:spacing w:after="40" w:line="240" w:lineRule="auto"/>
            </w:pPr>
            <w:r>
              <w:rPr>
                <w:rFonts w:ascii="Times New Roman" w:hAnsi="Times New Roman"/>
                <w:sz w:val="24"/>
              </w:rPr>
              <w:t>AMD1– AMD3</w:t>
            </w:r>
          </w:p>
        </w:tc>
        <w:tc>
          <w:tcPr>
            <w:tcW w:type="dxa" w:w="1984"/>
          </w:tcPr>
          <w:p>
            <w:pPr>
              <w:spacing w:after="40" w:line="240" w:lineRule="auto"/>
            </w:pPr>
            <w:r>
              <w:rPr>
                <w:rFonts w:ascii="Times New Roman" w:hAnsi="Times New Roman"/>
                <w:sz w:val="24"/>
              </w:rPr>
              <w:t>Rekomendasi</w:t>
            </w:r>
          </w:p>
        </w:tc>
        <w:tc>
          <w:tcPr>
            <w:tcW w:type="dxa" w:w="1984"/>
          </w:tcPr>
          <w:p>
            <w:pPr>
              <w:spacing w:after="40" w:line="240" w:lineRule="auto"/>
            </w:pPr>
            <w:r>
              <w:rPr>
                <w:rFonts w:ascii="Times New Roman" w:hAnsi="Times New Roman"/>
                <w:sz w:val="24"/>
              </w:rPr>
              <w:t>Wilk et al. (2020), online brand advocacy</w:t>
            </w:r>
          </w:p>
        </w:tc>
        <w:tc>
          <w:tcPr>
            <w:tcW w:type="dxa" w:w="1984"/>
          </w:tcPr>
          <w:p>
            <w:pPr>
              <w:spacing w:after="40" w:line="240" w:lineRule="auto"/>
            </w:pPr>
            <w:r>
              <w:rPr>
                <w:rFonts w:ascii="Times New Roman" w:hAnsi="Times New Roman"/>
                <w:sz w:val="24"/>
              </w:rPr>
              <w:t>Dimensi autentisitas merek berbasis konsumen diadaptasi untuk objek merek acuan; redaksi dan kesesuaian kategori diperiksa sebelum survei.</w:t>
            </w:r>
          </w:p>
        </w:tc>
      </w:tr>
      <w:tr>
        <w:tc>
          <w:tcPr>
            <w:tcW w:type="dxa" w:w="1984"/>
          </w:tcPr>
          <w:p>
            <w:pPr>
              <w:spacing w:after="40" w:line="240" w:lineRule="auto"/>
            </w:pPr>
            <w:r>
              <w:rPr>
                <w:rFonts w:ascii="Times New Roman" w:hAnsi="Times New Roman"/>
                <w:sz w:val="24"/>
              </w:rPr>
              <w:t>AMD4– AMD6</w:t>
            </w:r>
          </w:p>
        </w:tc>
        <w:tc>
          <w:tcPr>
            <w:tcW w:type="dxa" w:w="1984"/>
          </w:tcPr>
          <w:p>
            <w:pPr>
              <w:spacing w:after="40" w:line="240" w:lineRule="auto"/>
            </w:pPr>
            <w:r>
              <w:rPr>
                <w:rFonts w:ascii="Times New Roman" w:hAnsi="Times New Roman"/>
                <w:sz w:val="24"/>
              </w:rPr>
              <w:t>Berbagi konten</w:t>
            </w:r>
          </w:p>
        </w:tc>
        <w:tc>
          <w:tcPr>
            <w:tcW w:type="dxa" w:w="1984"/>
          </w:tcPr>
          <w:p>
            <w:pPr>
              <w:spacing w:after="40" w:line="240" w:lineRule="auto"/>
            </w:pPr>
            <w:r>
              <w:rPr>
                <w:rFonts w:ascii="Times New Roman" w:hAnsi="Times New Roman"/>
                <w:sz w:val="24"/>
              </w:rPr>
              <w:t>Wilk et al. (2020), online brand advocacy</w:t>
            </w:r>
          </w:p>
        </w:tc>
        <w:tc>
          <w:tcPr>
            <w:tcW w:type="dxa" w:w="1984"/>
          </w:tcPr>
          <w:p>
            <w:pPr>
              <w:spacing w:after="40" w:line="240" w:lineRule="auto"/>
            </w:pPr>
            <w:r>
              <w:rPr>
                <w:rFonts w:ascii="Times New Roman" w:hAnsi="Times New Roman"/>
                <w:sz w:val="24"/>
              </w:rPr>
              <w:t>Dimensi autentisitas merek berbasis konsumen diadaptasi untuk objek merek acuan; redaksi dan kesesuaian kategori diperiksa sebelum survei.</w:t>
            </w:r>
          </w:p>
        </w:tc>
      </w:tr>
      <w:tr>
        <w:tc>
          <w:tcPr>
            <w:tcW w:type="dxa" w:w="1984"/>
          </w:tcPr>
          <w:p>
            <w:pPr>
              <w:spacing w:after="40" w:line="240" w:lineRule="auto"/>
            </w:pPr>
            <w:r>
              <w:rPr>
                <w:rFonts w:ascii="Times New Roman" w:hAnsi="Times New Roman"/>
                <w:sz w:val="24"/>
              </w:rPr>
              <w:t>AMD7– AMD9</w:t>
            </w:r>
          </w:p>
        </w:tc>
        <w:tc>
          <w:tcPr>
            <w:tcW w:type="dxa" w:w="1984"/>
          </w:tcPr>
          <w:p>
            <w:pPr>
              <w:spacing w:after="40" w:line="240" w:lineRule="auto"/>
            </w:pPr>
            <w:r>
              <w:rPr>
                <w:rFonts w:ascii="Times New Roman" w:hAnsi="Times New Roman"/>
                <w:sz w:val="24"/>
              </w:rPr>
              <w:t>Pembelaan</w:t>
            </w:r>
          </w:p>
        </w:tc>
        <w:tc>
          <w:tcPr>
            <w:tcW w:type="dxa" w:w="1984"/>
          </w:tcPr>
          <w:p>
            <w:pPr>
              <w:spacing w:after="40" w:line="240" w:lineRule="auto"/>
            </w:pPr>
            <w:r>
              <w:rPr>
                <w:rFonts w:ascii="Times New Roman" w:hAnsi="Times New Roman"/>
                <w:sz w:val="24"/>
              </w:rPr>
              <w:t>Wilk et al. (2020), online brand advocacy</w:t>
            </w:r>
          </w:p>
        </w:tc>
        <w:tc>
          <w:tcPr>
            <w:tcW w:type="dxa" w:w="1984"/>
          </w:tcPr>
          <w:p>
            <w:pPr>
              <w:spacing w:after="40" w:line="240" w:lineRule="auto"/>
            </w:pPr>
            <w:r>
              <w:rPr>
                <w:rFonts w:ascii="Times New Roman" w:hAnsi="Times New Roman"/>
                <w:sz w:val="24"/>
              </w:rPr>
              <w:t>Dimensi autentisitas merek berbasis konsumen diadaptasi untuk objek merek acuan; redaksi dan kesesuaian kategori diperiksa sebelum survei.</w:t>
            </w:r>
          </w:p>
        </w:tc>
      </w:tr>
    </w:tbl>
    <w:p/>
    <w:p>
      <w:pPr>
        <w:pStyle w:val="ListBullet"/>
        <w:spacing w:after="40" w:line="360" w:lineRule="auto"/>
      </w:pPr>
      <w:r>
        <w:rPr>
          <w:rFonts w:ascii="Times New Roman" w:hAnsi="Times New Roman"/>
          <w:sz w:val="24"/>
        </w:rPr>
        <w:t>Tabel ini merangkum landasan konseptual setiap kelompok indikator.</w:t>
      </w:r>
    </w:p>
    <w:p>
      <w:r>
        <w:rPr>
          <w:rFonts w:ascii="Times New Roman" w:hAnsi="Times New Roman"/>
          <w:sz w:val="24"/>
        </w:rPr>
        <w:t>Dalam pengembangan instrumen, matriks item-per-item mencatat kode, dimensi, sumber, redaksi sumber bila tersedia, redaksi adaptasi, bentuk perubahan, dan alasan adaptasi. Skala Wilk et al. (2020) menjadi landasan konseptual advokasi merek daring; pengukuran pada penelitian ini dioperasionalkan sebagai kesediaan pada tiga domain yang ditetapkan, bukan sebagai replikasi langsung skala 16 item dan empat dimensinya. Pemetaan tersebut digunakan sebagai daftar pemeriksaan isi. Pertanyaan mengenai paparan pengungkapan sponsor ditempatkan terpisah dari skala kredibilitas. Butir tentang kemiripan nilai dengan influencer tidak digunakan karena lebih dekat dengan homofili daripada kredibilitas atau hubungan parasosial. Butir autentisitas yang berpotensi mengukur kepuasan atau memuat dua gagasan sekaligus ditinjau pada penilaian ahli dan wawancara kognitif. Butir AMD dibatasi pada kesediaan merekomendasikan, berbagi konten, dan membela merek; partisipasi komunitas serta pemberian masukan tidak dimasukkan. Rancangan instrumen dan prosedur pengembangannya disajikan dalam Lampiran 1.</w:t>
      </w:r>
    </w:p>
    <w:p>
      <w:r>
        <w:rPr>
          <w:rFonts w:ascii="Times New Roman" w:hAnsi="Times New Roman"/>
          <w:b/>
          <w:sz w:val="24"/>
        </w:rPr>
        <w:t>Tabel 9. Kisi-kisi butir instrumen (draf untuk pilot)</w:t>
      </w:r>
    </w:p>
    <w:tbl>
      <w:tblPr>
        <w:tblStyle w:val="TableGrid"/>
        <w:tblW w:type="auto" w:w="0"/>
        <w:tblLayout w:type="autofit"/>
        <w:tblLook w:firstColumn="1" w:firstRow="1" w:lastColumn="0" w:lastRow="0" w:noHBand="0" w:noVBand="1" w:val="04A0"/>
      </w:tblPr>
      <w:tblGrid>
        <w:gridCol w:w="1984"/>
        <w:gridCol w:w="1984"/>
        <w:gridCol w:w="1984"/>
        <w:gridCol w:w="1984"/>
      </w:tblGrid>
      <w:tr>
        <w:tc>
          <w:tcPr>
            <w:tcW w:type="dxa" w:w="1984"/>
          </w:tcPr>
          <w:p>
            <w:pPr>
              <w:spacing w:after="40" w:line="240" w:lineRule="auto"/>
            </w:pPr>
            <w:r>
              <w:rPr>
                <w:rFonts w:ascii="Times New Roman" w:hAnsi="Times New Roman"/>
                <w:b/>
                <w:sz w:val="24"/>
              </w:rPr>
              <w:t>Kode</w:t>
            </w:r>
          </w:p>
        </w:tc>
        <w:tc>
          <w:tcPr>
            <w:tcW w:type="dxa" w:w="1984"/>
          </w:tcPr>
          <w:p>
            <w:pPr>
              <w:spacing w:after="40" w:line="240" w:lineRule="auto"/>
            </w:pPr>
            <w:r>
              <w:rPr>
                <w:rFonts w:ascii="Times New Roman" w:hAnsi="Times New Roman"/>
                <w:b/>
                <w:sz w:val="24"/>
              </w:rPr>
              <w:t>Dimensi</w:t>
            </w:r>
          </w:p>
        </w:tc>
        <w:tc>
          <w:tcPr>
            <w:tcW w:type="dxa" w:w="1984"/>
          </w:tcPr>
          <w:p>
            <w:pPr>
              <w:spacing w:after="40" w:line="240" w:lineRule="auto"/>
            </w:pPr>
            <w:r>
              <w:rPr>
                <w:rFonts w:ascii="Times New Roman" w:hAnsi="Times New Roman"/>
                <w:b/>
                <w:sz w:val="24"/>
              </w:rPr>
              <w:t>Butir pernyataan</w:t>
            </w:r>
          </w:p>
        </w:tc>
        <w:tc>
          <w:tcPr>
            <w:tcW w:type="dxa" w:w="1984"/>
          </w:tcPr>
          <w:p>
            <w:pPr>
              <w:spacing w:after="40" w:line="240" w:lineRule="auto"/>
            </w:pPr>
            <w:r>
              <w:rPr>
                <w:rFonts w:ascii="Times New Roman" w:hAnsi="Times New Roman"/>
                <w:b/>
                <w:sz w:val="24"/>
              </w:rPr>
              <w:t>Landasan adaptasi</w:t>
            </w:r>
          </w:p>
        </w:tc>
      </w:tr>
      <w:tr>
        <w:tc>
          <w:tcPr>
            <w:tcW w:type="dxa" w:w="1984"/>
          </w:tcPr>
          <w:p>
            <w:pPr>
              <w:spacing w:after="40" w:line="240" w:lineRule="auto"/>
            </w:pPr>
            <w:r>
              <w:rPr>
                <w:rFonts w:ascii="Times New Roman" w:hAnsi="Times New Roman"/>
                <w:sz w:val="24"/>
              </w:rPr>
              <w:t>KI1</w:t>
            </w:r>
          </w:p>
        </w:tc>
        <w:tc>
          <w:tcPr>
            <w:tcW w:type="dxa" w:w="1984"/>
          </w:tcPr>
          <w:p>
            <w:pPr>
              <w:spacing w:after="40" w:line="240" w:lineRule="auto"/>
            </w:pPr>
            <w:r>
              <w:rPr>
                <w:rFonts w:ascii="Times New Roman" w:hAnsi="Times New Roman"/>
                <w:sz w:val="24"/>
              </w:rPr>
              <w:t>Keahlian</w:t>
            </w:r>
          </w:p>
        </w:tc>
        <w:tc>
          <w:tcPr>
            <w:tcW w:type="dxa" w:w="1984"/>
          </w:tcPr>
          <w:p>
            <w:pPr>
              <w:spacing w:after="40" w:line="240" w:lineRule="auto"/>
            </w:pPr>
            <w:r>
              <w:rPr>
                <w:rFonts w:ascii="Times New Roman" w:hAnsi="Times New Roman"/>
                <w:sz w:val="24"/>
              </w:rPr>
              <w:t>Influencer acuan saya menguasai informasi mengenai produk yang direkomendasikannya.</w:t>
            </w:r>
          </w:p>
        </w:tc>
        <w:tc>
          <w:tcPr>
            <w:tcW w:type="dxa" w:w="1984"/>
          </w:tcPr>
          <w:p>
            <w:pPr>
              <w:spacing w:after="40" w:line="240" w:lineRule="auto"/>
            </w:pPr>
            <w:r>
              <w:rPr>
                <w:rFonts w:ascii="Times New Roman" w:hAnsi="Times New Roman"/>
                <w:sz w:val="24"/>
              </w:rPr>
              <w:t>Ohanian (1990)</w:t>
            </w:r>
          </w:p>
        </w:tc>
      </w:tr>
      <w:tr>
        <w:tc>
          <w:tcPr>
            <w:tcW w:type="dxa" w:w="1984"/>
          </w:tcPr>
          <w:p>
            <w:pPr>
              <w:spacing w:after="40" w:line="240" w:lineRule="auto"/>
            </w:pPr>
            <w:r>
              <w:rPr>
                <w:rFonts w:ascii="Times New Roman" w:hAnsi="Times New Roman"/>
                <w:sz w:val="24"/>
              </w:rPr>
              <w:t>KI2</w:t>
            </w:r>
          </w:p>
        </w:tc>
        <w:tc>
          <w:tcPr>
            <w:tcW w:type="dxa" w:w="1984"/>
          </w:tcPr>
          <w:p>
            <w:pPr>
              <w:spacing w:after="40" w:line="240" w:lineRule="auto"/>
            </w:pPr>
            <w:r>
              <w:rPr>
                <w:rFonts w:ascii="Times New Roman" w:hAnsi="Times New Roman"/>
                <w:sz w:val="24"/>
              </w:rPr>
              <w:t>Keahlian</w:t>
            </w:r>
          </w:p>
        </w:tc>
        <w:tc>
          <w:tcPr>
            <w:tcW w:type="dxa" w:w="1984"/>
          </w:tcPr>
          <w:p>
            <w:pPr>
              <w:spacing w:after="40" w:line="240" w:lineRule="auto"/>
            </w:pPr>
            <w:r>
              <w:rPr>
                <w:rFonts w:ascii="Times New Roman" w:hAnsi="Times New Roman"/>
                <w:sz w:val="24"/>
              </w:rPr>
              <w:t>Influencer acuan saya memiliki pengalaman nyata menggunakan produk yang direkomendasikannya.</w:t>
            </w:r>
          </w:p>
        </w:tc>
        <w:tc>
          <w:tcPr>
            <w:tcW w:type="dxa" w:w="1984"/>
          </w:tcPr>
          <w:p>
            <w:pPr>
              <w:spacing w:after="40" w:line="240" w:lineRule="auto"/>
            </w:pPr>
            <w:r>
              <w:rPr>
                <w:rFonts w:ascii="Times New Roman" w:hAnsi="Times New Roman"/>
                <w:sz w:val="24"/>
              </w:rPr>
              <w:t>Ohanian (1990); Lou dan Yuan (2019)</w:t>
            </w:r>
          </w:p>
        </w:tc>
      </w:tr>
      <w:tr>
        <w:tc>
          <w:tcPr>
            <w:tcW w:type="dxa" w:w="1984"/>
          </w:tcPr>
          <w:p>
            <w:pPr>
              <w:spacing w:after="40" w:line="240" w:lineRule="auto"/>
            </w:pPr>
            <w:r>
              <w:rPr>
                <w:rFonts w:ascii="Times New Roman" w:hAnsi="Times New Roman"/>
                <w:sz w:val="24"/>
              </w:rPr>
              <w:t>KI3</w:t>
            </w:r>
          </w:p>
        </w:tc>
        <w:tc>
          <w:tcPr>
            <w:tcW w:type="dxa" w:w="1984"/>
          </w:tcPr>
          <w:p>
            <w:pPr>
              <w:spacing w:after="40" w:line="240" w:lineRule="auto"/>
            </w:pPr>
            <w:r>
              <w:rPr>
                <w:rFonts w:ascii="Times New Roman" w:hAnsi="Times New Roman"/>
                <w:sz w:val="24"/>
              </w:rPr>
              <w:t>Keahlian</w:t>
            </w:r>
          </w:p>
        </w:tc>
        <w:tc>
          <w:tcPr>
            <w:tcW w:type="dxa" w:w="1984"/>
          </w:tcPr>
          <w:p>
            <w:pPr>
              <w:spacing w:after="40" w:line="240" w:lineRule="auto"/>
            </w:pPr>
            <w:r>
              <w:rPr>
                <w:rFonts w:ascii="Times New Roman" w:hAnsi="Times New Roman"/>
                <w:sz w:val="24"/>
              </w:rPr>
              <w:t>Informasi yang disampaikan influencer acuan saya berkualitas dan dapat dipertanggungjawabkan.</w:t>
            </w:r>
          </w:p>
        </w:tc>
        <w:tc>
          <w:tcPr>
            <w:tcW w:type="dxa" w:w="1984"/>
          </w:tcPr>
          <w:p>
            <w:pPr>
              <w:spacing w:after="40" w:line="240" w:lineRule="auto"/>
            </w:pPr>
            <w:r>
              <w:rPr>
                <w:rFonts w:ascii="Times New Roman" w:hAnsi="Times New Roman"/>
                <w:sz w:val="24"/>
              </w:rPr>
              <w:t>Lou dan Yuan (2019)</w:t>
            </w:r>
          </w:p>
        </w:tc>
      </w:tr>
      <w:tr>
        <w:tc>
          <w:tcPr>
            <w:tcW w:type="dxa" w:w="1984"/>
          </w:tcPr>
          <w:p>
            <w:pPr>
              <w:spacing w:after="40" w:line="240" w:lineRule="auto"/>
            </w:pPr>
            <w:r>
              <w:rPr>
                <w:rFonts w:ascii="Times New Roman" w:hAnsi="Times New Roman"/>
                <w:sz w:val="24"/>
              </w:rPr>
              <w:t>KI4</w:t>
            </w:r>
          </w:p>
        </w:tc>
        <w:tc>
          <w:tcPr>
            <w:tcW w:type="dxa" w:w="1984"/>
          </w:tcPr>
          <w:p>
            <w:pPr>
              <w:spacing w:after="40" w:line="240" w:lineRule="auto"/>
            </w:pPr>
            <w:r>
              <w:rPr>
                <w:rFonts w:ascii="Times New Roman" w:hAnsi="Times New Roman"/>
                <w:sz w:val="24"/>
              </w:rPr>
              <w:t>Kepercayaan</w:t>
            </w:r>
          </w:p>
        </w:tc>
        <w:tc>
          <w:tcPr>
            <w:tcW w:type="dxa" w:w="1984"/>
          </w:tcPr>
          <w:p>
            <w:pPr>
              <w:spacing w:after="40" w:line="240" w:lineRule="auto"/>
            </w:pPr>
            <w:r>
              <w:rPr>
                <w:rFonts w:ascii="Times New Roman" w:hAnsi="Times New Roman"/>
                <w:sz w:val="24"/>
              </w:rPr>
              <w:t>Influencer acuan saya memberikan opini secara jujur.</w:t>
            </w:r>
          </w:p>
        </w:tc>
        <w:tc>
          <w:tcPr>
            <w:tcW w:type="dxa" w:w="1984"/>
          </w:tcPr>
          <w:p>
            <w:pPr>
              <w:spacing w:after="40" w:line="240" w:lineRule="auto"/>
            </w:pPr>
            <w:r>
              <w:rPr>
                <w:rFonts w:ascii="Times New Roman" w:hAnsi="Times New Roman"/>
                <w:sz w:val="24"/>
              </w:rPr>
              <w:t>Ohanian (1990)</w:t>
            </w:r>
          </w:p>
        </w:tc>
      </w:tr>
      <w:tr>
        <w:tc>
          <w:tcPr>
            <w:tcW w:type="dxa" w:w="1984"/>
          </w:tcPr>
          <w:p>
            <w:pPr>
              <w:spacing w:after="40" w:line="240" w:lineRule="auto"/>
            </w:pPr>
            <w:r>
              <w:rPr>
                <w:rFonts w:ascii="Times New Roman" w:hAnsi="Times New Roman"/>
                <w:sz w:val="24"/>
              </w:rPr>
              <w:t>KI5</w:t>
            </w:r>
          </w:p>
        </w:tc>
        <w:tc>
          <w:tcPr>
            <w:tcW w:type="dxa" w:w="1984"/>
          </w:tcPr>
          <w:p>
            <w:pPr>
              <w:spacing w:after="40" w:line="240" w:lineRule="auto"/>
            </w:pPr>
            <w:r>
              <w:rPr>
                <w:rFonts w:ascii="Times New Roman" w:hAnsi="Times New Roman"/>
                <w:sz w:val="24"/>
              </w:rPr>
              <w:t>Kepercayaan</w:t>
            </w:r>
          </w:p>
        </w:tc>
        <w:tc>
          <w:tcPr>
            <w:tcW w:type="dxa" w:w="1984"/>
          </w:tcPr>
          <w:p>
            <w:pPr>
              <w:spacing w:after="40" w:line="240" w:lineRule="auto"/>
            </w:pPr>
            <w:r>
              <w:rPr>
                <w:rFonts w:ascii="Times New Roman" w:hAnsi="Times New Roman"/>
                <w:sz w:val="24"/>
              </w:rPr>
              <w:t>Influencer acuan saya transparan mengenai kerja samanya dengan merek.</w:t>
            </w:r>
          </w:p>
        </w:tc>
        <w:tc>
          <w:tcPr>
            <w:tcW w:type="dxa" w:w="1984"/>
          </w:tcPr>
          <w:p>
            <w:pPr>
              <w:spacing w:after="40" w:line="240" w:lineRule="auto"/>
            </w:pPr>
            <w:r>
              <w:rPr>
                <w:rFonts w:ascii="Times New Roman" w:hAnsi="Times New Roman"/>
                <w:sz w:val="24"/>
              </w:rPr>
              <w:t>Lou dan Yuan (2019)</w:t>
            </w:r>
          </w:p>
        </w:tc>
      </w:tr>
      <w:tr>
        <w:tc>
          <w:tcPr>
            <w:tcW w:type="dxa" w:w="1984"/>
          </w:tcPr>
          <w:p>
            <w:pPr>
              <w:spacing w:after="40" w:line="240" w:lineRule="auto"/>
            </w:pPr>
            <w:r>
              <w:rPr>
                <w:rFonts w:ascii="Times New Roman" w:hAnsi="Times New Roman"/>
                <w:sz w:val="24"/>
              </w:rPr>
              <w:t>KI6</w:t>
            </w:r>
          </w:p>
        </w:tc>
        <w:tc>
          <w:tcPr>
            <w:tcW w:type="dxa" w:w="1984"/>
          </w:tcPr>
          <w:p>
            <w:pPr>
              <w:spacing w:after="40" w:line="240" w:lineRule="auto"/>
            </w:pPr>
            <w:r>
              <w:rPr>
                <w:rFonts w:ascii="Times New Roman" w:hAnsi="Times New Roman"/>
                <w:sz w:val="24"/>
              </w:rPr>
              <w:t>Kepercayaan</w:t>
            </w:r>
          </w:p>
        </w:tc>
        <w:tc>
          <w:tcPr>
            <w:tcW w:type="dxa" w:w="1984"/>
          </w:tcPr>
          <w:p>
            <w:pPr>
              <w:spacing w:after="40" w:line="240" w:lineRule="auto"/>
            </w:pPr>
            <w:r>
              <w:rPr>
                <w:rFonts w:ascii="Times New Roman" w:hAnsi="Times New Roman"/>
                <w:sz w:val="24"/>
              </w:rPr>
              <w:t>Saya percaya rekomendasi influencer acuan saya tidak menyesatkan.</w:t>
            </w:r>
          </w:p>
        </w:tc>
        <w:tc>
          <w:tcPr>
            <w:tcW w:type="dxa" w:w="1984"/>
          </w:tcPr>
          <w:p>
            <w:pPr>
              <w:spacing w:after="40" w:line="240" w:lineRule="auto"/>
            </w:pPr>
            <w:r>
              <w:rPr>
                <w:rFonts w:ascii="Times New Roman" w:hAnsi="Times New Roman"/>
                <w:sz w:val="24"/>
              </w:rPr>
              <w:t>Ohanian (1990)</w:t>
            </w:r>
          </w:p>
        </w:tc>
      </w:tr>
      <w:tr>
        <w:tc>
          <w:tcPr>
            <w:tcW w:type="dxa" w:w="1984"/>
          </w:tcPr>
          <w:p>
            <w:pPr>
              <w:spacing w:after="40" w:line="240" w:lineRule="auto"/>
            </w:pPr>
            <w:r>
              <w:rPr>
                <w:rFonts w:ascii="Times New Roman" w:hAnsi="Times New Roman"/>
                <w:sz w:val="24"/>
              </w:rPr>
              <w:t>KI7</w:t>
            </w:r>
          </w:p>
        </w:tc>
        <w:tc>
          <w:tcPr>
            <w:tcW w:type="dxa" w:w="1984"/>
          </w:tcPr>
          <w:p>
            <w:pPr>
              <w:spacing w:after="40" w:line="240" w:lineRule="auto"/>
            </w:pPr>
            <w:r>
              <w:rPr>
                <w:rFonts w:ascii="Times New Roman" w:hAnsi="Times New Roman"/>
                <w:sz w:val="24"/>
              </w:rPr>
              <w:t>Daya Tarik</w:t>
            </w:r>
          </w:p>
        </w:tc>
        <w:tc>
          <w:tcPr>
            <w:tcW w:type="dxa" w:w="1984"/>
          </w:tcPr>
          <w:p>
            <w:pPr>
              <w:spacing w:after="40" w:line="240" w:lineRule="auto"/>
            </w:pPr>
            <w:r>
              <w:rPr>
                <w:rFonts w:ascii="Times New Roman" w:hAnsi="Times New Roman"/>
                <w:sz w:val="24"/>
              </w:rPr>
              <w:t>Gaya komunikasi influencer acuan saya menarik.</w:t>
            </w:r>
          </w:p>
        </w:tc>
        <w:tc>
          <w:tcPr>
            <w:tcW w:type="dxa" w:w="1984"/>
          </w:tcPr>
          <w:p>
            <w:pPr>
              <w:spacing w:after="40" w:line="240" w:lineRule="auto"/>
            </w:pPr>
            <w:r>
              <w:rPr>
                <w:rFonts w:ascii="Times New Roman" w:hAnsi="Times New Roman"/>
                <w:sz w:val="24"/>
              </w:rPr>
              <w:t>Ohanian (1990)</w:t>
            </w:r>
          </w:p>
        </w:tc>
      </w:tr>
      <w:tr>
        <w:tc>
          <w:tcPr>
            <w:tcW w:type="dxa" w:w="1984"/>
          </w:tcPr>
          <w:p>
            <w:pPr>
              <w:spacing w:after="40" w:line="240" w:lineRule="auto"/>
            </w:pPr>
            <w:r>
              <w:rPr>
                <w:rFonts w:ascii="Times New Roman" w:hAnsi="Times New Roman"/>
                <w:sz w:val="24"/>
              </w:rPr>
              <w:t>KI8</w:t>
            </w:r>
          </w:p>
        </w:tc>
        <w:tc>
          <w:tcPr>
            <w:tcW w:type="dxa" w:w="1984"/>
          </w:tcPr>
          <w:p>
            <w:pPr>
              <w:spacing w:after="40" w:line="240" w:lineRule="auto"/>
            </w:pPr>
            <w:r>
              <w:rPr>
                <w:rFonts w:ascii="Times New Roman" w:hAnsi="Times New Roman"/>
                <w:sz w:val="24"/>
              </w:rPr>
              <w:t>Daya Tarik</w:t>
            </w:r>
          </w:p>
        </w:tc>
        <w:tc>
          <w:tcPr>
            <w:tcW w:type="dxa" w:w="1984"/>
          </w:tcPr>
          <w:p>
            <w:pPr>
              <w:spacing w:after="40" w:line="240" w:lineRule="auto"/>
            </w:pPr>
            <w:r>
              <w:rPr>
                <w:rFonts w:ascii="Times New Roman" w:hAnsi="Times New Roman"/>
                <w:sz w:val="24"/>
              </w:rPr>
              <w:t>Kepribadian influencer acuan saya menyenangkan.</w:t>
            </w:r>
          </w:p>
        </w:tc>
        <w:tc>
          <w:tcPr>
            <w:tcW w:type="dxa" w:w="1984"/>
          </w:tcPr>
          <w:p>
            <w:pPr>
              <w:spacing w:after="40" w:line="240" w:lineRule="auto"/>
            </w:pPr>
            <w:r>
              <w:rPr>
                <w:rFonts w:ascii="Times New Roman" w:hAnsi="Times New Roman"/>
                <w:sz w:val="24"/>
              </w:rPr>
              <w:t>Ohanian (1990)</w:t>
            </w:r>
          </w:p>
        </w:tc>
      </w:tr>
      <w:tr>
        <w:tc>
          <w:tcPr>
            <w:tcW w:type="dxa" w:w="1984"/>
          </w:tcPr>
          <w:p>
            <w:pPr>
              <w:spacing w:after="40" w:line="240" w:lineRule="auto"/>
            </w:pPr>
            <w:r>
              <w:rPr>
                <w:rFonts w:ascii="Times New Roman" w:hAnsi="Times New Roman"/>
                <w:sz w:val="24"/>
              </w:rPr>
              <w:t>KI9</w:t>
            </w:r>
          </w:p>
        </w:tc>
        <w:tc>
          <w:tcPr>
            <w:tcW w:type="dxa" w:w="1984"/>
          </w:tcPr>
          <w:p>
            <w:pPr>
              <w:spacing w:after="40" w:line="240" w:lineRule="auto"/>
            </w:pPr>
            <w:r>
              <w:rPr>
                <w:rFonts w:ascii="Times New Roman" w:hAnsi="Times New Roman"/>
                <w:sz w:val="24"/>
              </w:rPr>
              <w:t>Daya Tarik</w:t>
            </w:r>
          </w:p>
        </w:tc>
        <w:tc>
          <w:tcPr>
            <w:tcW w:type="dxa" w:w="1984"/>
          </w:tcPr>
          <w:p>
            <w:pPr>
              <w:spacing w:after="40" w:line="240" w:lineRule="auto"/>
            </w:pPr>
            <w:r>
              <w:rPr>
                <w:rFonts w:ascii="Times New Roman" w:hAnsi="Times New Roman"/>
                <w:sz w:val="24"/>
              </w:rPr>
              <w:t>Influencer acuan saya memiliki kesamaan nilai dengan saya.</w:t>
            </w:r>
          </w:p>
        </w:tc>
        <w:tc>
          <w:tcPr>
            <w:tcW w:type="dxa" w:w="1984"/>
          </w:tcPr>
          <w:p>
            <w:pPr>
              <w:spacing w:after="40" w:line="240" w:lineRule="auto"/>
            </w:pPr>
            <w:r>
              <w:rPr>
                <w:rFonts w:ascii="Times New Roman" w:hAnsi="Times New Roman"/>
                <w:sz w:val="24"/>
              </w:rPr>
              <w:t>Ohanian (1990); Lou dan Yuan (2019)</w:t>
            </w:r>
          </w:p>
        </w:tc>
      </w:tr>
      <w:tr>
        <w:tc>
          <w:tcPr>
            <w:tcW w:type="dxa" w:w="1984"/>
          </w:tcPr>
          <w:p>
            <w:pPr>
              <w:spacing w:after="40" w:line="240" w:lineRule="auto"/>
            </w:pPr>
            <w:r>
              <w:rPr>
                <w:rFonts w:ascii="Times New Roman" w:hAnsi="Times New Roman"/>
                <w:sz w:val="24"/>
              </w:rPr>
              <w:t>HP1</w:t>
            </w:r>
          </w:p>
        </w:tc>
        <w:tc>
          <w:tcPr>
            <w:tcW w:type="dxa" w:w="1984"/>
          </w:tcPr>
          <w:p>
            <w:pPr>
              <w:spacing w:after="40" w:line="240" w:lineRule="auto"/>
            </w:pPr>
            <w:r>
              <w:rPr>
                <w:rFonts w:ascii="Times New Roman" w:hAnsi="Times New Roman"/>
                <w:sz w:val="24"/>
              </w:rPr>
              <w:t>Persepsi Pertemanan</w:t>
            </w:r>
          </w:p>
        </w:tc>
        <w:tc>
          <w:tcPr>
            <w:tcW w:type="dxa" w:w="1984"/>
          </w:tcPr>
          <w:p>
            <w:pPr>
              <w:spacing w:after="40" w:line="240" w:lineRule="auto"/>
            </w:pPr>
            <w:r>
              <w:rPr>
                <w:rFonts w:ascii="Times New Roman" w:hAnsi="Times New Roman"/>
                <w:sz w:val="24"/>
              </w:rPr>
              <w:t>Saya merasa influencer acuan saya seperti teman sendiri.</w:t>
            </w:r>
          </w:p>
        </w:tc>
        <w:tc>
          <w:tcPr>
            <w:tcW w:type="dxa" w:w="1984"/>
          </w:tcPr>
          <w:p>
            <w:pPr>
              <w:spacing w:after="40" w:line="240" w:lineRule="auto"/>
            </w:pPr>
            <w:r>
              <w:rPr>
                <w:rFonts w:ascii="Times New Roman" w:hAnsi="Times New Roman"/>
                <w:sz w:val="24"/>
              </w:rPr>
              <w:t>Dibble et al. (2016)</w:t>
            </w:r>
          </w:p>
        </w:tc>
      </w:tr>
      <w:tr>
        <w:tc>
          <w:tcPr>
            <w:tcW w:type="dxa" w:w="1984"/>
          </w:tcPr>
          <w:p>
            <w:pPr>
              <w:spacing w:after="40" w:line="240" w:lineRule="auto"/>
            </w:pPr>
            <w:r>
              <w:rPr>
                <w:rFonts w:ascii="Times New Roman" w:hAnsi="Times New Roman"/>
                <w:sz w:val="24"/>
              </w:rPr>
              <w:t>HP2</w:t>
            </w:r>
          </w:p>
        </w:tc>
        <w:tc>
          <w:tcPr>
            <w:tcW w:type="dxa" w:w="1984"/>
          </w:tcPr>
          <w:p>
            <w:pPr>
              <w:spacing w:after="40" w:line="240" w:lineRule="auto"/>
            </w:pPr>
            <w:r>
              <w:rPr>
                <w:rFonts w:ascii="Times New Roman" w:hAnsi="Times New Roman"/>
                <w:sz w:val="24"/>
              </w:rPr>
              <w:t>Persepsi Pertemanan</w:t>
            </w:r>
          </w:p>
        </w:tc>
        <w:tc>
          <w:tcPr>
            <w:tcW w:type="dxa" w:w="1984"/>
          </w:tcPr>
          <w:p>
            <w:pPr>
              <w:spacing w:after="40" w:line="240" w:lineRule="auto"/>
            </w:pPr>
            <w:r>
              <w:rPr>
                <w:rFonts w:ascii="Times New Roman" w:hAnsi="Times New Roman"/>
                <w:sz w:val="24"/>
              </w:rPr>
              <w:t>Saya merasa mengenal kepribadian influencer acuan saya.</w:t>
            </w:r>
          </w:p>
        </w:tc>
        <w:tc>
          <w:tcPr>
            <w:tcW w:type="dxa" w:w="1984"/>
          </w:tcPr>
          <w:p>
            <w:pPr>
              <w:spacing w:after="40" w:line="240" w:lineRule="auto"/>
            </w:pPr>
            <w:r>
              <w:rPr>
                <w:rFonts w:ascii="Times New Roman" w:hAnsi="Times New Roman"/>
                <w:sz w:val="24"/>
              </w:rPr>
              <w:t>Dibble et al. (2016)</w:t>
            </w:r>
          </w:p>
        </w:tc>
      </w:tr>
      <w:tr>
        <w:tc>
          <w:tcPr>
            <w:tcW w:type="dxa" w:w="1984"/>
          </w:tcPr>
          <w:p>
            <w:pPr>
              <w:spacing w:after="40" w:line="240" w:lineRule="auto"/>
            </w:pPr>
            <w:r>
              <w:rPr>
                <w:rFonts w:ascii="Times New Roman" w:hAnsi="Times New Roman"/>
                <w:sz w:val="24"/>
              </w:rPr>
              <w:t>HP3</w:t>
            </w:r>
          </w:p>
        </w:tc>
        <w:tc>
          <w:tcPr>
            <w:tcW w:type="dxa" w:w="1984"/>
          </w:tcPr>
          <w:p>
            <w:pPr>
              <w:spacing w:after="40" w:line="240" w:lineRule="auto"/>
            </w:pPr>
            <w:r>
              <w:rPr>
                <w:rFonts w:ascii="Times New Roman" w:hAnsi="Times New Roman"/>
                <w:sz w:val="24"/>
              </w:rPr>
              <w:t>Persepsi Pertemanan</w:t>
            </w:r>
          </w:p>
        </w:tc>
        <w:tc>
          <w:tcPr>
            <w:tcW w:type="dxa" w:w="1984"/>
          </w:tcPr>
          <w:p>
            <w:pPr>
              <w:spacing w:after="40" w:line="240" w:lineRule="auto"/>
            </w:pPr>
            <w:r>
              <w:rPr>
                <w:rFonts w:ascii="Times New Roman" w:hAnsi="Times New Roman"/>
                <w:sz w:val="24"/>
              </w:rPr>
              <w:t>Saya merasa nyaman ketika menyimak konten influencer acuan saya.</w:t>
            </w:r>
          </w:p>
        </w:tc>
        <w:tc>
          <w:tcPr>
            <w:tcW w:type="dxa" w:w="1984"/>
          </w:tcPr>
          <w:p>
            <w:pPr>
              <w:spacing w:after="40" w:line="240" w:lineRule="auto"/>
            </w:pPr>
            <w:r>
              <w:rPr>
                <w:rFonts w:ascii="Times New Roman" w:hAnsi="Times New Roman"/>
                <w:sz w:val="24"/>
              </w:rPr>
              <w:t>Horton dan Wohl (1956); Dibble et al. (2016)</w:t>
            </w:r>
          </w:p>
        </w:tc>
      </w:tr>
      <w:tr>
        <w:tc>
          <w:tcPr>
            <w:tcW w:type="dxa" w:w="1984"/>
          </w:tcPr>
          <w:p>
            <w:pPr>
              <w:spacing w:after="40" w:line="240" w:lineRule="auto"/>
            </w:pPr>
            <w:r>
              <w:rPr>
                <w:rFonts w:ascii="Times New Roman" w:hAnsi="Times New Roman"/>
                <w:sz w:val="24"/>
              </w:rPr>
              <w:t>HP4</w:t>
            </w:r>
          </w:p>
        </w:tc>
        <w:tc>
          <w:tcPr>
            <w:tcW w:type="dxa" w:w="1984"/>
          </w:tcPr>
          <w:p>
            <w:pPr>
              <w:spacing w:after="40" w:line="240" w:lineRule="auto"/>
            </w:pPr>
            <w:r>
              <w:rPr>
                <w:rFonts w:ascii="Times New Roman" w:hAnsi="Times New Roman"/>
                <w:sz w:val="24"/>
              </w:rPr>
              <w:t>Keterikatan Emosional</w:t>
            </w:r>
          </w:p>
        </w:tc>
        <w:tc>
          <w:tcPr>
            <w:tcW w:type="dxa" w:w="1984"/>
          </w:tcPr>
          <w:p>
            <w:pPr>
              <w:spacing w:after="40" w:line="240" w:lineRule="auto"/>
            </w:pPr>
            <w:r>
              <w:rPr>
                <w:rFonts w:ascii="Times New Roman" w:hAnsi="Times New Roman"/>
                <w:sz w:val="24"/>
              </w:rPr>
              <w:t>Saya merasa dekat secara emosional dengan influencer acuan saya.</w:t>
            </w:r>
          </w:p>
        </w:tc>
        <w:tc>
          <w:tcPr>
            <w:tcW w:type="dxa" w:w="1984"/>
          </w:tcPr>
          <w:p>
            <w:pPr>
              <w:spacing w:after="40" w:line="240" w:lineRule="auto"/>
            </w:pPr>
            <w:r>
              <w:rPr>
                <w:rFonts w:ascii="Times New Roman" w:hAnsi="Times New Roman"/>
                <w:sz w:val="24"/>
              </w:rPr>
              <w:t>Dibble et al. (2016)</w:t>
            </w:r>
          </w:p>
        </w:tc>
      </w:tr>
      <w:tr>
        <w:tc>
          <w:tcPr>
            <w:tcW w:type="dxa" w:w="1984"/>
          </w:tcPr>
          <w:p>
            <w:pPr>
              <w:spacing w:after="40" w:line="240" w:lineRule="auto"/>
            </w:pPr>
            <w:r>
              <w:rPr>
                <w:rFonts w:ascii="Times New Roman" w:hAnsi="Times New Roman"/>
                <w:sz w:val="24"/>
              </w:rPr>
              <w:t>HP5</w:t>
            </w:r>
          </w:p>
        </w:tc>
        <w:tc>
          <w:tcPr>
            <w:tcW w:type="dxa" w:w="1984"/>
          </w:tcPr>
          <w:p>
            <w:pPr>
              <w:spacing w:after="40" w:line="240" w:lineRule="auto"/>
            </w:pPr>
            <w:r>
              <w:rPr>
                <w:rFonts w:ascii="Times New Roman" w:hAnsi="Times New Roman"/>
                <w:sz w:val="24"/>
              </w:rPr>
              <w:t>Keterikatan Emosional</w:t>
            </w:r>
          </w:p>
        </w:tc>
        <w:tc>
          <w:tcPr>
            <w:tcW w:type="dxa" w:w="1984"/>
          </w:tcPr>
          <w:p>
            <w:pPr>
              <w:spacing w:after="40" w:line="240" w:lineRule="auto"/>
            </w:pPr>
            <w:r>
              <w:rPr>
                <w:rFonts w:ascii="Times New Roman" w:hAnsi="Times New Roman"/>
                <w:sz w:val="24"/>
              </w:rPr>
              <w:t>Saya merasa rindu apabila influencer acuan saya lama tidak mengunggah konten.</w:t>
            </w:r>
          </w:p>
        </w:tc>
        <w:tc>
          <w:tcPr>
            <w:tcW w:type="dxa" w:w="1984"/>
          </w:tcPr>
          <w:p>
            <w:pPr>
              <w:spacing w:after="40" w:line="240" w:lineRule="auto"/>
            </w:pPr>
            <w:r>
              <w:rPr>
                <w:rFonts w:ascii="Times New Roman" w:hAnsi="Times New Roman"/>
                <w:sz w:val="24"/>
              </w:rPr>
              <w:t>Dibble et al. (2016)</w:t>
            </w:r>
          </w:p>
        </w:tc>
      </w:tr>
      <w:tr>
        <w:tc>
          <w:tcPr>
            <w:tcW w:type="dxa" w:w="1984"/>
          </w:tcPr>
          <w:p>
            <w:pPr>
              <w:spacing w:after="40" w:line="240" w:lineRule="auto"/>
            </w:pPr>
            <w:r>
              <w:rPr>
                <w:rFonts w:ascii="Times New Roman" w:hAnsi="Times New Roman"/>
                <w:sz w:val="24"/>
              </w:rPr>
              <w:t>HP6</w:t>
            </w:r>
          </w:p>
        </w:tc>
        <w:tc>
          <w:tcPr>
            <w:tcW w:type="dxa" w:w="1984"/>
          </w:tcPr>
          <w:p>
            <w:pPr>
              <w:spacing w:after="40" w:line="240" w:lineRule="auto"/>
            </w:pPr>
            <w:r>
              <w:rPr>
                <w:rFonts w:ascii="Times New Roman" w:hAnsi="Times New Roman"/>
                <w:sz w:val="24"/>
              </w:rPr>
              <w:t>Keterikatan Emosional</w:t>
            </w:r>
          </w:p>
        </w:tc>
        <w:tc>
          <w:tcPr>
            <w:tcW w:type="dxa" w:w="1984"/>
          </w:tcPr>
          <w:p>
            <w:pPr>
              <w:spacing w:after="40" w:line="240" w:lineRule="auto"/>
            </w:pPr>
            <w:r>
              <w:rPr>
                <w:rFonts w:ascii="Times New Roman" w:hAnsi="Times New Roman"/>
                <w:sz w:val="24"/>
              </w:rPr>
              <w:t>Konten influencer acuan saya menjadi bagian penting dalam rutinitas harian saya.</w:t>
            </w:r>
          </w:p>
        </w:tc>
        <w:tc>
          <w:tcPr>
            <w:tcW w:type="dxa" w:w="1984"/>
          </w:tcPr>
          <w:p>
            <w:pPr>
              <w:spacing w:after="40" w:line="240" w:lineRule="auto"/>
            </w:pPr>
            <w:r>
              <w:rPr>
                <w:rFonts w:ascii="Times New Roman" w:hAnsi="Times New Roman"/>
                <w:sz w:val="24"/>
              </w:rPr>
              <w:t>Dibble et al. (2016)</w:t>
            </w:r>
          </w:p>
        </w:tc>
      </w:tr>
      <w:tr>
        <w:tc>
          <w:tcPr>
            <w:tcW w:type="dxa" w:w="1984"/>
          </w:tcPr>
          <w:p>
            <w:pPr>
              <w:spacing w:after="40" w:line="240" w:lineRule="auto"/>
            </w:pPr>
            <w:r>
              <w:rPr>
                <w:rFonts w:ascii="Times New Roman" w:hAnsi="Times New Roman"/>
                <w:sz w:val="24"/>
              </w:rPr>
              <w:t>HP7</w:t>
            </w:r>
          </w:p>
        </w:tc>
        <w:tc>
          <w:tcPr>
            <w:tcW w:type="dxa" w:w="1984"/>
          </w:tcPr>
          <w:p>
            <w:pPr>
              <w:spacing w:after="40" w:line="240" w:lineRule="auto"/>
            </w:pPr>
            <w:r>
              <w:rPr>
                <w:rFonts w:ascii="Times New Roman" w:hAnsi="Times New Roman"/>
                <w:sz w:val="24"/>
              </w:rPr>
              <w:t>Pemahaman dan Identifikasi</w:t>
            </w:r>
          </w:p>
        </w:tc>
        <w:tc>
          <w:tcPr>
            <w:tcW w:type="dxa" w:w="1984"/>
          </w:tcPr>
          <w:p>
            <w:pPr>
              <w:spacing w:after="40" w:line="240" w:lineRule="auto"/>
            </w:pPr>
            <w:r>
              <w:rPr>
                <w:rFonts w:ascii="Times New Roman" w:hAnsi="Times New Roman"/>
                <w:sz w:val="24"/>
              </w:rPr>
              <w:t>Saya dapat memahami cara berpikir influencer acuan saya.</w:t>
            </w:r>
          </w:p>
        </w:tc>
        <w:tc>
          <w:tcPr>
            <w:tcW w:type="dxa" w:w="1984"/>
          </w:tcPr>
          <w:p>
            <w:pPr>
              <w:spacing w:after="40" w:line="240" w:lineRule="auto"/>
            </w:pPr>
            <w:r>
              <w:rPr>
                <w:rFonts w:ascii="Times New Roman" w:hAnsi="Times New Roman"/>
                <w:sz w:val="24"/>
              </w:rPr>
              <w:t>Dibble et al. (2016)</w:t>
            </w:r>
          </w:p>
        </w:tc>
      </w:tr>
      <w:tr>
        <w:tc>
          <w:tcPr>
            <w:tcW w:type="dxa" w:w="1984"/>
          </w:tcPr>
          <w:p>
            <w:pPr>
              <w:spacing w:after="40" w:line="240" w:lineRule="auto"/>
            </w:pPr>
            <w:r>
              <w:rPr>
                <w:rFonts w:ascii="Times New Roman" w:hAnsi="Times New Roman"/>
                <w:sz w:val="24"/>
              </w:rPr>
              <w:t>HP8</w:t>
            </w:r>
          </w:p>
        </w:tc>
        <w:tc>
          <w:tcPr>
            <w:tcW w:type="dxa" w:w="1984"/>
          </w:tcPr>
          <w:p>
            <w:pPr>
              <w:spacing w:after="40" w:line="240" w:lineRule="auto"/>
            </w:pPr>
            <w:r>
              <w:rPr>
                <w:rFonts w:ascii="Times New Roman" w:hAnsi="Times New Roman"/>
                <w:sz w:val="24"/>
              </w:rPr>
              <w:t>Pemahaman dan Identifikasi</w:t>
            </w:r>
          </w:p>
        </w:tc>
        <w:tc>
          <w:tcPr>
            <w:tcW w:type="dxa" w:w="1984"/>
          </w:tcPr>
          <w:p>
            <w:pPr>
              <w:spacing w:after="40" w:line="240" w:lineRule="auto"/>
            </w:pPr>
            <w:r>
              <w:rPr>
                <w:rFonts w:ascii="Times New Roman" w:hAnsi="Times New Roman"/>
                <w:sz w:val="24"/>
              </w:rPr>
              <w:t>Saya dapat memprediksi pendapat influencer acuan saya mengenai suatu isu.</w:t>
            </w:r>
          </w:p>
        </w:tc>
        <w:tc>
          <w:tcPr>
            <w:tcW w:type="dxa" w:w="1984"/>
          </w:tcPr>
          <w:p>
            <w:pPr>
              <w:spacing w:after="40" w:line="240" w:lineRule="auto"/>
            </w:pPr>
            <w:r>
              <w:rPr>
                <w:rFonts w:ascii="Times New Roman" w:hAnsi="Times New Roman"/>
                <w:sz w:val="24"/>
              </w:rPr>
              <w:t>Dibble et al. (2016)</w:t>
            </w:r>
          </w:p>
        </w:tc>
      </w:tr>
      <w:tr>
        <w:tc>
          <w:tcPr>
            <w:tcW w:type="dxa" w:w="1984"/>
          </w:tcPr>
          <w:p>
            <w:pPr>
              <w:spacing w:after="40" w:line="240" w:lineRule="auto"/>
            </w:pPr>
            <w:r>
              <w:rPr>
                <w:rFonts w:ascii="Times New Roman" w:hAnsi="Times New Roman"/>
                <w:sz w:val="24"/>
              </w:rPr>
              <w:t>HP9</w:t>
            </w:r>
          </w:p>
        </w:tc>
        <w:tc>
          <w:tcPr>
            <w:tcW w:type="dxa" w:w="1984"/>
          </w:tcPr>
          <w:p>
            <w:pPr>
              <w:spacing w:after="40" w:line="240" w:lineRule="auto"/>
            </w:pPr>
            <w:r>
              <w:rPr>
                <w:rFonts w:ascii="Times New Roman" w:hAnsi="Times New Roman"/>
                <w:sz w:val="24"/>
              </w:rPr>
              <w:t>Pemahaman dan Identifikasi</w:t>
            </w:r>
          </w:p>
        </w:tc>
        <w:tc>
          <w:tcPr>
            <w:tcW w:type="dxa" w:w="1984"/>
          </w:tcPr>
          <w:p>
            <w:pPr>
              <w:spacing w:after="40" w:line="240" w:lineRule="auto"/>
            </w:pPr>
            <w:r>
              <w:rPr>
                <w:rFonts w:ascii="Times New Roman" w:hAnsi="Times New Roman"/>
                <w:sz w:val="24"/>
              </w:rPr>
              <w:t>Saya merasa memiliki kemiripan nilai dengan influencer acuan saya.</w:t>
            </w:r>
          </w:p>
        </w:tc>
        <w:tc>
          <w:tcPr>
            <w:tcW w:type="dxa" w:w="1984"/>
          </w:tcPr>
          <w:p>
            <w:pPr>
              <w:spacing w:after="40" w:line="240" w:lineRule="auto"/>
            </w:pPr>
            <w:r>
              <w:rPr>
                <w:rFonts w:ascii="Times New Roman" w:hAnsi="Times New Roman"/>
                <w:sz w:val="24"/>
              </w:rPr>
              <w:t>Dibble et al. (2016); Ki dan Kim (2019)</w:t>
            </w:r>
          </w:p>
        </w:tc>
      </w:tr>
      <w:tr>
        <w:tc>
          <w:tcPr>
            <w:tcW w:type="dxa" w:w="1984"/>
          </w:tcPr>
          <w:p>
            <w:pPr>
              <w:spacing w:after="40" w:line="240" w:lineRule="auto"/>
            </w:pPr>
            <w:r>
              <w:rPr>
                <w:rFonts w:ascii="Times New Roman" w:hAnsi="Times New Roman"/>
                <w:sz w:val="24"/>
              </w:rPr>
              <w:t>AM1</w:t>
            </w:r>
          </w:p>
        </w:tc>
        <w:tc>
          <w:tcPr>
            <w:tcW w:type="dxa" w:w="1984"/>
          </w:tcPr>
          <w:p>
            <w:pPr>
              <w:spacing w:after="40" w:line="240" w:lineRule="auto"/>
            </w:pPr>
            <w:r>
              <w:rPr>
                <w:rFonts w:ascii="Times New Roman" w:hAnsi="Times New Roman"/>
                <w:sz w:val="24"/>
              </w:rPr>
              <w:t>Kontinuitas</w:t>
            </w:r>
          </w:p>
        </w:tc>
        <w:tc>
          <w:tcPr>
            <w:tcW w:type="dxa" w:w="1984"/>
          </w:tcPr>
          <w:p>
            <w:pPr>
              <w:spacing w:after="40" w:line="240" w:lineRule="auto"/>
            </w:pPr>
            <w:r>
              <w:rPr>
                <w:rFonts w:ascii="Times New Roman" w:hAnsi="Times New Roman"/>
                <w:sz w:val="24"/>
              </w:rPr>
              <w:t>Merek acuan saya konsisten mempertahankan karakter dan nilainya dari waktu ke waktu.</w:t>
            </w:r>
          </w:p>
        </w:tc>
        <w:tc>
          <w:tcPr>
            <w:tcW w:type="dxa" w:w="1984"/>
          </w:tcPr>
          <w:p>
            <w:pPr>
              <w:spacing w:after="40" w:line="240" w:lineRule="auto"/>
            </w:pPr>
            <w:r>
              <w:rPr>
                <w:rFonts w:ascii="Times New Roman" w:hAnsi="Times New Roman"/>
                <w:sz w:val="24"/>
              </w:rPr>
              <w:t>Morhart et al. (2015)</w:t>
            </w:r>
          </w:p>
        </w:tc>
      </w:tr>
      <w:tr>
        <w:tc>
          <w:tcPr>
            <w:tcW w:type="dxa" w:w="1984"/>
          </w:tcPr>
          <w:p>
            <w:pPr>
              <w:spacing w:after="40" w:line="240" w:lineRule="auto"/>
            </w:pPr>
            <w:r>
              <w:rPr>
                <w:rFonts w:ascii="Times New Roman" w:hAnsi="Times New Roman"/>
                <w:sz w:val="24"/>
              </w:rPr>
              <w:t>AM2</w:t>
            </w:r>
          </w:p>
        </w:tc>
        <w:tc>
          <w:tcPr>
            <w:tcW w:type="dxa" w:w="1984"/>
          </w:tcPr>
          <w:p>
            <w:pPr>
              <w:spacing w:after="40" w:line="240" w:lineRule="auto"/>
            </w:pPr>
            <w:r>
              <w:rPr>
                <w:rFonts w:ascii="Times New Roman" w:hAnsi="Times New Roman"/>
                <w:sz w:val="24"/>
              </w:rPr>
              <w:t>Kontinuitas</w:t>
            </w:r>
          </w:p>
        </w:tc>
        <w:tc>
          <w:tcPr>
            <w:tcW w:type="dxa" w:w="1984"/>
          </w:tcPr>
          <w:p>
            <w:pPr>
              <w:spacing w:after="40" w:line="240" w:lineRule="auto"/>
            </w:pPr>
            <w:r>
              <w:rPr>
                <w:rFonts w:ascii="Times New Roman" w:hAnsi="Times New Roman"/>
                <w:sz w:val="24"/>
              </w:rPr>
              <w:t>Merek acuan saya tetap setia pada nilai-nilai yang menjadi warisannya.</w:t>
            </w:r>
          </w:p>
        </w:tc>
        <w:tc>
          <w:tcPr>
            <w:tcW w:type="dxa" w:w="1984"/>
          </w:tcPr>
          <w:p>
            <w:pPr>
              <w:spacing w:after="40" w:line="240" w:lineRule="auto"/>
            </w:pPr>
            <w:r>
              <w:rPr>
                <w:rFonts w:ascii="Times New Roman" w:hAnsi="Times New Roman"/>
                <w:sz w:val="24"/>
              </w:rPr>
              <w:t>Napoli et al. (2014); Morhart et al. (2015)</w:t>
            </w:r>
          </w:p>
        </w:tc>
      </w:tr>
      <w:tr>
        <w:tc>
          <w:tcPr>
            <w:tcW w:type="dxa" w:w="1984"/>
          </w:tcPr>
          <w:p>
            <w:pPr>
              <w:spacing w:after="40" w:line="240" w:lineRule="auto"/>
            </w:pPr>
            <w:r>
              <w:rPr>
                <w:rFonts w:ascii="Times New Roman" w:hAnsi="Times New Roman"/>
                <w:sz w:val="24"/>
              </w:rPr>
              <w:t>AM3</w:t>
            </w:r>
          </w:p>
        </w:tc>
        <w:tc>
          <w:tcPr>
            <w:tcW w:type="dxa" w:w="1984"/>
          </w:tcPr>
          <w:p>
            <w:pPr>
              <w:spacing w:after="40" w:line="240" w:lineRule="auto"/>
            </w:pPr>
            <w:r>
              <w:rPr>
                <w:rFonts w:ascii="Times New Roman" w:hAnsi="Times New Roman"/>
                <w:sz w:val="24"/>
              </w:rPr>
              <w:t>Kontinuitas</w:t>
            </w:r>
          </w:p>
        </w:tc>
        <w:tc>
          <w:tcPr>
            <w:tcW w:type="dxa" w:w="1984"/>
          </w:tcPr>
          <w:p>
            <w:pPr>
              <w:spacing w:after="40" w:line="240" w:lineRule="auto"/>
            </w:pPr>
            <w:r>
              <w:rPr>
                <w:rFonts w:ascii="Times New Roman" w:hAnsi="Times New Roman"/>
                <w:sz w:val="24"/>
              </w:rPr>
              <w:t>Merek acuan saya tidak mudah mengubah identitas demi mengikuti tren sesaat.</w:t>
            </w:r>
          </w:p>
        </w:tc>
        <w:tc>
          <w:tcPr>
            <w:tcW w:type="dxa" w:w="1984"/>
          </w:tcPr>
          <w:p>
            <w:pPr>
              <w:spacing w:after="40" w:line="240" w:lineRule="auto"/>
            </w:pPr>
            <w:r>
              <w:rPr>
                <w:rFonts w:ascii="Times New Roman" w:hAnsi="Times New Roman"/>
                <w:sz w:val="24"/>
              </w:rPr>
              <w:t>Morhart et al. (2015)</w:t>
            </w:r>
          </w:p>
        </w:tc>
      </w:tr>
      <w:tr>
        <w:tc>
          <w:tcPr>
            <w:tcW w:type="dxa" w:w="1984"/>
          </w:tcPr>
          <w:p>
            <w:pPr>
              <w:spacing w:after="40" w:line="240" w:lineRule="auto"/>
            </w:pPr>
            <w:r>
              <w:rPr>
                <w:rFonts w:ascii="Times New Roman" w:hAnsi="Times New Roman"/>
                <w:sz w:val="24"/>
              </w:rPr>
              <w:t>AM4</w:t>
            </w:r>
          </w:p>
        </w:tc>
        <w:tc>
          <w:tcPr>
            <w:tcW w:type="dxa" w:w="1984"/>
          </w:tcPr>
          <w:p>
            <w:pPr>
              <w:spacing w:after="40" w:line="240" w:lineRule="auto"/>
            </w:pPr>
            <w:r>
              <w:rPr>
                <w:rFonts w:ascii="Times New Roman" w:hAnsi="Times New Roman"/>
                <w:sz w:val="24"/>
              </w:rPr>
              <w:t>Kredibilitas Merek</w:t>
            </w:r>
          </w:p>
        </w:tc>
        <w:tc>
          <w:tcPr>
            <w:tcW w:type="dxa" w:w="1984"/>
          </w:tcPr>
          <w:p>
            <w:pPr>
              <w:spacing w:after="40" w:line="240" w:lineRule="auto"/>
            </w:pPr>
            <w:r>
              <w:rPr>
                <w:rFonts w:ascii="Times New Roman" w:hAnsi="Times New Roman"/>
                <w:sz w:val="24"/>
              </w:rPr>
              <w:t>Merek acuan saya menepati janji kualitas yang diiklankannya.</w:t>
            </w:r>
          </w:p>
        </w:tc>
        <w:tc>
          <w:tcPr>
            <w:tcW w:type="dxa" w:w="1984"/>
          </w:tcPr>
          <w:p>
            <w:pPr>
              <w:spacing w:after="40" w:line="240" w:lineRule="auto"/>
            </w:pPr>
            <w:r>
              <w:rPr>
                <w:rFonts w:ascii="Times New Roman" w:hAnsi="Times New Roman"/>
                <w:sz w:val="24"/>
              </w:rPr>
              <w:t>Morhart et al. (2015)</w:t>
            </w:r>
          </w:p>
        </w:tc>
      </w:tr>
      <w:tr>
        <w:tc>
          <w:tcPr>
            <w:tcW w:type="dxa" w:w="1984"/>
          </w:tcPr>
          <w:p>
            <w:pPr>
              <w:spacing w:after="40" w:line="240" w:lineRule="auto"/>
            </w:pPr>
            <w:r>
              <w:rPr>
                <w:rFonts w:ascii="Times New Roman" w:hAnsi="Times New Roman"/>
                <w:sz w:val="24"/>
              </w:rPr>
              <w:t>AM5</w:t>
            </w:r>
          </w:p>
        </w:tc>
        <w:tc>
          <w:tcPr>
            <w:tcW w:type="dxa" w:w="1984"/>
          </w:tcPr>
          <w:p>
            <w:pPr>
              <w:spacing w:after="40" w:line="240" w:lineRule="auto"/>
            </w:pPr>
            <w:r>
              <w:rPr>
                <w:rFonts w:ascii="Times New Roman" w:hAnsi="Times New Roman"/>
                <w:sz w:val="24"/>
              </w:rPr>
              <w:t>Kredibilitas Merek</w:t>
            </w:r>
          </w:p>
        </w:tc>
        <w:tc>
          <w:tcPr>
            <w:tcW w:type="dxa" w:w="1984"/>
          </w:tcPr>
          <w:p>
            <w:pPr>
              <w:spacing w:after="40" w:line="240" w:lineRule="auto"/>
            </w:pPr>
            <w:r>
              <w:rPr>
                <w:rFonts w:ascii="Times New Roman" w:hAnsi="Times New Roman"/>
                <w:sz w:val="24"/>
              </w:rPr>
              <w:t>Merek acuan saya menyampaikan informasi produk secara jujur.</w:t>
            </w:r>
          </w:p>
        </w:tc>
        <w:tc>
          <w:tcPr>
            <w:tcW w:type="dxa" w:w="1984"/>
          </w:tcPr>
          <w:p>
            <w:pPr>
              <w:spacing w:after="40" w:line="240" w:lineRule="auto"/>
            </w:pPr>
            <w:r>
              <w:rPr>
                <w:rFonts w:ascii="Times New Roman" w:hAnsi="Times New Roman"/>
                <w:sz w:val="24"/>
              </w:rPr>
              <w:t>Napoli et al. (2014); Morhart et al. (2015)</w:t>
            </w:r>
          </w:p>
        </w:tc>
      </w:tr>
      <w:tr>
        <w:tc>
          <w:tcPr>
            <w:tcW w:type="dxa" w:w="1984"/>
          </w:tcPr>
          <w:p>
            <w:pPr>
              <w:spacing w:after="40" w:line="240" w:lineRule="auto"/>
            </w:pPr>
            <w:r>
              <w:rPr>
                <w:rFonts w:ascii="Times New Roman" w:hAnsi="Times New Roman"/>
                <w:sz w:val="24"/>
              </w:rPr>
              <w:t>AM6</w:t>
            </w:r>
          </w:p>
        </w:tc>
        <w:tc>
          <w:tcPr>
            <w:tcW w:type="dxa" w:w="1984"/>
          </w:tcPr>
          <w:p>
            <w:pPr>
              <w:spacing w:after="40" w:line="240" w:lineRule="auto"/>
            </w:pPr>
            <w:r>
              <w:rPr>
                <w:rFonts w:ascii="Times New Roman" w:hAnsi="Times New Roman"/>
                <w:sz w:val="24"/>
              </w:rPr>
              <w:t>Kredibilitas Merek</w:t>
            </w:r>
          </w:p>
        </w:tc>
        <w:tc>
          <w:tcPr>
            <w:tcW w:type="dxa" w:w="1984"/>
          </w:tcPr>
          <w:p>
            <w:pPr>
              <w:spacing w:after="40" w:line="240" w:lineRule="auto"/>
            </w:pPr>
            <w:r>
              <w:rPr>
                <w:rFonts w:ascii="Times New Roman" w:hAnsi="Times New Roman"/>
                <w:sz w:val="24"/>
              </w:rPr>
              <w:t>Merek acuan saya tidak pernah mengecewakan ekspektasi saya.</w:t>
            </w:r>
          </w:p>
        </w:tc>
        <w:tc>
          <w:tcPr>
            <w:tcW w:type="dxa" w:w="1984"/>
          </w:tcPr>
          <w:p>
            <w:pPr>
              <w:spacing w:after="40" w:line="240" w:lineRule="auto"/>
            </w:pPr>
            <w:r>
              <w:rPr>
                <w:rFonts w:ascii="Times New Roman" w:hAnsi="Times New Roman"/>
                <w:sz w:val="24"/>
              </w:rPr>
              <w:t>Morhart et al. (2015)</w:t>
            </w:r>
          </w:p>
        </w:tc>
      </w:tr>
      <w:tr>
        <w:tc>
          <w:tcPr>
            <w:tcW w:type="dxa" w:w="1984"/>
          </w:tcPr>
          <w:p>
            <w:pPr>
              <w:spacing w:after="40" w:line="240" w:lineRule="auto"/>
            </w:pPr>
            <w:r>
              <w:rPr>
                <w:rFonts w:ascii="Times New Roman" w:hAnsi="Times New Roman"/>
                <w:sz w:val="24"/>
              </w:rPr>
              <w:t>AM7</w:t>
            </w:r>
          </w:p>
        </w:tc>
        <w:tc>
          <w:tcPr>
            <w:tcW w:type="dxa" w:w="1984"/>
          </w:tcPr>
          <w:p>
            <w:pPr>
              <w:spacing w:after="40" w:line="240" w:lineRule="auto"/>
            </w:pPr>
            <w:r>
              <w:rPr>
                <w:rFonts w:ascii="Times New Roman" w:hAnsi="Times New Roman"/>
                <w:sz w:val="24"/>
              </w:rPr>
              <w:t>Integritas</w:t>
            </w:r>
          </w:p>
        </w:tc>
        <w:tc>
          <w:tcPr>
            <w:tcW w:type="dxa" w:w="1984"/>
          </w:tcPr>
          <w:p>
            <w:pPr>
              <w:spacing w:after="40" w:line="240" w:lineRule="auto"/>
            </w:pPr>
            <w:r>
              <w:rPr>
                <w:rFonts w:ascii="Times New Roman" w:hAnsi="Times New Roman"/>
                <w:sz w:val="24"/>
              </w:rPr>
              <w:t>Merek acuan saya bersikap jujur mengenai motif komersialnya.</w:t>
            </w:r>
          </w:p>
        </w:tc>
        <w:tc>
          <w:tcPr>
            <w:tcW w:type="dxa" w:w="1984"/>
          </w:tcPr>
          <w:p>
            <w:pPr>
              <w:spacing w:after="40" w:line="240" w:lineRule="auto"/>
            </w:pPr>
            <w:r>
              <w:rPr>
                <w:rFonts w:ascii="Times New Roman" w:hAnsi="Times New Roman"/>
                <w:sz w:val="24"/>
              </w:rPr>
              <w:t>Morhart et al. (2015)</w:t>
            </w:r>
          </w:p>
        </w:tc>
      </w:tr>
      <w:tr>
        <w:tc>
          <w:tcPr>
            <w:tcW w:type="dxa" w:w="1984"/>
          </w:tcPr>
          <w:p>
            <w:pPr>
              <w:spacing w:after="40" w:line="240" w:lineRule="auto"/>
            </w:pPr>
            <w:r>
              <w:rPr>
                <w:rFonts w:ascii="Times New Roman" w:hAnsi="Times New Roman"/>
                <w:sz w:val="24"/>
              </w:rPr>
              <w:t>AM8</w:t>
            </w:r>
          </w:p>
        </w:tc>
        <w:tc>
          <w:tcPr>
            <w:tcW w:type="dxa" w:w="1984"/>
          </w:tcPr>
          <w:p>
            <w:pPr>
              <w:spacing w:after="40" w:line="240" w:lineRule="auto"/>
            </w:pPr>
            <w:r>
              <w:rPr>
                <w:rFonts w:ascii="Times New Roman" w:hAnsi="Times New Roman"/>
                <w:sz w:val="24"/>
              </w:rPr>
              <w:t>Integritas</w:t>
            </w:r>
          </w:p>
        </w:tc>
        <w:tc>
          <w:tcPr>
            <w:tcW w:type="dxa" w:w="1984"/>
          </w:tcPr>
          <w:p>
            <w:pPr>
              <w:spacing w:after="40" w:line="240" w:lineRule="auto"/>
            </w:pPr>
            <w:r>
              <w:rPr>
                <w:rFonts w:ascii="Times New Roman" w:hAnsi="Times New Roman"/>
                <w:sz w:val="24"/>
              </w:rPr>
              <w:t>Tindakan merek acuan saya selaras dengan pernyataan nilai yang diklaimnya.</w:t>
            </w:r>
          </w:p>
        </w:tc>
        <w:tc>
          <w:tcPr>
            <w:tcW w:type="dxa" w:w="1984"/>
          </w:tcPr>
          <w:p>
            <w:pPr>
              <w:spacing w:after="40" w:line="240" w:lineRule="auto"/>
            </w:pPr>
            <w:r>
              <w:rPr>
                <w:rFonts w:ascii="Times New Roman" w:hAnsi="Times New Roman"/>
                <w:sz w:val="24"/>
              </w:rPr>
              <w:t>Napoli et al. (2014); Morhart et al. (2015)</w:t>
            </w:r>
          </w:p>
        </w:tc>
      </w:tr>
      <w:tr>
        <w:tc>
          <w:tcPr>
            <w:tcW w:type="dxa" w:w="1984"/>
          </w:tcPr>
          <w:p>
            <w:pPr>
              <w:spacing w:after="40" w:line="240" w:lineRule="auto"/>
            </w:pPr>
            <w:r>
              <w:rPr>
                <w:rFonts w:ascii="Times New Roman" w:hAnsi="Times New Roman"/>
                <w:sz w:val="24"/>
              </w:rPr>
              <w:t>AM9</w:t>
            </w:r>
          </w:p>
        </w:tc>
        <w:tc>
          <w:tcPr>
            <w:tcW w:type="dxa" w:w="1984"/>
          </w:tcPr>
          <w:p>
            <w:pPr>
              <w:spacing w:after="40" w:line="240" w:lineRule="auto"/>
            </w:pPr>
            <w:r>
              <w:rPr>
                <w:rFonts w:ascii="Times New Roman" w:hAnsi="Times New Roman"/>
                <w:sz w:val="24"/>
              </w:rPr>
              <w:t>Integritas</w:t>
            </w:r>
          </w:p>
        </w:tc>
        <w:tc>
          <w:tcPr>
            <w:tcW w:type="dxa" w:w="1984"/>
          </w:tcPr>
          <w:p>
            <w:pPr>
              <w:spacing w:after="40" w:line="240" w:lineRule="auto"/>
            </w:pPr>
            <w:r>
              <w:rPr>
                <w:rFonts w:ascii="Times New Roman" w:hAnsi="Times New Roman"/>
                <w:sz w:val="24"/>
              </w:rPr>
              <w:t>Merek acuan saya berkomitmen tidak merugikan konsumen dan lingkungan.</w:t>
            </w:r>
          </w:p>
        </w:tc>
        <w:tc>
          <w:tcPr>
            <w:tcW w:type="dxa" w:w="1984"/>
          </w:tcPr>
          <w:p>
            <w:pPr>
              <w:spacing w:after="40" w:line="240" w:lineRule="auto"/>
            </w:pPr>
            <w:r>
              <w:rPr>
                <w:rFonts w:ascii="Times New Roman" w:hAnsi="Times New Roman"/>
                <w:sz w:val="24"/>
              </w:rPr>
              <w:t>Morhart et al. (2015)</w:t>
            </w:r>
          </w:p>
        </w:tc>
      </w:tr>
      <w:tr>
        <w:tc>
          <w:tcPr>
            <w:tcW w:type="dxa" w:w="1984"/>
          </w:tcPr>
          <w:p>
            <w:pPr>
              <w:spacing w:after="40" w:line="240" w:lineRule="auto"/>
            </w:pPr>
            <w:r>
              <w:rPr>
                <w:rFonts w:ascii="Times New Roman" w:hAnsi="Times New Roman"/>
                <w:sz w:val="24"/>
              </w:rPr>
              <w:t>AM10</w:t>
            </w:r>
          </w:p>
        </w:tc>
        <w:tc>
          <w:tcPr>
            <w:tcW w:type="dxa" w:w="1984"/>
          </w:tcPr>
          <w:p>
            <w:pPr>
              <w:spacing w:after="40" w:line="240" w:lineRule="auto"/>
            </w:pPr>
            <w:r>
              <w:rPr>
                <w:rFonts w:ascii="Times New Roman" w:hAnsi="Times New Roman"/>
                <w:sz w:val="24"/>
              </w:rPr>
              <w:t>Simbolisme</w:t>
            </w:r>
          </w:p>
        </w:tc>
        <w:tc>
          <w:tcPr>
            <w:tcW w:type="dxa" w:w="1984"/>
          </w:tcPr>
          <w:p>
            <w:pPr>
              <w:spacing w:after="40" w:line="240" w:lineRule="auto"/>
            </w:pPr>
            <w:r>
              <w:rPr>
                <w:rFonts w:ascii="Times New Roman" w:hAnsi="Times New Roman"/>
                <w:sz w:val="24"/>
              </w:rPr>
              <w:t>Merek acuan saya mencerminkan siapa diri saya.</w:t>
            </w:r>
          </w:p>
        </w:tc>
        <w:tc>
          <w:tcPr>
            <w:tcW w:type="dxa" w:w="1984"/>
          </w:tcPr>
          <w:p>
            <w:pPr>
              <w:spacing w:after="40" w:line="240" w:lineRule="auto"/>
            </w:pPr>
            <w:r>
              <w:rPr>
                <w:rFonts w:ascii="Times New Roman" w:hAnsi="Times New Roman"/>
                <w:sz w:val="24"/>
              </w:rPr>
              <w:t>Morhart et al. (2015)</w:t>
            </w:r>
          </w:p>
        </w:tc>
      </w:tr>
      <w:tr>
        <w:tc>
          <w:tcPr>
            <w:tcW w:type="dxa" w:w="1984"/>
          </w:tcPr>
          <w:p>
            <w:pPr>
              <w:spacing w:after="40" w:line="240" w:lineRule="auto"/>
            </w:pPr>
            <w:r>
              <w:rPr>
                <w:rFonts w:ascii="Times New Roman" w:hAnsi="Times New Roman"/>
                <w:sz w:val="24"/>
              </w:rPr>
              <w:t>AM11</w:t>
            </w:r>
          </w:p>
        </w:tc>
        <w:tc>
          <w:tcPr>
            <w:tcW w:type="dxa" w:w="1984"/>
          </w:tcPr>
          <w:p>
            <w:pPr>
              <w:spacing w:after="40" w:line="240" w:lineRule="auto"/>
            </w:pPr>
            <w:r>
              <w:rPr>
                <w:rFonts w:ascii="Times New Roman" w:hAnsi="Times New Roman"/>
                <w:sz w:val="24"/>
              </w:rPr>
              <w:t>Simbolisme</w:t>
            </w:r>
          </w:p>
        </w:tc>
        <w:tc>
          <w:tcPr>
            <w:tcW w:type="dxa" w:w="1984"/>
          </w:tcPr>
          <w:p>
            <w:pPr>
              <w:spacing w:after="40" w:line="240" w:lineRule="auto"/>
            </w:pPr>
            <w:r>
              <w:rPr>
                <w:rFonts w:ascii="Times New Roman" w:hAnsi="Times New Roman"/>
                <w:sz w:val="24"/>
              </w:rPr>
              <w:t>Merek acuan saya membantu saya mengomunikasikan identitas saya kepada orang lain.</w:t>
            </w:r>
          </w:p>
        </w:tc>
        <w:tc>
          <w:tcPr>
            <w:tcW w:type="dxa" w:w="1984"/>
          </w:tcPr>
          <w:p>
            <w:pPr>
              <w:spacing w:after="40" w:line="240" w:lineRule="auto"/>
            </w:pPr>
            <w:r>
              <w:rPr>
                <w:rFonts w:ascii="Times New Roman" w:hAnsi="Times New Roman"/>
                <w:sz w:val="24"/>
              </w:rPr>
              <w:t>Morhart et al. (2015)</w:t>
            </w:r>
          </w:p>
        </w:tc>
      </w:tr>
      <w:tr>
        <w:tc>
          <w:tcPr>
            <w:tcW w:type="dxa" w:w="1984"/>
          </w:tcPr>
          <w:p>
            <w:pPr>
              <w:spacing w:after="40" w:line="240" w:lineRule="auto"/>
            </w:pPr>
            <w:r>
              <w:rPr>
                <w:rFonts w:ascii="Times New Roman" w:hAnsi="Times New Roman"/>
                <w:sz w:val="24"/>
              </w:rPr>
              <w:t>AM12</w:t>
            </w:r>
          </w:p>
        </w:tc>
        <w:tc>
          <w:tcPr>
            <w:tcW w:type="dxa" w:w="1984"/>
          </w:tcPr>
          <w:p>
            <w:pPr>
              <w:spacing w:after="40" w:line="240" w:lineRule="auto"/>
            </w:pPr>
            <w:r>
              <w:rPr>
                <w:rFonts w:ascii="Times New Roman" w:hAnsi="Times New Roman"/>
                <w:sz w:val="24"/>
              </w:rPr>
              <w:t>Simbolisme</w:t>
            </w:r>
          </w:p>
        </w:tc>
        <w:tc>
          <w:tcPr>
            <w:tcW w:type="dxa" w:w="1984"/>
          </w:tcPr>
          <w:p>
            <w:pPr>
              <w:spacing w:after="40" w:line="240" w:lineRule="auto"/>
            </w:pPr>
            <w:r>
              <w:rPr>
                <w:rFonts w:ascii="Times New Roman" w:hAnsi="Times New Roman"/>
                <w:sz w:val="24"/>
              </w:rPr>
              <w:t>Nilai-nilai merek acuan saya selaras dengan prinsip hidup saya.</w:t>
            </w:r>
          </w:p>
        </w:tc>
        <w:tc>
          <w:tcPr>
            <w:tcW w:type="dxa" w:w="1984"/>
          </w:tcPr>
          <w:p>
            <w:pPr>
              <w:spacing w:after="40" w:line="240" w:lineRule="auto"/>
            </w:pPr>
            <w:r>
              <w:rPr>
                <w:rFonts w:ascii="Times New Roman" w:hAnsi="Times New Roman"/>
                <w:sz w:val="24"/>
              </w:rPr>
              <w:t>Napoli et al. (2014); Morhart et al. (2015)</w:t>
            </w:r>
          </w:p>
        </w:tc>
      </w:tr>
      <w:tr>
        <w:tc>
          <w:tcPr>
            <w:tcW w:type="dxa" w:w="1984"/>
          </w:tcPr>
          <w:p>
            <w:pPr>
              <w:spacing w:after="40" w:line="240" w:lineRule="auto"/>
            </w:pPr>
            <w:r>
              <w:rPr>
                <w:rFonts w:ascii="Times New Roman" w:hAnsi="Times New Roman"/>
                <w:sz w:val="24"/>
              </w:rPr>
              <w:t>AMD1</w:t>
            </w:r>
          </w:p>
        </w:tc>
        <w:tc>
          <w:tcPr>
            <w:tcW w:type="dxa" w:w="1984"/>
          </w:tcPr>
          <w:p>
            <w:pPr>
              <w:spacing w:after="40" w:line="240" w:lineRule="auto"/>
            </w:pPr>
            <w:r>
              <w:rPr>
                <w:rFonts w:ascii="Times New Roman" w:hAnsi="Times New Roman"/>
                <w:sz w:val="24"/>
              </w:rPr>
              <w:t>Rekomendasi</w:t>
            </w:r>
          </w:p>
        </w:tc>
        <w:tc>
          <w:tcPr>
            <w:tcW w:type="dxa" w:w="1984"/>
          </w:tcPr>
          <w:p>
            <w:pPr>
              <w:spacing w:after="40" w:line="240" w:lineRule="auto"/>
            </w:pPr>
            <w:r>
              <w:rPr>
                <w:rFonts w:ascii="Times New Roman" w:hAnsi="Times New Roman"/>
                <w:sz w:val="24"/>
              </w:rPr>
              <w:t>Saya bersedia merekomendasikan merek acuan saya kepada orang lain secara daring.</w:t>
            </w:r>
          </w:p>
        </w:tc>
        <w:tc>
          <w:tcPr>
            <w:tcW w:type="dxa" w:w="1984"/>
          </w:tcPr>
          <w:p>
            <w:pPr>
              <w:spacing w:after="40" w:line="240" w:lineRule="auto"/>
            </w:pPr>
            <w:r>
              <w:rPr>
                <w:rFonts w:ascii="Times New Roman" w:hAnsi="Times New Roman"/>
                <w:sz w:val="24"/>
              </w:rPr>
              <w:t>Wilk et al. (2020)</w:t>
            </w:r>
          </w:p>
        </w:tc>
      </w:tr>
      <w:tr>
        <w:tc>
          <w:tcPr>
            <w:tcW w:type="dxa" w:w="1984"/>
          </w:tcPr>
          <w:p>
            <w:pPr>
              <w:spacing w:after="40" w:line="240" w:lineRule="auto"/>
            </w:pPr>
            <w:r>
              <w:rPr>
                <w:rFonts w:ascii="Times New Roman" w:hAnsi="Times New Roman"/>
                <w:sz w:val="24"/>
              </w:rPr>
              <w:t>AMD2</w:t>
            </w:r>
          </w:p>
        </w:tc>
        <w:tc>
          <w:tcPr>
            <w:tcW w:type="dxa" w:w="1984"/>
          </w:tcPr>
          <w:p>
            <w:pPr>
              <w:spacing w:after="40" w:line="240" w:lineRule="auto"/>
            </w:pPr>
            <w:r>
              <w:rPr>
                <w:rFonts w:ascii="Times New Roman" w:hAnsi="Times New Roman"/>
                <w:sz w:val="24"/>
              </w:rPr>
              <w:t>Rekomendasi</w:t>
            </w:r>
          </w:p>
        </w:tc>
        <w:tc>
          <w:tcPr>
            <w:tcW w:type="dxa" w:w="1984"/>
          </w:tcPr>
          <w:p>
            <w:pPr>
              <w:spacing w:after="40" w:line="240" w:lineRule="auto"/>
            </w:pPr>
            <w:r>
              <w:rPr>
                <w:rFonts w:ascii="Times New Roman" w:hAnsi="Times New Roman"/>
                <w:sz w:val="24"/>
              </w:rPr>
              <w:t>Saya bersedia menulis ulasan positif mengenai merek acuan saya.</w:t>
            </w:r>
          </w:p>
        </w:tc>
        <w:tc>
          <w:tcPr>
            <w:tcW w:type="dxa" w:w="1984"/>
          </w:tcPr>
          <w:p>
            <w:pPr>
              <w:spacing w:after="40" w:line="240" w:lineRule="auto"/>
            </w:pPr>
            <w:r>
              <w:rPr>
                <w:rFonts w:ascii="Times New Roman" w:hAnsi="Times New Roman"/>
                <w:sz w:val="24"/>
              </w:rPr>
              <w:t>Wilk et al. (2020)</w:t>
            </w:r>
          </w:p>
        </w:tc>
      </w:tr>
      <w:tr>
        <w:tc>
          <w:tcPr>
            <w:tcW w:type="dxa" w:w="1984"/>
          </w:tcPr>
          <w:p>
            <w:pPr>
              <w:spacing w:after="40" w:line="240" w:lineRule="auto"/>
            </w:pPr>
            <w:r>
              <w:rPr>
                <w:rFonts w:ascii="Times New Roman" w:hAnsi="Times New Roman"/>
                <w:sz w:val="24"/>
              </w:rPr>
              <w:t>AMD3</w:t>
            </w:r>
          </w:p>
        </w:tc>
        <w:tc>
          <w:tcPr>
            <w:tcW w:type="dxa" w:w="1984"/>
          </w:tcPr>
          <w:p>
            <w:pPr>
              <w:spacing w:after="40" w:line="240" w:lineRule="auto"/>
            </w:pPr>
            <w:r>
              <w:rPr>
                <w:rFonts w:ascii="Times New Roman" w:hAnsi="Times New Roman"/>
                <w:sz w:val="24"/>
              </w:rPr>
              <w:t>Rekomendasi</w:t>
            </w:r>
          </w:p>
        </w:tc>
        <w:tc>
          <w:tcPr>
            <w:tcW w:type="dxa" w:w="1984"/>
          </w:tcPr>
          <w:p>
            <w:pPr>
              <w:spacing w:after="40" w:line="240" w:lineRule="auto"/>
            </w:pPr>
            <w:r>
              <w:rPr>
                <w:rFonts w:ascii="Times New Roman" w:hAnsi="Times New Roman"/>
                <w:sz w:val="24"/>
              </w:rPr>
              <w:t>Saya bersedia mengajak teman saya mencoba merek acuan saya.</w:t>
            </w:r>
          </w:p>
        </w:tc>
        <w:tc>
          <w:tcPr>
            <w:tcW w:type="dxa" w:w="1984"/>
          </w:tcPr>
          <w:p>
            <w:pPr>
              <w:spacing w:after="40" w:line="240" w:lineRule="auto"/>
            </w:pPr>
            <w:r>
              <w:rPr>
                <w:rFonts w:ascii="Times New Roman" w:hAnsi="Times New Roman"/>
                <w:sz w:val="24"/>
              </w:rPr>
              <w:t>Wilk et al. (2020)</w:t>
            </w:r>
          </w:p>
        </w:tc>
      </w:tr>
      <w:tr>
        <w:tc>
          <w:tcPr>
            <w:tcW w:type="dxa" w:w="1984"/>
          </w:tcPr>
          <w:p>
            <w:pPr>
              <w:spacing w:after="40" w:line="240" w:lineRule="auto"/>
            </w:pPr>
            <w:r>
              <w:rPr>
                <w:rFonts w:ascii="Times New Roman" w:hAnsi="Times New Roman"/>
                <w:sz w:val="24"/>
              </w:rPr>
              <w:t>AMD4</w:t>
            </w:r>
          </w:p>
        </w:tc>
        <w:tc>
          <w:tcPr>
            <w:tcW w:type="dxa" w:w="1984"/>
          </w:tcPr>
          <w:p>
            <w:pPr>
              <w:spacing w:after="40" w:line="240" w:lineRule="auto"/>
            </w:pPr>
            <w:r>
              <w:rPr>
                <w:rFonts w:ascii="Times New Roman" w:hAnsi="Times New Roman"/>
                <w:sz w:val="24"/>
              </w:rPr>
              <w:t>Berbagi Konten</w:t>
            </w:r>
          </w:p>
        </w:tc>
        <w:tc>
          <w:tcPr>
            <w:tcW w:type="dxa" w:w="1984"/>
          </w:tcPr>
          <w:p>
            <w:pPr>
              <w:spacing w:after="40" w:line="240" w:lineRule="auto"/>
            </w:pPr>
            <w:r>
              <w:rPr>
                <w:rFonts w:ascii="Times New Roman" w:hAnsi="Times New Roman"/>
                <w:sz w:val="24"/>
              </w:rPr>
              <w:t>Saya bersedia membagikan konten resmi merek acuan saya ke media sosial pribadi saya.</w:t>
            </w:r>
          </w:p>
        </w:tc>
        <w:tc>
          <w:tcPr>
            <w:tcW w:type="dxa" w:w="1984"/>
          </w:tcPr>
          <w:p>
            <w:pPr>
              <w:spacing w:after="40" w:line="240" w:lineRule="auto"/>
            </w:pPr>
            <w:r>
              <w:rPr>
                <w:rFonts w:ascii="Times New Roman" w:hAnsi="Times New Roman"/>
                <w:sz w:val="24"/>
              </w:rPr>
              <w:t>Wilk et al. (2020)</w:t>
            </w:r>
          </w:p>
        </w:tc>
      </w:tr>
      <w:tr>
        <w:tc>
          <w:tcPr>
            <w:tcW w:type="dxa" w:w="1984"/>
          </w:tcPr>
          <w:p>
            <w:pPr>
              <w:spacing w:after="40" w:line="240" w:lineRule="auto"/>
            </w:pPr>
            <w:r>
              <w:rPr>
                <w:rFonts w:ascii="Times New Roman" w:hAnsi="Times New Roman"/>
                <w:sz w:val="24"/>
              </w:rPr>
              <w:t>AMD5</w:t>
            </w:r>
          </w:p>
        </w:tc>
        <w:tc>
          <w:tcPr>
            <w:tcW w:type="dxa" w:w="1984"/>
          </w:tcPr>
          <w:p>
            <w:pPr>
              <w:spacing w:after="40" w:line="240" w:lineRule="auto"/>
            </w:pPr>
            <w:r>
              <w:rPr>
                <w:rFonts w:ascii="Times New Roman" w:hAnsi="Times New Roman"/>
                <w:sz w:val="24"/>
              </w:rPr>
              <w:t>Berbagi Konten</w:t>
            </w:r>
          </w:p>
        </w:tc>
        <w:tc>
          <w:tcPr>
            <w:tcW w:type="dxa" w:w="1984"/>
          </w:tcPr>
          <w:p>
            <w:pPr>
              <w:spacing w:after="40" w:line="240" w:lineRule="auto"/>
            </w:pPr>
            <w:r>
              <w:rPr>
                <w:rFonts w:ascii="Times New Roman" w:hAnsi="Times New Roman"/>
                <w:sz w:val="24"/>
              </w:rPr>
              <w:t>Saya bersedia menandai teman saya pada unggahan menarik tentang merek acuan saya.</w:t>
            </w:r>
          </w:p>
        </w:tc>
        <w:tc>
          <w:tcPr>
            <w:tcW w:type="dxa" w:w="1984"/>
          </w:tcPr>
          <w:p>
            <w:pPr>
              <w:spacing w:after="40" w:line="240" w:lineRule="auto"/>
            </w:pPr>
            <w:r>
              <w:rPr>
                <w:rFonts w:ascii="Times New Roman" w:hAnsi="Times New Roman"/>
                <w:sz w:val="24"/>
              </w:rPr>
              <w:t>Wilk et al. (2020)</w:t>
            </w:r>
          </w:p>
        </w:tc>
      </w:tr>
      <w:tr>
        <w:tc>
          <w:tcPr>
            <w:tcW w:type="dxa" w:w="1984"/>
          </w:tcPr>
          <w:p>
            <w:pPr>
              <w:spacing w:after="40" w:line="240" w:lineRule="auto"/>
            </w:pPr>
            <w:r>
              <w:rPr>
                <w:rFonts w:ascii="Times New Roman" w:hAnsi="Times New Roman"/>
                <w:sz w:val="24"/>
              </w:rPr>
              <w:t>AMD6</w:t>
            </w:r>
          </w:p>
        </w:tc>
        <w:tc>
          <w:tcPr>
            <w:tcW w:type="dxa" w:w="1984"/>
          </w:tcPr>
          <w:p>
            <w:pPr>
              <w:spacing w:after="40" w:line="240" w:lineRule="auto"/>
            </w:pPr>
            <w:r>
              <w:rPr>
                <w:rFonts w:ascii="Times New Roman" w:hAnsi="Times New Roman"/>
                <w:sz w:val="24"/>
              </w:rPr>
              <w:t>Berbagi Konten</w:t>
            </w:r>
          </w:p>
        </w:tc>
        <w:tc>
          <w:tcPr>
            <w:tcW w:type="dxa" w:w="1984"/>
          </w:tcPr>
          <w:p>
            <w:pPr>
              <w:spacing w:after="40" w:line="240" w:lineRule="auto"/>
            </w:pPr>
            <w:r>
              <w:rPr>
                <w:rFonts w:ascii="Times New Roman" w:hAnsi="Times New Roman"/>
                <w:sz w:val="24"/>
              </w:rPr>
              <w:t>Saya bersedia mengunggah ulang konten kampanye merek acuan saya.</w:t>
            </w:r>
          </w:p>
        </w:tc>
        <w:tc>
          <w:tcPr>
            <w:tcW w:type="dxa" w:w="1984"/>
          </w:tcPr>
          <w:p>
            <w:pPr>
              <w:spacing w:after="40" w:line="240" w:lineRule="auto"/>
            </w:pPr>
            <w:r>
              <w:rPr>
                <w:rFonts w:ascii="Times New Roman" w:hAnsi="Times New Roman"/>
                <w:sz w:val="24"/>
              </w:rPr>
              <w:t>Wilk et al. (2020)</w:t>
            </w:r>
          </w:p>
        </w:tc>
      </w:tr>
      <w:tr>
        <w:tc>
          <w:tcPr>
            <w:tcW w:type="dxa" w:w="1984"/>
          </w:tcPr>
          <w:p>
            <w:pPr>
              <w:spacing w:after="40" w:line="240" w:lineRule="auto"/>
            </w:pPr>
            <w:r>
              <w:rPr>
                <w:rFonts w:ascii="Times New Roman" w:hAnsi="Times New Roman"/>
                <w:sz w:val="24"/>
              </w:rPr>
              <w:t>AMD7</w:t>
            </w:r>
          </w:p>
        </w:tc>
        <w:tc>
          <w:tcPr>
            <w:tcW w:type="dxa" w:w="1984"/>
          </w:tcPr>
          <w:p>
            <w:pPr>
              <w:spacing w:after="40" w:line="240" w:lineRule="auto"/>
            </w:pPr>
            <w:r>
              <w:rPr>
                <w:rFonts w:ascii="Times New Roman" w:hAnsi="Times New Roman"/>
                <w:sz w:val="24"/>
              </w:rPr>
              <w:t>Pembelaan</w:t>
            </w:r>
          </w:p>
        </w:tc>
        <w:tc>
          <w:tcPr>
            <w:tcW w:type="dxa" w:w="1984"/>
          </w:tcPr>
          <w:p>
            <w:pPr>
              <w:spacing w:after="40" w:line="240" w:lineRule="auto"/>
            </w:pPr>
            <w:r>
              <w:rPr>
                <w:rFonts w:ascii="Times New Roman" w:hAnsi="Times New Roman"/>
                <w:sz w:val="24"/>
              </w:rPr>
              <w:t>Saya bersedia meluruskan informasi yang keliru mengenai merek acuan saya.</w:t>
            </w:r>
          </w:p>
        </w:tc>
        <w:tc>
          <w:tcPr>
            <w:tcW w:type="dxa" w:w="1984"/>
          </w:tcPr>
          <w:p>
            <w:pPr>
              <w:spacing w:after="40" w:line="240" w:lineRule="auto"/>
            </w:pPr>
            <w:r>
              <w:rPr>
                <w:rFonts w:ascii="Times New Roman" w:hAnsi="Times New Roman"/>
                <w:sz w:val="24"/>
              </w:rPr>
              <w:t>Wilk et al. (2020)</w:t>
            </w:r>
          </w:p>
        </w:tc>
      </w:tr>
      <w:tr>
        <w:tc>
          <w:tcPr>
            <w:tcW w:type="dxa" w:w="1984"/>
          </w:tcPr>
          <w:p>
            <w:pPr>
              <w:spacing w:after="40" w:line="240" w:lineRule="auto"/>
            </w:pPr>
            <w:r>
              <w:rPr>
                <w:rFonts w:ascii="Times New Roman" w:hAnsi="Times New Roman"/>
                <w:sz w:val="24"/>
              </w:rPr>
              <w:t>AMD8</w:t>
            </w:r>
          </w:p>
        </w:tc>
        <w:tc>
          <w:tcPr>
            <w:tcW w:type="dxa" w:w="1984"/>
          </w:tcPr>
          <w:p>
            <w:pPr>
              <w:spacing w:after="40" w:line="240" w:lineRule="auto"/>
            </w:pPr>
            <w:r>
              <w:rPr>
                <w:rFonts w:ascii="Times New Roman" w:hAnsi="Times New Roman"/>
                <w:sz w:val="24"/>
              </w:rPr>
              <w:t>Pembelaan</w:t>
            </w:r>
          </w:p>
        </w:tc>
        <w:tc>
          <w:tcPr>
            <w:tcW w:type="dxa" w:w="1984"/>
          </w:tcPr>
          <w:p>
            <w:pPr>
              <w:spacing w:after="40" w:line="240" w:lineRule="auto"/>
            </w:pPr>
            <w:r>
              <w:rPr>
                <w:rFonts w:ascii="Times New Roman" w:hAnsi="Times New Roman"/>
                <w:sz w:val="24"/>
              </w:rPr>
              <w:t>Saya bersedia membela merek acuan saya ketika dikritik secara tidak adil.</w:t>
            </w:r>
          </w:p>
        </w:tc>
        <w:tc>
          <w:tcPr>
            <w:tcW w:type="dxa" w:w="1984"/>
          </w:tcPr>
          <w:p>
            <w:pPr>
              <w:spacing w:after="40" w:line="240" w:lineRule="auto"/>
            </w:pPr>
            <w:r>
              <w:rPr>
                <w:rFonts w:ascii="Times New Roman" w:hAnsi="Times New Roman"/>
                <w:sz w:val="24"/>
              </w:rPr>
              <w:t>Wilk et al. (2020)</w:t>
            </w:r>
          </w:p>
        </w:tc>
      </w:tr>
      <w:tr>
        <w:tc>
          <w:tcPr>
            <w:tcW w:type="dxa" w:w="1984"/>
          </w:tcPr>
          <w:p>
            <w:pPr>
              <w:spacing w:after="40" w:line="240" w:lineRule="auto"/>
            </w:pPr>
            <w:r>
              <w:rPr>
                <w:rFonts w:ascii="Times New Roman" w:hAnsi="Times New Roman"/>
                <w:sz w:val="24"/>
              </w:rPr>
              <w:t>AMD9</w:t>
            </w:r>
          </w:p>
        </w:tc>
        <w:tc>
          <w:tcPr>
            <w:tcW w:type="dxa" w:w="1984"/>
          </w:tcPr>
          <w:p>
            <w:pPr>
              <w:spacing w:after="40" w:line="240" w:lineRule="auto"/>
            </w:pPr>
            <w:r>
              <w:rPr>
                <w:rFonts w:ascii="Times New Roman" w:hAnsi="Times New Roman"/>
                <w:sz w:val="24"/>
              </w:rPr>
              <w:t>Pembelaan</w:t>
            </w:r>
          </w:p>
        </w:tc>
        <w:tc>
          <w:tcPr>
            <w:tcW w:type="dxa" w:w="1984"/>
          </w:tcPr>
          <w:p>
            <w:pPr>
              <w:spacing w:after="40" w:line="240" w:lineRule="auto"/>
            </w:pPr>
            <w:r>
              <w:rPr>
                <w:rFonts w:ascii="Times New Roman" w:hAnsi="Times New Roman"/>
                <w:sz w:val="24"/>
              </w:rPr>
              <w:t>Saya bersedia memberikan klarifikasi berdasarkan pengalaman pribadi saya ketika merek acuan saya diserang.</w:t>
            </w:r>
          </w:p>
        </w:tc>
        <w:tc>
          <w:tcPr>
            <w:tcW w:type="dxa" w:w="1984"/>
          </w:tcPr>
          <w:p>
            <w:pPr>
              <w:spacing w:after="40" w:line="240" w:lineRule="auto"/>
            </w:pPr>
            <w:r>
              <w:rPr>
                <w:rFonts w:ascii="Times New Roman" w:hAnsi="Times New Roman"/>
                <w:sz w:val="24"/>
              </w:rPr>
              <w:t>Wilk et al. (2020)</w:t>
            </w:r>
          </w:p>
        </w:tc>
      </w:tr>
      <w:tr>
        <w:tc>
          <w:tcPr>
            <w:tcW w:type="dxa" w:w="1984"/>
          </w:tcPr>
          <w:p>
            <w:pPr>
              <w:spacing w:after="40" w:line="240" w:lineRule="auto"/>
            </w:pPr>
            <w:r>
              <w:rPr>
                <w:rFonts w:ascii="Times New Roman" w:hAnsi="Times New Roman"/>
                <w:sz w:val="24"/>
              </w:rPr>
              <w:t>CTL1</w:t>
            </w:r>
          </w:p>
        </w:tc>
        <w:tc>
          <w:tcPr>
            <w:tcW w:type="dxa" w:w="1984"/>
          </w:tcPr>
          <w:p>
            <w:pPr>
              <w:spacing w:after="40" w:line="240" w:lineRule="auto"/>
            </w:pPr>
            <w:r>
              <w:rPr>
                <w:rFonts w:ascii="Times New Roman" w:hAnsi="Times New Roman"/>
                <w:sz w:val="24"/>
              </w:rPr>
              <w:t>Familiaritas Merek</w:t>
            </w:r>
          </w:p>
        </w:tc>
        <w:tc>
          <w:tcPr>
            <w:tcW w:type="dxa" w:w="1984"/>
          </w:tcPr>
          <w:p>
            <w:pPr>
              <w:spacing w:after="40" w:line="240" w:lineRule="auto"/>
            </w:pPr>
            <w:r>
              <w:rPr>
                <w:rFonts w:ascii="Times New Roman" w:hAnsi="Times New Roman"/>
                <w:sz w:val="24"/>
              </w:rPr>
              <w:t>Saya mengenal baik merek acuan saya.</w:t>
            </w:r>
          </w:p>
        </w:tc>
        <w:tc>
          <w:tcPr>
            <w:tcW w:type="dxa" w:w="1984"/>
          </w:tcPr>
          <w:p>
            <w:pPr>
              <w:spacing w:after="40" w:line="240" w:lineRule="auto"/>
            </w:pPr>
            <w:r>
              <w:rPr>
                <w:rFonts w:ascii="Times New Roman" w:hAnsi="Times New Roman"/>
                <w:sz w:val="24"/>
              </w:rPr>
              <w:t>Butir kontrol peneliti</w:t>
            </w:r>
          </w:p>
        </w:tc>
      </w:tr>
      <w:tr>
        <w:tc>
          <w:tcPr>
            <w:tcW w:type="dxa" w:w="1984"/>
          </w:tcPr>
          <w:p>
            <w:pPr>
              <w:spacing w:after="40" w:line="240" w:lineRule="auto"/>
            </w:pPr>
            <w:r>
              <w:rPr>
                <w:rFonts w:ascii="Times New Roman" w:hAnsi="Times New Roman"/>
                <w:sz w:val="24"/>
              </w:rPr>
              <w:t>CTL2</w:t>
            </w:r>
          </w:p>
        </w:tc>
        <w:tc>
          <w:tcPr>
            <w:tcW w:type="dxa" w:w="1984"/>
          </w:tcPr>
          <w:p>
            <w:pPr>
              <w:spacing w:after="40" w:line="240" w:lineRule="auto"/>
            </w:pPr>
            <w:r>
              <w:rPr>
                <w:rFonts w:ascii="Times New Roman" w:hAnsi="Times New Roman"/>
                <w:sz w:val="24"/>
              </w:rPr>
              <w:t>Familiaritas Merek</w:t>
            </w:r>
          </w:p>
        </w:tc>
        <w:tc>
          <w:tcPr>
            <w:tcW w:type="dxa" w:w="1984"/>
          </w:tcPr>
          <w:p>
            <w:pPr>
              <w:spacing w:after="40" w:line="240" w:lineRule="auto"/>
            </w:pPr>
            <w:r>
              <w:rPr>
                <w:rFonts w:ascii="Times New Roman" w:hAnsi="Times New Roman"/>
                <w:sz w:val="24"/>
              </w:rPr>
              <w:t>Merek acuan saya mudah saya kenali di antara merek lain.</w:t>
            </w:r>
          </w:p>
        </w:tc>
        <w:tc>
          <w:tcPr>
            <w:tcW w:type="dxa" w:w="1984"/>
          </w:tcPr>
          <w:p>
            <w:pPr>
              <w:spacing w:after="40" w:line="240" w:lineRule="auto"/>
            </w:pPr>
            <w:r>
              <w:rPr>
                <w:rFonts w:ascii="Times New Roman" w:hAnsi="Times New Roman"/>
                <w:sz w:val="24"/>
              </w:rPr>
              <w:t>Butir kontrol peneliti</w:t>
            </w:r>
          </w:p>
        </w:tc>
      </w:tr>
      <w:tr>
        <w:tc>
          <w:tcPr>
            <w:tcW w:type="dxa" w:w="1984"/>
          </w:tcPr>
          <w:p>
            <w:pPr>
              <w:spacing w:after="40" w:line="240" w:lineRule="auto"/>
            </w:pPr>
            <w:r>
              <w:rPr>
                <w:rFonts w:ascii="Times New Roman" w:hAnsi="Times New Roman"/>
                <w:sz w:val="24"/>
              </w:rPr>
              <w:t>CTL3</w:t>
            </w:r>
          </w:p>
        </w:tc>
        <w:tc>
          <w:tcPr>
            <w:tcW w:type="dxa" w:w="1984"/>
          </w:tcPr>
          <w:p>
            <w:pPr>
              <w:spacing w:after="40" w:line="240" w:lineRule="auto"/>
            </w:pPr>
            <w:r>
              <w:rPr>
                <w:rFonts w:ascii="Times New Roman" w:hAnsi="Times New Roman"/>
                <w:sz w:val="24"/>
              </w:rPr>
              <w:t>Pengalaman Merek</w:t>
            </w:r>
          </w:p>
        </w:tc>
        <w:tc>
          <w:tcPr>
            <w:tcW w:type="dxa" w:w="1984"/>
          </w:tcPr>
          <w:p>
            <w:pPr>
              <w:spacing w:after="40" w:line="240" w:lineRule="auto"/>
            </w:pPr>
            <w:r>
              <w:rPr>
                <w:rFonts w:ascii="Times New Roman" w:hAnsi="Times New Roman"/>
                <w:sz w:val="24"/>
              </w:rPr>
              <w:t>Saya pernah menggunakan atau merasakan produk/layanan merek acuan saya.</w:t>
            </w:r>
          </w:p>
        </w:tc>
        <w:tc>
          <w:tcPr>
            <w:tcW w:type="dxa" w:w="1984"/>
          </w:tcPr>
          <w:p>
            <w:pPr>
              <w:spacing w:after="40" w:line="240" w:lineRule="auto"/>
            </w:pPr>
            <w:r>
              <w:rPr>
                <w:rFonts w:ascii="Times New Roman" w:hAnsi="Times New Roman"/>
                <w:sz w:val="24"/>
              </w:rPr>
              <w:t>Butir kontrol peneliti</w:t>
            </w:r>
          </w:p>
        </w:tc>
      </w:tr>
      <w:tr>
        <w:tc>
          <w:tcPr>
            <w:tcW w:type="dxa" w:w="1984"/>
          </w:tcPr>
          <w:p>
            <w:pPr>
              <w:spacing w:after="40" w:line="240" w:lineRule="auto"/>
            </w:pPr>
            <w:r>
              <w:rPr>
                <w:rFonts w:ascii="Times New Roman" w:hAnsi="Times New Roman"/>
                <w:sz w:val="24"/>
              </w:rPr>
              <w:t>CTL4</w:t>
            </w:r>
          </w:p>
        </w:tc>
        <w:tc>
          <w:tcPr>
            <w:tcW w:type="dxa" w:w="1984"/>
          </w:tcPr>
          <w:p>
            <w:pPr>
              <w:spacing w:after="40" w:line="240" w:lineRule="auto"/>
            </w:pPr>
            <w:r>
              <w:rPr>
                <w:rFonts w:ascii="Times New Roman" w:hAnsi="Times New Roman"/>
                <w:sz w:val="24"/>
              </w:rPr>
              <w:t>Pengalaman Merek</w:t>
            </w:r>
          </w:p>
        </w:tc>
        <w:tc>
          <w:tcPr>
            <w:tcW w:type="dxa" w:w="1984"/>
          </w:tcPr>
          <w:p>
            <w:pPr>
              <w:spacing w:after="40" w:line="240" w:lineRule="auto"/>
            </w:pPr>
            <w:r>
              <w:rPr>
                <w:rFonts w:ascii="Times New Roman" w:hAnsi="Times New Roman"/>
                <w:sz w:val="24"/>
              </w:rPr>
              <w:t>Saya memiliki pengalaman langsung berinteraksi dengan merek acuan saya.</w:t>
            </w:r>
          </w:p>
        </w:tc>
        <w:tc>
          <w:tcPr>
            <w:tcW w:type="dxa" w:w="1984"/>
          </w:tcPr>
          <w:p>
            <w:pPr>
              <w:spacing w:after="40" w:line="240" w:lineRule="auto"/>
            </w:pPr>
            <w:r>
              <w:rPr>
                <w:rFonts w:ascii="Times New Roman" w:hAnsi="Times New Roman"/>
                <w:sz w:val="24"/>
              </w:rPr>
              <w:t>Butir kontrol peneliti</w:t>
            </w:r>
          </w:p>
        </w:tc>
      </w:tr>
      <w:tr>
        <w:tc>
          <w:tcPr>
            <w:tcW w:type="dxa" w:w="1984"/>
          </w:tcPr>
          <w:p>
            <w:pPr>
              <w:spacing w:after="40" w:line="240" w:lineRule="auto"/>
            </w:pPr>
            <w:r>
              <w:rPr>
                <w:rFonts w:ascii="Times New Roman" w:hAnsi="Times New Roman"/>
                <w:sz w:val="24"/>
              </w:rPr>
              <w:t>CTL5</w:t>
            </w:r>
          </w:p>
        </w:tc>
        <w:tc>
          <w:tcPr>
            <w:tcW w:type="dxa" w:w="1984"/>
          </w:tcPr>
          <w:p>
            <w:pPr>
              <w:spacing w:after="40" w:line="240" w:lineRule="auto"/>
            </w:pPr>
            <w:r>
              <w:rPr>
                <w:rFonts w:ascii="Times New Roman" w:hAnsi="Times New Roman"/>
                <w:sz w:val="24"/>
              </w:rPr>
              <w:t>Influencer–Brand Fit</w:t>
            </w:r>
          </w:p>
        </w:tc>
        <w:tc>
          <w:tcPr>
            <w:tcW w:type="dxa" w:w="1984"/>
          </w:tcPr>
          <w:p>
            <w:pPr>
              <w:spacing w:after="40" w:line="240" w:lineRule="auto"/>
            </w:pPr>
            <w:r>
              <w:rPr>
                <w:rFonts w:ascii="Times New Roman" w:hAnsi="Times New Roman"/>
                <w:sz w:val="24"/>
              </w:rPr>
              <w:t>Influencer acuan saya merupakan figur yang cocok merepresentasikan merek acuan saya.</w:t>
            </w:r>
          </w:p>
        </w:tc>
        <w:tc>
          <w:tcPr>
            <w:tcW w:type="dxa" w:w="1984"/>
          </w:tcPr>
          <w:p>
            <w:pPr>
              <w:spacing w:after="40" w:line="240" w:lineRule="auto"/>
            </w:pPr>
            <w:r>
              <w:rPr>
                <w:rFonts w:ascii="Times New Roman" w:hAnsi="Times New Roman"/>
                <w:sz w:val="24"/>
              </w:rPr>
              <w:t>Butir kontrol peneliti</w:t>
            </w:r>
          </w:p>
        </w:tc>
      </w:tr>
      <w:tr>
        <w:tc>
          <w:tcPr>
            <w:tcW w:type="dxa" w:w="1984"/>
          </w:tcPr>
          <w:p>
            <w:pPr>
              <w:spacing w:after="40" w:line="240" w:lineRule="auto"/>
            </w:pPr>
            <w:r>
              <w:rPr>
                <w:rFonts w:ascii="Times New Roman" w:hAnsi="Times New Roman"/>
                <w:sz w:val="24"/>
              </w:rPr>
              <w:t>CTL6</w:t>
            </w:r>
          </w:p>
        </w:tc>
        <w:tc>
          <w:tcPr>
            <w:tcW w:type="dxa" w:w="1984"/>
          </w:tcPr>
          <w:p>
            <w:pPr>
              <w:spacing w:after="40" w:line="240" w:lineRule="auto"/>
            </w:pPr>
            <w:r>
              <w:rPr>
                <w:rFonts w:ascii="Times New Roman" w:hAnsi="Times New Roman"/>
                <w:sz w:val="24"/>
              </w:rPr>
              <w:t>Influencer–Brand Fit</w:t>
            </w:r>
          </w:p>
        </w:tc>
        <w:tc>
          <w:tcPr>
            <w:tcW w:type="dxa" w:w="1984"/>
          </w:tcPr>
          <w:p>
            <w:pPr>
              <w:spacing w:after="40" w:line="240" w:lineRule="auto"/>
            </w:pPr>
            <w:r>
              <w:rPr>
                <w:rFonts w:ascii="Times New Roman" w:hAnsi="Times New Roman"/>
                <w:sz w:val="24"/>
              </w:rPr>
              <w:t>Terdapat keselarasan antara citra influencer acuan saya dengan citra merek acuan saya.</w:t>
            </w:r>
          </w:p>
        </w:tc>
        <w:tc>
          <w:tcPr>
            <w:tcW w:type="dxa" w:w="1984"/>
          </w:tcPr>
          <w:p>
            <w:pPr>
              <w:spacing w:after="40" w:line="240" w:lineRule="auto"/>
            </w:pPr>
            <w:r>
              <w:rPr>
                <w:rFonts w:ascii="Times New Roman" w:hAnsi="Times New Roman"/>
                <w:sz w:val="24"/>
              </w:rPr>
              <w:t>Butir kontrol peneliti</w:t>
            </w:r>
          </w:p>
        </w:tc>
      </w:tr>
      <w:tr>
        <w:tc>
          <w:tcPr>
            <w:tcW w:type="dxa" w:w="1984"/>
          </w:tcPr>
          <w:p>
            <w:pPr>
              <w:spacing w:after="40" w:line="240" w:lineRule="auto"/>
            </w:pPr>
            <w:r>
              <w:rPr>
                <w:rFonts w:ascii="Times New Roman" w:hAnsi="Times New Roman"/>
                <w:sz w:val="24"/>
              </w:rPr>
              <w:t>CTL7</w:t>
            </w:r>
          </w:p>
        </w:tc>
        <w:tc>
          <w:tcPr>
            <w:tcW w:type="dxa" w:w="1984"/>
          </w:tcPr>
          <w:p>
            <w:pPr>
              <w:spacing w:after="40" w:line="240" w:lineRule="auto"/>
            </w:pPr>
            <w:r>
              <w:rPr>
                <w:rFonts w:ascii="Times New Roman" w:hAnsi="Times New Roman"/>
                <w:sz w:val="24"/>
              </w:rPr>
              <w:t>Paparan Disclosure</w:t>
            </w:r>
          </w:p>
        </w:tc>
        <w:tc>
          <w:tcPr>
            <w:tcW w:type="dxa" w:w="1984"/>
          </w:tcPr>
          <w:p>
            <w:pPr>
              <w:spacing w:after="40" w:line="240" w:lineRule="auto"/>
            </w:pPr>
            <w:r>
              <w:rPr>
                <w:rFonts w:ascii="Times New Roman" w:hAnsi="Times New Roman"/>
                <w:sz w:val="24"/>
              </w:rPr>
              <w:t>Saya pernah melihat informasi bahwa kerja sama influencer acuan saya dengan merek acuan saya bersifat bersponsor.</w:t>
            </w:r>
          </w:p>
        </w:tc>
        <w:tc>
          <w:tcPr>
            <w:tcW w:type="dxa" w:w="1984"/>
          </w:tcPr>
          <w:p>
            <w:pPr>
              <w:spacing w:after="40" w:line="240" w:lineRule="auto"/>
            </w:pPr>
            <w:r>
              <w:rPr>
                <w:rFonts w:ascii="Times New Roman" w:hAnsi="Times New Roman"/>
                <w:sz w:val="24"/>
              </w:rPr>
              <w:t>Butir kontrol peneliti</w:t>
            </w:r>
          </w:p>
        </w:tc>
      </w:tr>
      <w:tr>
        <w:tc>
          <w:tcPr>
            <w:tcW w:type="dxa" w:w="1984"/>
          </w:tcPr>
          <w:p>
            <w:pPr>
              <w:spacing w:after="40" w:line="240" w:lineRule="auto"/>
            </w:pPr>
            <w:r>
              <w:rPr>
                <w:rFonts w:ascii="Times New Roman" w:hAnsi="Times New Roman"/>
                <w:sz w:val="24"/>
              </w:rPr>
              <w:t>CTL8</w:t>
            </w:r>
          </w:p>
        </w:tc>
        <w:tc>
          <w:tcPr>
            <w:tcW w:type="dxa" w:w="1984"/>
          </w:tcPr>
          <w:p>
            <w:pPr>
              <w:spacing w:after="40" w:line="240" w:lineRule="auto"/>
            </w:pPr>
            <w:r>
              <w:rPr>
                <w:rFonts w:ascii="Times New Roman" w:hAnsi="Times New Roman"/>
                <w:sz w:val="24"/>
              </w:rPr>
              <w:t>Paparan Disclosure</w:t>
            </w:r>
          </w:p>
        </w:tc>
        <w:tc>
          <w:tcPr>
            <w:tcW w:type="dxa" w:w="1984"/>
          </w:tcPr>
          <w:p>
            <w:pPr>
              <w:spacing w:after="40" w:line="240" w:lineRule="auto"/>
            </w:pPr>
            <w:r>
              <w:rPr>
                <w:rFonts w:ascii="Times New Roman" w:hAnsi="Times New Roman"/>
                <w:sz w:val="24"/>
              </w:rPr>
              <w:t>Influencer acuan saya menyatakan secara terbuka bahwa kontennya bersponsor.</w:t>
            </w:r>
          </w:p>
        </w:tc>
        <w:tc>
          <w:tcPr>
            <w:tcW w:type="dxa" w:w="1984"/>
          </w:tcPr>
          <w:p>
            <w:pPr>
              <w:spacing w:after="40" w:line="240" w:lineRule="auto"/>
            </w:pPr>
            <w:r>
              <w:rPr>
                <w:rFonts w:ascii="Times New Roman" w:hAnsi="Times New Roman"/>
                <w:sz w:val="24"/>
              </w:rPr>
              <w:t>Butir kontrol peneliti</w:t>
            </w:r>
          </w:p>
        </w:tc>
      </w:tr>
    </w:tbl>
    <w:p/>
    <w:p>
      <w:r>
        <w:rPr>
          <w:rFonts w:ascii="Times New Roman" w:hAnsi="Times New Roman"/>
          <w:i/>
          <w:sz w:val="24"/>
        </w:rPr>
        <w:t>Diadaptasi dari berkas PROPOSAL_DISERTASI_TANPA_MODERATOR (tabel 12 pada berkas sumber). Butir AMD10–AMD12 pada berkas sumber (dimensi Partisipasi Sukarela) tidak dicantumkan karena dokumen induk menetapkan tiga domain advokasi; rumusannya tersimpan pada berkas sumber dan dapat diaktifkan kembali bila keputusan berbeda.</w:t>
      </w:r>
    </w:p>
    <w:p>
      <w:pPr>
        <w:pStyle w:val="Heading3"/>
      </w:pPr>
      <w:r>
        <w:rPr>
          <w:rFonts w:ascii="Times New Roman" w:hAnsi="Times New Roman"/>
          <w:sz w:val="24"/>
        </w:rPr>
        <w:t>5. Populasi, penarikan sampel, dan ukuran sampel</w:t>
      </w:r>
    </w:p>
    <w:p>
      <w:r>
        <w:rPr>
          <w:rFonts w:ascii="Times New Roman" w:hAnsi="Times New Roman"/>
          <w:sz w:val="24"/>
        </w:rPr>
        <w:t>Tidak tersedia daftar lengkap individu yang memenuhi seluruh kriteria penelitian. Karena itu, responden direkrut dengan teknik purposive sampling: hanya individu yang memenuhi kriteria penelitian yang dapat mengisi kuesioner. Kanal rekrutmen dan karakteristik sampel dicatat; hasil tidak ditafsirkan sebagai representasi probabilistik seluruh Generasi Z di Sulawesi Utara. Target minimum penelitian direncanakan sebanyak 385 respons sah. Sebelum rekrutmen utama, simulasi daya a priori khusus untuk efek tidak langsung serial H5 akan digunakan untuk menetapkan apakah kebutuhan sampel melebihi target minimum tersebut. Simulasi menetapkan skenario koefisien jalur berdasarkan studi relevan dan/atau pilot, α = 0,05, daya sasaran sekurang-kurangnya 0,80, spesifikasi kovariat pada analisis sensitivitas, serta interval bootstrap yang digunakan. Target akhir dikunci sebelum pengumpulan data utama. Jumlah undangan direncanakan lebih besar daripada target respons sah untuk mengantisipasi respons tidak memenuhi kriteria atau tidak lengkap. Target penyebaran akhir ditetapkan setelah simulasi daya dan pilot, dengan mempertimbangkan proporsi respons tidak sah. Rekrutmen purposif melalui beberapa kanal tidak menghasilkan sampel probabilistik; karena itu simpulan dibatasi pada responden yang memenuhi kriteria. Kriteria kelayakan sampel ditentukan sebelum pengumpulan data: memenuhi seluruh kriteria inklusi, menyelesaikan bagian inti, dan lolos pemeriksaan kualitas yang ditetapkan. Jumlah respons masuk, respons yang tidak memenuhi syarat, respons yang dikeluarkan, dan sampel analitis dilaporkan secara terpisah. Data pilot tidak digabungkan dengan data utama.</w:t>
      </w:r>
    </w:p>
    <w:p>
      <w:r>
        <w:rPr>
          <w:rFonts w:ascii="Times New Roman" w:hAnsi="Times New Roman"/>
          <w:b/>
          <w:sz w:val="24"/>
        </w:rPr>
        <w:t>Tabel 10. Asumsi kecukupan sampel dan keputusan sebelum pengumpulan data</w:t>
      </w:r>
    </w:p>
    <w:tbl>
      <w:tblPr>
        <w:tblStyle w:val="TableGrid"/>
        <w:tblW w:type="auto" w:w="0"/>
        <w:tblLayout w:type="autofit"/>
        <w:tblLook w:firstColumn="1" w:firstRow="1" w:lastColumn="0" w:lastRow="0" w:noHBand="0" w:noVBand="1" w:val="04A0"/>
      </w:tblPr>
      <w:tblGrid>
        <w:gridCol w:w="2646"/>
        <w:gridCol w:w="2646"/>
        <w:gridCol w:w="2646"/>
      </w:tblGrid>
      <w:tr>
        <w:tc>
          <w:tcPr>
            <w:tcW w:type="dxa" w:w="2646"/>
          </w:tcPr>
          <w:p>
            <w:pPr>
              <w:spacing w:after="40" w:line="240" w:lineRule="auto"/>
            </w:pPr>
            <w:r>
              <w:rPr>
                <w:rFonts w:ascii="Times New Roman" w:hAnsi="Times New Roman"/>
                <w:b/>
                <w:sz w:val="24"/>
              </w:rPr>
              <w:t>Komponen</w:t>
            </w:r>
          </w:p>
        </w:tc>
        <w:tc>
          <w:tcPr>
            <w:tcW w:type="dxa" w:w="2646"/>
          </w:tcPr>
          <w:p>
            <w:pPr>
              <w:spacing w:after="40" w:line="240" w:lineRule="auto"/>
            </w:pPr>
            <w:r>
              <w:rPr>
                <w:rFonts w:ascii="Times New Roman" w:hAnsi="Times New Roman"/>
                <w:b/>
                <w:sz w:val="24"/>
              </w:rPr>
              <w:t>Asumsi/ketentuan</w:t>
            </w:r>
          </w:p>
        </w:tc>
        <w:tc>
          <w:tcPr>
            <w:tcW w:type="dxa" w:w="2646"/>
          </w:tcPr>
          <w:p>
            <w:pPr>
              <w:spacing w:after="40" w:line="240" w:lineRule="auto"/>
            </w:pPr>
            <w:r>
              <w:rPr>
                <w:rFonts w:ascii="Times New Roman" w:hAnsi="Times New Roman"/>
                <w:b/>
                <w:sz w:val="24"/>
              </w:rPr>
              <w:t>Makna untuk rancangan</w:t>
            </w:r>
          </w:p>
        </w:tc>
      </w:tr>
      <w:tr>
        <w:tc>
          <w:tcPr>
            <w:tcW w:type="dxa" w:w="2646"/>
          </w:tcPr>
          <w:p>
            <w:pPr>
              <w:spacing w:after="40" w:line="240" w:lineRule="auto"/>
            </w:pPr>
            <w:r>
              <w:rPr>
                <w:rFonts w:ascii="Times New Roman" w:hAnsi="Times New Roman"/>
                <w:sz w:val="24"/>
              </w:rPr>
              <w:t>Uji jalur tunggal terkecil yang direncanakan</w:t>
            </w:r>
          </w:p>
        </w:tc>
        <w:tc>
          <w:tcPr>
            <w:tcW w:type="dxa" w:w="2646"/>
          </w:tcPr>
          <w:p>
            <w:pPr>
              <w:spacing w:after="40" w:line="240" w:lineRule="auto"/>
            </w:pPr>
            <w:r>
              <w:rPr>
                <w:rFonts w:ascii="Times New Roman" w:hAnsi="Times New Roman"/>
                <w:sz w:val="24"/>
              </w:rPr>
              <w:t>R² increase, 1 prediktor; α=0,05; daya 0,80; f²=0,02</w:t>
            </w:r>
          </w:p>
        </w:tc>
        <w:tc>
          <w:tcPr>
            <w:tcW w:type="dxa" w:w="2646"/>
          </w:tcPr>
          <w:p>
            <w:pPr>
              <w:spacing w:after="40" w:line="240" w:lineRule="auto"/>
            </w:pPr>
            <w:r>
              <w:rPr>
                <w:rFonts w:ascii="Times New Roman" w:hAnsi="Times New Roman"/>
                <w:sz w:val="24"/>
              </w:rPr>
              <w:t>Pendekatan kebutuhan sekitar N=395; bukan daya mediasi.</w:t>
            </w:r>
          </w:p>
        </w:tc>
      </w:tr>
      <w:tr>
        <w:tc>
          <w:tcPr>
            <w:tcW w:type="dxa" w:w="2646"/>
          </w:tcPr>
          <w:p>
            <w:pPr>
              <w:spacing w:after="40" w:line="240" w:lineRule="auto"/>
            </w:pPr>
            <w:r>
              <w:rPr>
                <w:rFonts w:ascii="Times New Roman" w:hAnsi="Times New Roman"/>
                <w:sz w:val="24"/>
              </w:rPr>
              <w:t>Sensitivitas efek yang lebih kecil</w:t>
            </w:r>
          </w:p>
        </w:tc>
        <w:tc>
          <w:tcPr>
            <w:tcW w:type="dxa" w:w="2646"/>
          </w:tcPr>
          <w:p>
            <w:pPr>
              <w:spacing w:after="40" w:line="240" w:lineRule="auto"/>
            </w:pPr>
            <w:r>
              <w:rPr>
                <w:rFonts w:ascii="Times New Roman" w:hAnsi="Times New Roman"/>
                <w:sz w:val="24"/>
              </w:rPr>
              <w:t>R² increase; f²=0,01 pada α=0,05 dan daya 0,80</w:t>
            </w:r>
          </w:p>
        </w:tc>
        <w:tc>
          <w:tcPr>
            <w:tcW w:type="dxa" w:w="2646"/>
          </w:tcPr>
          <w:p>
            <w:pPr>
              <w:spacing w:after="40" w:line="240" w:lineRule="auto"/>
            </w:pPr>
            <w:r>
              <w:rPr>
                <w:rFonts w:ascii="Times New Roman" w:hAnsi="Times New Roman"/>
                <w:sz w:val="24"/>
              </w:rPr>
              <w:t>Pendekatan kebutuhan sekitar N=787; melampaui target 700.</w:t>
            </w:r>
          </w:p>
        </w:tc>
      </w:tr>
      <w:tr>
        <w:tc>
          <w:tcPr>
            <w:tcW w:type="dxa" w:w="2646"/>
          </w:tcPr>
          <w:p>
            <w:pPr>
              <w:spacing w:after="40" w:line="240" w:lineRule="auto"/>
            </w:pPr>
            <w:r>
              <w:rPr>
                <w:rFonts w:ascii="Times New Roman" w:hAnsi="Times New Roman"/>
                <w:sz w:val="24"/>
              </w:rPr>
              <w:t>Sasaran penelitian</w:t>
            </w:r>
          </w:p>
        </w:tc>
        <w:tc>
          <w:tcPr>
            <w:tcW w:type="dxa" w:w="2646"/>
          </w:tcPr>
          <w:p>
            <w:pPr>
              <w:spacing w:after="40" w:line="240" w:lineRule="auto"/>
            </w:pPr>
            <w:r>
              <w:rPr>
                <w:rFonts w:ascii="Times New Roman" w:hAnsi="Times New Roman"/>
                <w:sz w:val="24"/>
              </w:rPr>
              <w:t>Minimum 385 respons sah; sasaran perluasan 700 jawaban sah (850–900 formulir)</w:t>
            </w:r>
          </w:p>
        </w:tc>
        <w:tc>
          <w:tcPr>
            <w:tcW w:type="dxa" w:w="2646"/>
          </w:tcPr>
          <w:p>
            <w:pPr>
              <w:spacing w:after="40" w:line="240" w:lineRule="auto"/>
            </w:pPr>
            <w:r>
              <w:rPr>
                <w:rFonts w:ascii="Times New Roman" w:hAnsi="Times New Roman"/>
                <w:sz w:val="24"/>
              </w:rPr>
              <w:t>Sasaran praktis konservatif yang harus dibandingkan hasil pilot.</w:t>
            </w:r>
          </w:p>
        </w:tc>
      </w:tr>
      <w:tr>
        <w:tc>
          <w:tcPr>
            <w:tcW w:type="dxa" w:w="2646"/>
          </w:tcPr>
          <w:p>
            <w:pPr>
              <w:spacing w:after="40" w:line="240" w:lineRule="auto"/>
            </w:pPr>
            <w:r>
              <w:rPr>
                <w:rFonts w:ascii="Times New Roman" w:hAnsi="Times New Roman"/>
                <w:sz w:val="24"/>
              </w:rPr>
              <w:t>Efek tidak langsung spesifik</w:t>
            </w:r>
          </w:p>
        </w:tc>
        <w:tc>
          <w:tcPr>
            <w:tcW w:type="dxa" w:w="2646"/>
          </w:tcPr>
          <w:p>
            <w:pPr>
              <w:spacing w:after="40" w:line="240" w:lineRule="auto"/>
            </w:pPr>
            <w:r>
              <w:rPr>
                <w:rFonts w:ascii="Times New Roman" w:hAnsi="Times New Roman"/>
                <w:sz w:val="24"/>
              </w:rPr>
              <w:t>Produk a×b×c; asumsi tiap jalur, sebaran, dan kovariat ditetapkan dari pilot/literatur</w:t>
            </w:r>
          </w:p>
        </w:tc>
        <w:tc>
          <w:tcPr>
            <w:tcW w:type="dxa" w:w="2646"/>
          </w:tcPr>
          <w:p>
            <w:pPr>
              <w:spacing w:after="40" w:line="240" w:lineRule="auto"/>
            </w:pPr>
            <w:r>
              <w:rPr>
                <w:rFonts w:ascii="Times New Roman" w:hAnsi="Times New Roman"/>
                <w:sz w:val="24"/>
              </w:rPr>
              <w:t>Simulasi daya Monte Carlo dilampirkan sebelum survei utama.</w:t>
            </w:r>
          </w:p>
        </w:tc>
      </w:tr>
      <w:tr>
        <w:tc>
          <w:tcPr>
            <w:tcW w:type="dxa" w:w="2646"/>
          </w:tcPr>
          <w:p>
            <w:pPr>
              <w:spacing w:after="40" w:line="240" w:lineRule="auto"/>
            </w:pPr>
            <w:r>
              <w:rPr>
                <w:rFonts w:ascii="Times New Roman" w:hAnsi="Times New Roman"/>
                <w:sz w:val="24"/>
              </w:rPr>
              <w:t>Kontrol dan subkelompok</w:t>
            </w:r>
          </w:p>
        </w:tc>
        <w:tc>
          <w:tcPr>
            <w:tcW w:type="dxa" w:w="2646"/>
          </w:tcPr>
          <w:p>
            <w:pPr>
              <w:spacing w:after="40" w:line="240" w:lineRule="auto"/>
            </w:pPr>
            <w:r>
              <w:rPr>
                <w:rFonts w:ascii="Times New Roman" w:hAnsi="Times New Roman"/>
                <w:sz w:val="24"/>
              </w:rPr>
              <w:t>Variabel yang memiliki alasan teoretis; analisis kelompok terbatas</w:t>
            </w:r>
          </w:p>
        </w:tc>
        <w:tc>
          <w:tcPr>
            <w:tcW w:type="dxa" w:w="2646"/>
          </w:tcPr>
          <w:p>
            <w:pPr>
              <w:spacing w:after="40" w:line="240" w:lineRule="auto"/>
            </w:pPr>
            <w:r>
              <w:rPr>
                <w:rFonts w:ascii="Times New Roman" w:hAnsi="Times New Roman"/>
                <w:sz w:val="24"/>
              </w:rPr>
              <w:t>Terlalu banyak kontrol atau kelompok kecil menurunkan ketelitian.</w:t>
            </w:r>
          </w:p>
        </w:tc>
      </w:tr>
    </w:tbl>
    <w:p/>
    <w:p>
      <w:r>
        <w:rPr>
          <w:rFonts w:ascii="Times New Roman" w:hAnsi="Times New Roman"/>
          <w:i/>
          <w:sz w:val="24"/>
        </w:rPr>
        <w:t>Diadaptasi dari berkas PROPOSAL_DISERTASI_TANPA_MODERATOR (tabel 13 pada berkas sumber); perhitungan noncentral F (2026), sejalan dengan Faul et al. (2009) dan Preacher &amp; Selig (2012). Lihat Catatan Integrasi butir 1.</w:t>
      </w:r>
    </w:p>
    <w:p>
      <w:pPr>
        <w:pStyle w:val="Heading3"/>
      </w:pPr>
      <w:r>
        <w:rPr>
          <w:rFonts w:ascii="Times New Roman" w:hAnsi="Times New Roman"/>
          <w:sz w:val="24"/>
        </w:rPr>
        <w:t>6. Informasi demografis dan paparan</w:t>
      </w:r>
    </w:p>
    <w:p>
      <w:r>
        <w:rPr>
          <w:rFonts w:ascii="Times New Roman" w:hAnsi="Times New Roman"/>
          <w:sz w:val="24"/>
        </w:rPr>
        <w:t>Data demografis meliputi usia, jenis kelamin, pendidikan, status pekerjaan, kabupaten/kota domisili, platform utama, serta frekuensi penggunaan media sosial. Tiga pertanyaan tambahan mencatat pengalaman menggunakan merek, tingkat pengenalan merek, dan paparan pengungkapan sponsor. Seluruh informasi tersebut disajikan untuk menggambarkan sampel dan konteks jawaban, bukan sebagai jalur atau hipotesis tambahan.</w:t>
      </w:r>
    </w:p>
    <w:p>
      <w:pPr>
        <w:pStyle w:val="Heading2"/>
      </w:pPr>
      <w:r>
        <w:rPr>
          <w:rFonts w:ascii="Times New Roman" w:hAnsi="Times New Roman"/>
          <w:sz w:val="24"/>
        </w:rPr>
        <w:t>C. Prosedur Riset</w:t>
      </w:r>
    </w:p>
    <w:p>
      <w:pPr>
        <w:pStyle w:val="Heading3"/>
      </w:pPr>
      <w:r>
        <w:rPr>
          <w:rFonts w:ascii="Times New Roman" w:hAnsi="Times New Roman"/>
          <w:sz w:val="24"/>
        </w:rPr>
        <w:t>1. Tahapan penelitian</w:t>
      </w:r>
    </w:p>
    <w:p>
      <w:r>
        <w:rPr>
          <w:rFonts w:ascii="Times New Roman" w:hAnsi="Times New Roman"/>
          <w:sz w:val="24"/>
        </w:rPr>
        <w:t>Penelitian direncanakan melalui lima tahap: (1) penyempurnaan teori dan instrumen; (2) penilaian ahli serta uji coba instrumen; (3) pengumpulan data utama; (4) pemeriksaan dan analisis data; serta (5) penulisan hasil dan persiapan seminar. Perubahan pada kuesioner atau kriteria analisis setelah pengumpulan data dimulai dicatat agar pembaca dapat membedakan rencana awal dari penyesuaian selama penelitian.</w:t>
      </w:r>
    </w:p>
    <w:p>
      <w:pPr>
        <w:pStyle w:val="Heading3"/>
      </w:pPr>
      <w:r>
        <w:rPr>
          <w:rFonts w:ascii="Times New Roman" w:hAnsi="Times New Roman"/>
          <w:sz w:val="24"/>
        </w:rPr>
        <w:t>2. Adaptasi dan uji instrumen</w:t>
      </w:r>
    </w:p>
    <w:p>
      <w:r>
        <w:rPr>
          <w:rFonts w:ascii="Times New Roman" w:hAnsi="Times New Roman"/>
          <w:sz w:val="24"/>
        </w:rPr>
        <w:t xml:space="preserve">Instrumen penelitian mengadaptasi skala terdahulu dan mengoperasionalkan indikator berdasarkan definisi konstruk. Pada tahap pengembangan, matriks item-per-item mencatat sumber, redaksi asal bila tersedia, redaksi Bahasa Indonesia, jenis dan alasan perubahan, serta hasil penilaian ahli dan pilot. Terjemahan awal dan pemeriksaan balik dilakukan oleh penerjemah yang berbeda. Tiga sampai lima ahli pemasaran atau metodologi menilai kejelasan, relevansi, kesesuaian objek, dan keterwakilan dimensi. Penerjemahan bertujuan mempertahankan makna konstruk, bukan sekadar mengganti kata bahasa sumber dengan padanan literal. Setelah terjemahan awal dan pemeriksaan balik, istilah “keterpercayaan”, “hubungan”, “autentisitas”, dan “advokasi” ditelaah agar memiliki makna yang jelas dalam konteks responden. Panel ahli menilai relevansi butir terhadap dimensi, keterbacaan, kesesuaian objek, serta kemungkinan dua gagasan tercampur dalam satu pernyataan. Wawancara kognitif kepada sekitar 10–15 calon responden memberi perhatian pada pemahaman atas kata “teman”, “memahami influencer”, “integritas merek”, dan “membela merek”. Responden diminta menjelaskan alasan memilih jawaban serta menandai istilah yang tidak jelas. Catatan wawancara menjadi dasar revisi redaksi, bukan dasar untuk mengubah hipotesis. Setelah revisi, instrumen dipilotkan kepada sekitar 50–100 responden di luar sampel utama untuk memeriksa alur formulir, waktu pengisian, distribusi jawaban, dan masalah teknis. Reliabilitas awal hanya menjadi petunjuk konsistensi, bukan bukti validitas. Keputusan mempertahankan atau menghapus butir mempertimbangkan teori dan cakupan dimensi; data pilot tidak digabungkan dengan sampel utama. </w:t>
      </w:r>
      <w:r>
        <w:rPr>
          <w:rFonts w:ascii="Times New Roman" w:hAnsi="Times New Roman"/>
          <w:b/>
          <w:sz w:val="24"/>
        </w:rPr>
        <w:t>Tabel 11. Tahapan penilaian dan uji instrumen</w:t>
      </w:r>
    </w:p>
    <w:tbl>
      <w:tblPr>
        <w:tblStyle w:val="TableGrid"/>
        <w:tblW w:type="auto" w:w="0"/>
        <w:tblLayout w:type="autofit"/>
        <w:tblLook w:firstColumn="1" w:firstRow="1" w:lastColumn="0" w:lastRow="0" w:noHBand="0" w:noVBand="1" w:val="04A0"/>
      </w:tblPr>
      <w:tblGrid>
        <w:gridCol w:w="2646"/>
        <w:gridCol w:w="2646"/>
        <w:gridCol w:w="2646"/>
      </w:tblGrid>
      <w:tr>
        <w:tc>
          <w:tcPr>
            <w:tcW w:type="dxa" w:w="2646"/>
          </w:tcPr>
          <w:p>
            <w:pPr>
              <w:spacing w:after="40" w:line="240" w:lineRule="auto"/>
            </w:pPr>
            <w:r>
              <w:rPr>
                <w:rFonts w:ascii="Times New Roman" w:hAnsi="Times New Roman"/>
                <w:b/>
                <w:sz w:val="24"/>
              </w:rPr>
              <w:t>Tahap</w:t>
            </w:r>
          </w:p>
        </w:tc>
        <w:tc>
          <w:tcPr>
            <w:tcW w:type="dxa" w:w="2646"/>
          </w:tcPr>
          <w:p>
            <w:pPr>
              <w:spacing w:after="40" w:line="240" w:lineRule="auto"/>
            </w:pPr>
            <w:r>
              <w:rPr>
                <w:rFonts w:ascii="Times New Roman" w:hAnsi="Times New Roman"/>
                <w:b/>
                <w:sz w:val="24"/>
              </w:rPr>
              <w:t>Perkiraan peserta</w:t>
            </w:r>
          </w:p>
        </w:tc>
        <w:tc>
          <w:tcPr>
            <w:tcW w:type="dxa" w:w="2646"/>
          </w:tcPr>
          <w:p>
            <w:pPr>
              <w:spacing w:after="40" w:line="240" w:lineRule="auto"/>
            </w:pPr>
            <w:r>
              <w:rPr>
                <w:rFonts w:ascii="Times New Roman" w:hAnsi="Times New Roman"/>
                <w:b/>
                <w:sz w:val="24"/>
              </w:rPr>
              <w:t>Tujuan</w:t>
            </w:r>
          </w:p>
        </w:tc>
      </w:tr>
      <w:tr>
        <w:tc>
          <w:tcPr>
            <w:tcW w:type="dxa" w:w="2646"/>
          </w:tcPr>
          <w:p>
            <w:pPr>
              <w:spacing w:after="40" w:line="240" w:lineRule="auto"/>
            </w:pPr>
            <w:r>
              <w:rPr>
                <w:rFonts w:ascii="Times New Roman" w:hAnsi="Times New Roman"/>
                <w:sz w:val="24"/>
              </w:rPr>
              <w:t>Penilaian ahli</w:t>
            </w:r>
          </w:p>
        </w:tc>
        <w:tc>
          <w:tcPr>
            <w:tcW w:type="dxa" w:w="2646"/>
          </w:tcPr>
          <w:p>
            <w:pPr>
              <w:spacing w:after="40" w:line="240" w:lineRule="auto"/>
            </w:pPr>
            <w:r>
              <w:rPr>
                <w:rFonts w:ascii="Times New Roman" w:hAnsi="Times New Roman"/>
                <w:sz w:val="24"/>
              </w:rPr>
              <w:t>3–5 orang</w:t>
            </w:r>
          </w:p>
        </w:tc>
        <w:tc>
          <w:tcPr>
            <w:tcW w:type="dxa" w:w="2646"/>
          </w:tcPr>
          <w:p>
            <w:pPr>
              <w:spacing w:after="40" w:line="240" w:lineRule="auto"/>
            </w:pPr>
            <w:r>
              <w:rPr>
                <w:rFonts w:ascii="Times New Roman" w:hAnsi="Times New Roman"/>
                <w:sz w:val="24"/>
              </w:rPr>
              <w:t>Menilai kesesuaian dan kejelasan isi</w:t>
            </w:r>
          </w:p>
        </w:tc>
      </w:tr>
      <w:tr>
        <w:tc>
          <w:tcPr>
            <w:tcW w:type="dxa" w:w="2646"/>
          </w:tcPr>
          <w:p>
            <w:pPr>
              <w:spacing w:after="40" w:line="240" w:lineRule="auto"/>
            </w:pPr>
            <w:r>
              <w:rPr>
                <w:rFonts w:ascii="Times New Roman" w:hAnsi="Times New Roman"/>
                <w:sz w:val="24"/>
              </w:rPr>
              <w:t>Wawancara kognitif</w:t>
            </w:r>
          </w:p>
        </w:tc>
        <w:tc>
          <w:tcPr>
            <w:tcW w:type="dxa" w:w="2646"/>
          </w:tcPr>
          <w:p>
            <w:pPr>
              <w:spacing w:after="40" w:line="240" w:lineRule="auto"/>
            </w:pPr>
            <w:r>
              <w:rPr>
                <w:rFonts w:ascii="Times New Roman" w:hAnsi="Times New Roman"/>
                <w:sz w:val="24"/>
              </w:rPr>
              <w:t>10–15 orang</w:t>
            </w:r>
          </w:p>
        </w:tc>
        <w:tc>
          <w:tcPr>
            <w:tcW w:type="dxa" w:w="2646"/>
          </w:tcPr>
          <w:p>
            <w:pPr>
              <w:spacing w:after="40" w:line="240" w:lineRule="auto"/>
            </w:pPr>
            <w:r>
              <w:rPr>
                <w:rFonts w:ascii="Times New Roman" w:hAnsi="Times New Roman"/>
                <w:sz w:val="24"/>
              </w:rPr>
              <w:t>Memeriksa pemahaman instruksi dan butir</w:t>
            </w:r>
          </w:p>
        </w:tc>
      </w:tr>
      <w:tr>
        <w:tc>
          <w:tcPr>
            <w:tcW w:type="dxa" w:w="2646"/>
          </w:tcPr>
          <w:p>
            <w:pPr>
              <w:spacing w:after="40" w:line="240" w:lineRule="auto"/>
            </w:pPr>
            <w:r>
              <w:rPr>
                <w:rFonts w:ascii="Times New Roman" w:hAnsi="Times New Roman"/>
                <w:sz w:val="24"/>
              </w:rPr>
              <w:t>Uji coba instrumen</w:t>
            </w:r>
          </w:p>
        </w:tc>
        <w:tc>
          <w:tcPr>
            <w:tcW w:type="dxa" w:w="2646"/>
          </w:tcPr>
          <w:p>
            <w:pPr>
              <w:spacing w:after="40" w:line="240" w:lineRule="auto"/>
            </w:pPr>
            <w:r>
              <w:rPr>
                <w:rFonts w:ascii="Times New Roman" w:hAnsi="Times New Roman"/>
                <w:sz w:val="24"/>
              </w:rPr>
              <w:t>50–100 orang</w:t>
            </w:r>
          </w:p>
        </w:tc>
        <w:tc>
          <w:tcPr>
            <w:tcW w:type="dxa" w:w="2646"/>
          </w:tcPr>
          <w:p>
            <w:pPr>
              <w:spacing w:after="40" w:line="240" w:lineRule="auto"/>
            </w:pPr>
            <w:r>
              <w:rPr>
                <w:rFonts w:ascii="Times New Roman" w:hAnsi="Times New Roman"/>
                <w:sz w:val="24"/>
              </w:rPr>
              <w:t>Memeriksa alur kuesioner dan kualitas awal butir</w:t>
            </w:r>
          </w:p>
        </w:tc>
      </w:tr>
    </w:tbl>
    <w:p/>
    <w:p>
      <w:pPr>
        <w:pStyle w:val="Heading3"/>
      </w:pPr>
      <w:r>
        <w:rPr>
          <w:rFonts w:ascii="Times New Roman" w:hAnsi="Times New Roman"/>
          <w:sz w:val="24"/>
        </w:rPr>
        <w:t>3. Pengumpulan data</w:t>
      </w:r>
    </w:p>
    <w:p>
      <w:r>
        <w:rPr>
          <w:rFonts w:ascii="Times New Roman" w:hAnsi="Times New Roman"/>
          <w:sz w:val="24"/>
        </w:rPr>
        <w:t>Halaman pertama formulir memuat informasi penelitian, hak partisipan, perkiraan waktu yang telah diukur pada pilot, pengelolaan data, dan pilihan persetujuan. Responden yang tidak setuju diarahkan keluar dari formulir. Setelah penyaringan kelayakan, responden menetapkan satu influencer dan satu merek acuan. Urutan blok utama adalah kredibilitas influencer, hubungan parasosial, autentisitas merek, kesediaan advokasi, informasi tambahan tentang merek dan paparan, lalu data demografis. Instruksi menyebutkan kembali influencer atau merek acuan sebelum blok terkait untuk mengurangi pergantian objek penilaian. Rekrutmen dapat disebarkan melalui kanal komunitas, jaringan pendidikan, dan media sosial yang dapat menjangkau responden sesuai kriteria. Undangan memuat ringkasan penelitian dan tautan menuju lembar informasi; pihak yang membagikan tautan tidak diminta mengumpulkan jawaban atas nama peneliti. Penyebaran melalui lebih dari satu kanal membantu mengurangi ketergantungan pada satu jaringan, tetapi tidak menghapus bias seleksi diri yang melekat pada survei daring purposif. Pertanyaan penyaring memastikan usia, domisili, penggunaan media sosial, pengalaman mengikuti influencer, dan paparan promosi atau rekomendasi. Jawaban mengenai nama influencer dan merek digunakan untuk memeriksa konsistensi objek, disimpan dengan akses terbatas, dan tidak disajikan bersama identitas responden. Formulir diuji pada telepon seluler dan perangkat yang umum digunakan. Desain tidak meminta kata sandi, akses akun, pesan pribadi, atau tangkapan layar. Identitas yang tidak diperlukan tidak dikumpulkan. Jika insentif partisipasi diberikan, besar dan bentuknya tidak boleh bergantung pada jawaban atau arah hipotesis, dan harus mendapat persetujuan etik.</w:t>
      </w:r>
    </w:p>
    <w:p>
      <w:pPr>
        <w:pStyle w:val="Heading3"/>
      </w:pPr>
      <w:r>
        <w:rPr>
          <w:rFonts w:ascii="Times New Roman" w:hAnsi="Times New Roman"/>
          <w:sz w:val="24"/>
        </w:rPr>
        <w:t>4. Kualitas data, bias metode bersama, dan data hilang</w:t>
      </w:r>
    </w:p>
    <w:p>
      <w:r>
        <w:rPr>
          <w:rFonts w:ascii="Times New Roman" w:hAnsi="Times New Roman"/>
          <w:sz w:val="24"/>
        </w:rPr>
        <w:t>Pemeriksaan kualitas dilakukan dengan aturan yang transparan. Dua butir perhatian ditempatkan pada lokasi berbeda. Respons yang gagal pada pemeriksaan, mengisi dalam waktu tidak wajar, atau menunjukkan pola identik akan ditinjau berdasarkan kombinasi bukti. Satu indikator tidak digunakan sebagai dasar tunggal untuk menghapus respons tanpa alasan. Jumlah undangan, respons masuk, respons yang memenuhi syarat, respons dikeluarkan, dan sampel analitis dilaporkan secara terpisah. Pemeriksaan duplikasi dilakukan dengan cara yang tidak meminta data sensitif yang tidak diperlukan. Jika platform survei menyediakan penanda teknis yang aman, penanda tersebut dapat membantu menemukan pengiriman berulang; peneliti tidak meminta alamat surel, nomor telepon, atau akun media sosial hanya untuk mengidentifikasi responden kecuali ada persetujuan dan kebutuhan etik yang jelas. Respons yang meragukan ditinjau berdasarkan gabungan waktu, pola jawaban, kelengkapan, dan pemeriksaan perhatian, dengan alasan pengeluaran dicatat. Jawaban “tidak dapat menilai” pada butir merek diperlakukan sebagai data hilang dan tidak pernah dikodekan sebagai netral. Proporsi dan pola dilaporkan per butir, khususnya untuk kontinuitas dan integritas. Skor dimensi tiga-butir dihitung jika minimal dua jawaban skala tersedia; bila kurang dari dua, dimensi dinyatakan hilang dan responden dikeluarkan dari analisis utama. Tidak ada imputasi netral atau penghapusan butir pascahoc. Jumlah kasus yang digunakan pada setiap tahap dilaporkan. Bias metode bersama mungkin terjadi karena konstruk utama diukur melalui laporan diri pada waktu yang sama. Upaya prosedural mencakup penegasan bahwa tidak ada jawaban benar, kerahasiaan respons, pemisahan jelas antara objek influencer dan merek, serta susunan pertanyaan yang konsisten. Pemeriksaan kolinearitas penuh dapat disajikan sebagai diagnostik tambahan (Kock, 2015), tetapi satu nilai statistik tidak membuktikan bahwa bias metode bersama tidak ada. Interpretasi harus mempertimbangkan batas survei satu sumber dan dapat diperkuat pada penelitian lanjutan dengan jeda waktu, sumber data berbeda, atau indikator perilaku yang terpisah.</w:t>
      </w:r>
    </w:p>
    <w:p>
      <w:pPr>
        <w:pStyle w:val="Heading3"/>
      </w:pPr>
      <w:r>
        <w:rPr>
          <w:rFonts w:ascii="Times New Roman" w:hAnsi="Times New Roman"/>
          <w:sz w:val="24"/>
        </w:rPr>
        <w:t>5. Etika dan perlindungan data</w:t>
      </w:r>
    </w:p>
    <w:p>
      <w:r>
        <w:rPr>
          <w:rFonts w:ascii="Times New Roman" w:hAnsi="Times New Roman"/>
          <w:sz w:val="24"/>
        </w:rPr>
        <w:t>Sebelum rekrutmen dimulai, lembar informasi partisipan memuat informasi institusional, persetujuan etik yang relevan, kontak resmi peneliti, perkiraan waktu pengisian hasil pilot, masa retensi, dan prosedur perlindungan data sesuai keputusan komisi etik dan kebijakan institusi. Data mentah disimpan dengan akses terbatas. Kunci yang menghubungkan kontak dan respons, apabila diperlukan untuk tindak lanjut, dipisahkan dari berkas analisis. Pelaporan tidak menampilkan nama pengguna atau kutipan yang dapat mengidentifikasi individu tanpa persetujuan terpisah. Prosedur akhir mengikuti ketentuan komisi etik dan kebijakan institusi.</w:t>
      </w:r>
    </w:p>
    <w:p>
      <w:pPr>
        <w:pStyle w:val="Heading2"/>
      </w:pPr>
      <w:r>
        <w:rPr>
          <w:rFonts w:ascii="Times New Roman" w:hAnsi="Times New Roman"/>
          <w:sz w:val="24"/>
        </w:rPr>
        <w:t>D. Analisis Data</w:t>
      </w:r>
    </w:p>
    <w:p>
      <w:r>
        <w:rPr>
          <w:rFonts w:ascii="Times New Roman" w:hAnsi="Times New Roman"/>
          <w:sz w:val="24"/>
        </w:rPr>
        <w:t>Analisis utama menggunakan SmartPLS 4 dengan prosedur disjoint twostage. Tahap pertama mengestimasi 13 dimensi reflektif; PLSc hanya dipertimbangkan untuk blok faktor reflektif. Skor dimensi tahap pertama digunakan pada tahap kedua sebagai indikator formatif bagi empat konstruk tingkat lebih tinggi; konstruk formatif tidak menerima koreksi disattenuasi PLSc. Analisis jalur utama tidak memasukkan kovariat. Analisis sensitivitas yang telah ditetapkan memasukkan familiaritas merek, pengalaman menggunakan merek, dan paparan pengungkapan sponsor sebagai prediktor AM dan AMD saja; ketiganya tidak ditambahkan ke persamaan HP. Pengujian efek jalur dan efek tidak langsung menggunakan 5.000 bootstrap resamples dan satu kriteria inferensi utama, yaitu interval BCa dua sisi 95% pada SmartPLS 4. Perangkat lunak, nomor versi lengkap, opsi algoritme, pengaturan data hilang, dan parameter bootstrap dicatat pada rencana analisis sebelum data dibuka; tidak dilakukan replikasi lintas perangkat lunak sebagai syarat keputusan. Hasil dipisahkan menjadi alur/profil sampel, mutu pengukuran, dan estimasi jalur beserta interval ketidakpastian.</w:t>
      </w:r>
    </w:p>
    <w:p>
      <w:pPr>
        <w:pStyle w:val="Heading3"/>
      </w:pPr>
      <w:r>
        <w:rPr>
          <w:rFonts w:ascii="Times New Roman" w:hAnsi="Times New Roman"/>
          <w:sz w:val="24"/>
        </w:rPr>
        <w:t>1. Pemeriksaan awal dan deskripsi sampel</w:t>
      </w:r>
    </w:p>
    <w:p>
      <w:r>
        <w:rPr>
          <w:rFonts w:ascii="Times New Roman" w:hAnsi="Times New Roman"/>
          <w:sz w:val="24"/>
        </w:rPr>
        <w:t>Sebelum menguji hipotesis, peneliti memeriksa kelayakan responden, duplikasi, kelengkapan, rentang jawaban, waktu pengisian, pemeriksaan perhatian, dan pola respons berulang. “Tidak dapat menilai” dikodekan sebagai data hilang, bukan nilai netral; proporsi dan pola jawaban dilaporkan per butir. Dalam tiap dimensi AM tiga-butir, skor dihitung dari sedikitnya dua jawaban berskor. Responden tanpa skor untuk salah satu dimensi AM tidak disertakan dalam analisis utama; jumlah kasus setiap tahap dan pemeriksaan sensitivitas kasus lengkap dilaporkan. Profil sampel disajikan secara deskriptif, tanpa klaim representasi populasi.</w:t>
      </w:r>
    </w:p>
    <w:p>
      <w:pPr>
        <w:pStyle w:val="Heading3"/>
      </w:pPr>
      <w:r>
        <w:rPr>
          <w:rFonts w:ascii="Times New Roman" w:hAnsi="Times New Roman"/>
          <w:sz w:val="24"/>
        </w:rPr>
        <w:t>2. Evaluasi model pengukuran tingkat pertama</w:t>
      </w:r>
    </w:p>
    <w:p>
      <w:r>
        <w:rPr>
          <w:rFonts w:ascii="Times New Roman" w:hAnsi="Times New Roman"/>
          <w:sz w:val="24"/>
        </w:rPr>
        <w:t>Evaluasi reflektif dilakukan hanya pada 13 dimensi tingkat pertama, bukan pada empat konstruk tingkat lebih tinggi formatif. Validitas isi diperiksa melalui pemetaan item dan panel ahli; reliabilitas indikator ditinjau dari loading (sekitar 0,708 sebagai acuan), konsistensi internal dari rho_A dan reliabilitas komposit (alpha sebagai pelengkap), serta validitas konvergen dari AVE. Loading 0,40–0,70 tidak dihapus otomatis; keputusan mempertimbangkan isi, reliabilitas, AVE, cakupan dimensi, dan hasil panel/pilot (Hair et al., 2019, 2022). Untuk indikator terstandar, AVE = ???? / [???? + ???] dan reliabilitas komposit (CR) = (???)? / [(???)? + ???], dengan ?? adalah outer loading terstandar dan ?? = 1 ? ??? adalah varians galat indikator. AVE menunjukkan proporsi varians indikator yang dijelaskan konstruk; CR menilai konsistensi internal dengan mempertimbangkan loading. Keduanya dihitung setelah estimasi model pengukuran untuk setiap blok reflektif. Acuan AVE ? 0,50 dan CR sekitar 0,70?0,95 ditafsirkan bersama loading, rho_A, cakupan isi, dan validitas diskriminan; formula reliabilitas reflektif ini tidak diterapkan pada konstruk tingkat lebih tinggi yang formatif. Validitas diskriminan antarblok reflektif diperiksa terutama melalui HTMT dengan interval bootstrap; nilai &lt;0,85 menjadi acuan konservatif, bukan aturan otomatis untuk menghapus item (Henseler, Ringle, &amp; Sarstedt, 2015). Kriteria Fornell–Larcker (Fornell &amp; Larcker, 1981) dapat dilaporkan sebagai pemeriksaan tambahan, bukan satu-satunya bukti. Hubungan KI–AM dinilai dengan perhatian khusus karena objek item berbeda tetapi konsep kredibilitasnya berdekatan. Loading lebih rendah dapat dipertahankan jika butir mewakili isi penting dan mutu dimensi tetap memadai; loading tinggi tidak memperbaiki redaksi yang mengukur konsep keliru. Reliabilitas komposit dan rho_A menilai konsistensi, AVE menilai validitas konvergen, sedangkan HTMT membantu memeriksa pembedaan konstruk. Jika HTMT tinggi, isi butir ditinjau sebelum mempertimbangkan penghapusan indikator. Pilot digunakan untuk memperbaiki instrumen; bukti validitas akhir tetap berasal dari data utama.</w:t>
      </w:r>
    </w:p>
    <w:p>
      <w:r>
        <w:rPr>
          <w:rFonts w:ascii="Times New Roman" w:hAnsi="Times New Roman"/>
          <w:b/>
          <w:sz w:val="24"/>
        </w:rPr>
        <w:t>Tabel 12. Acuan evaluasi model pengukuran</w:t>
      </w:r>
    </w:p>
    <w:tbl>
      <w:tblPr>
        <w:tblStyle w:val="TableGrid"/>
        <w:tblW w:type="auto" w:w="0"/>
        <w:tblLayout w:type="autofit"/>
        <w:tblLook w:firstColumn="1" w:firstRow="1" w:lastColumn="0" w:lastRow="0" w:noHBand="0" w:noVBand="1" w:val="04A0"/>
      </w:tblPr>
      <w:tblGrid>
        <w:gridCol w:w="2646"/>
        <w:gridCol w:w="2646"/>
        <w:gridCol w:w="2646"/>
      </w:tblGrid>
      <w:tr>
        <w:tc>
          <w:tcPr>
            <w:tcW w:type="dxa" w:w="2646"/>
          </w:tcPr>
          <w:p>
            <w:pPr>
              <w:spacing w:after="40" w:line="240" w:lineRule="auto"/>
            </w:pPr>
            <w:r>
              <w:rPr>
                <w:rFonts w:ascii="Times New Roman" w:hAnsi="Times New Roman"/>
                <w:b/>
                <w:sz w:val="24"/>
              </w:rPr>
              <w:t>Aspek pengukuran reflektif</w:t>
            </w:r>
          </w:p>
        </w:tc>
        <w:tc>
          <w:tcPr>
            <w:tcW w:type="dxa" w:w="2646"/>
          </w:tcPr>
          <w:p>
            <w:pPr>
              <w:spacing w:after="40" w:line="240" w:lineRule="auto"/>
            </w:pPr>
            <w:r>
              <w:rPr>
                <w:rFonts w:ascii="Times New Roman" w:hAnsi="Times New Roman"/>
                <w:b/>
                <w:sz w:val="24"/>
              </w:rPr>
              <w:t>Acuan awal</w:t>
            </w:r>
          </w:p>
        </w:tc>
        <w:tc>
          <w:tcPr>
            <w:tcW w:type="dxa" w:w="2646"/>
          </w:tcPr>
          <w:p>
            <w:pPr>
              <w:spacing w:after="40" w:line="240" w:lineRule="auto"/>
            </w:pPr>
            <w:r>
              <w:rPr>
                <w:rFonts w:ascii="Times New Roman" w:hAnsi="Times New Roman"/>
                <w:b/>
                <w:sz w:val="24"/>
              </w:rPr>
              <w:t>Cara mengambil keputusan</w:t>
            </w:r>
          </w:p>
        </w:tc>
      </w:tr>
      <w:tr>
        <w:tc>
          <w:tcPr>
            <w:tcW w:type="dxa" w:w="2646"/>
          </w:tcPr>
          <w:p>
            <w:pPr>
              <w:spacing w:after="40" w:line="240" w:lineRule="auto"/>
            </w:pPr>
            <w:r>
              <w:rPr>
                <w:rFonts w:ascii="Times New Roman" w:hAnsi="Times New Roman"/>
                <w:sz w:val="24"/>
              </w:rPr>
              <w:t>Loading indikator</w:t>
            </w:r>
          </w:p>
        </w:tc>
        <w:tc>
          <w:tcPr>
            <w:tcW w:type="dxa" w:w="2646"/>
          </w:tcPr>
          <w:p>
            <w:pPr>
              <w:spacing w:after="40" w:line="240" w:lineRule="auto"/>
            </w:pPr>
            <w:r>
              <w:rPr>
                <w:rFonts w:ascii="Times New Roman" w:hAnsi="Times New Roman"/>
                <w:sz w:val="24"/>
              </w:rPr>
              <w:t>Ideal sekitar ≥0,708</w:t>
            </w:r>
          </w:p>
        </w:tc>
        <w:tc>
          <w:tcPr>
            <w:tcW w:type="dxa" w:w="2646"/>
          </w:tcPr>
          <w:p>
            <w:pPr>
              <w:spacing w:after="40" w:line="240" w:lineRule="auto"/>
            </w:pPr>
            <w:r>
              <w:rPr>
                <w:rFonts w:ascii="Times New Roman" w:hAnsi="Times New Roman"/>
                <w:sz w:val="24"/>
              </w:rPr>
              <w:t>Evaluasi isi dan kontribusi; butir tidak dihapus otomatis hanya karena berada pada kisaran menengah</w:t>
            </w:r>
          </w:p>
        </w:tc>
      </w:tr>
      <w:tr>
        <w:tc>
          <w:tcPr>
            <w:tcW w:type="dxa" w:w="2646"/>
          </w:tcPr>
          <w:p>
            <w:pPr>
              <w:spacing w:after="40" w:line="240" w:lineRule="auto"/>
            </w:pPr>
            <w:r>
              <w:rPr>
                <w:rFonts w:ascii="Times New Roman" w:hAnsi="Times New Roman"/>
                <w:sz w:val="24"/>
              </w:rPr>
              <w:t>Reliabilitas internal</w:t>
            </w:r>
          </w:p>
        </w:tc>
        <w:tc>
          <w:tcPr>
            <w:tcW w:type="dxa" w:w="2646"/>
          </w:tcPr>
          <w:p>
            <w:pPr>
              <w:spacing w:after="40" w:line="240" w:lineRule="auto"/>
            </w:pPr>
            <w:r>
              <w:rPr>
                <w:rFonts w:ascii="Times New Roman" w:hAnsi="Times New Roman"/>
                <w:sz w:val="24"/>
              </w:rPr>
              <w:t>rho_A/komposit sekitar 0,70–0,95</w:t>
            </w:r>
          </w:p>
        </w:tc>
        <w:tc>
          <w:tcPr>
            <w:tcW w:type="dxa" w:w="2646"/>
          </w:tcPr>
          <w:p>
            <w:pPr>
              <w:spacing w:after="40" w:line="240" w:lineRule="auto"/>
            </w:pPr>
            <w:r>
              <w:rPr>
                <w:rFonts w:ascii="Times New Roman" w:hAnsi="Times New Roman"/>
                <w:sz w:val="24"/>
              </w:rPr>
              <w:t>Nilai terlalu tinggi ditinjau sebagai kemungkinan repetisi butir</w:t>
            </w:r>
          </w:p>
        </w:tc>
      </w:tr>
      <w:tr>
        <w:tc>
          <w:tcPr>
            <w:tcW w:type="dxa" w:w="2646"/>
          </w:tcPr>
          <w:p>
            <w:pPr>
              <w:spacing w:after="40" w:line="240" w:lineRule="auto"/>
            </w:pPr>
            <w:r>
              <w:rPr>
                <w:rFonts w:ascii="Times New Roman" w:hAnsi="Times New Roman"/>
                <w:sz w:val="24"/>
              </w:rPr>
              <w:t>Validitas konvergen</w:t>
            </w:r>
          </w:p>
        </w:tc>
        <w:tc>
          <w:tcPr>
            <w:tcW w:type="dxa" w:w="2646"/>
          </w:tcPr>
          <w:p>
            <w:pPr>
              <w:spacing w:after="40" w:line="240" w:lineRule="auto"/>
            </w:pPr>
            <w:r>
              <w:rPr>
                <w:rFonts w:ascii="Times New Roman" w:hAnsi="Times New Roman"/>
                <w:sz w:val="24"/>
              </w:rPr>
              <w:t>AVE ≥0,50 sebagai sasaran</w:t>
            </w:r>
          </w:p>
        </w:tc>
        <w:tc>
          <w:tcPr>
            <w:tcW w:type="dxa" w:w="2646"/>
          </w:tcPr>
          <w:p>
            <w:pPr>
              <w:spacing w:after="40" w:line="240" w:lineRule="auto"/>
            </w:pPr>
            <w:r>
              <w:rPr>
                <w:rFonts w:ascii="Times New Roman" w:hAnsi="Times New Roman"/>
                <w:sz w:val="24"/>
              </w:rPr>
              <w:t>Ditinjau bersama kualitas indikator dan definisi dimensi</w:t>
            </w:r>
          </w:p>
        </w:tc>
      </w:tr>
      <w:tr>
        <w:tc>
          <w:tcPr>
            <w:tcW w:type="dxa" w:w="2646"/>
          </w:tcPr>
          <w:p>
            <w:pPr>
              <w:spacing w:after="40" w:line="240" w:lineRule="auto"/>
            </w:pPr>
            <w:r>
              <w:rPr>
                <w:rFonts w:ascii="Times New Roman" w:hAnsi="Times New Roman"/>
                <w:sz w:val="24"/>
              </w:rPr>
              <w:t>Validitas diskriminan</w:t>
            </w:r>
          </w:p>
        </w:tc>
        <w:tc>
          <w:tcPr>
            <w:tcW w:type="dxa" w:w="2646"/>
          </w:tcPr>
          <w:p>
            <w:pPr>
              <w:spacing w:after="40" w:line="240" w:lineRule="auto"/>
            </w:pPr>
            <w:r>
              <w:rPr>
                <w:rFonts w:ascii="Times New Roman" w:hAnsi="Times New Roman"/>
                <w:sz w:val="24"/>
              </w:rPr>
              <w:t>HTMT &lt;0,85 sebagai patokan konservatif, interval diperiksa</w:t>
            </w:r>
          </w:p>
        </w:tc>
        <w:tc>
          <w:tcPr>
            <w:tcW w:type="dxa" w:w="2646"/>
          </w:tcPr>
          <w:p>
            <w:pPr>
              <w:spacing w:after="40" w:line="240" w:lineRule="auto"/>
            </w:pPr>
            <w:r>
              <w:rPr>
                <w:rFonts w:ascii="Times New Roman" w:hAnsi="Times New Roman"/>
                <w:sz w:val="24"/>
              </w:rPr>
              <w:t>Penilaian statistik dilengkapi pemeriksaan kesamaan makna butir</w:t>
            </w:r>
          </w:p>
        </w:tc>
      </w:tr>
      <w:tr>
        <w:tc>
          <w:tcPr>
            <w:tcW w:type="dxa" w:w="2646"/>
          </w:tcPr>
          <w:p>
            <w:pPr>
              <w:spacing w:after="40" w:line="240" w:lineRule="auto"/>
            </w:pPr>
            <w:r>
              <w:rPr>
                <w:rFonts w:ascii="Times New Roman" w:hAnsi="Times New Roman"/>
                <w:sz w:val="24"/>
              </w:rPr>
              <w:t>Indikator berkinerja rendah</w:t>
            </w:r>
          </w:p>
        </w:tc>
        <w:tc>
          <w:tcPr>
            <w:tcW w:type="dxa" w:w="2646"/>
          </w:tcPr>
          <w:p>
            <w:pPr>
              <w:spacing w:after="40" w:line="240" w:lineRule="auto"/>
            </w:pPr>
            <w:r>
              <w:rPr>
                <w:rFonts w:ascii="Times New Roman" w:hAnsi="Times New Roman"/>
                <w:sz w:val="24"/>
              </w:rPr>
              <w:t>Loading rendah atau ketidakjelasan isi</w:t>
            </w:r>
          </w:p>
        </w:tc>
        <w:tc>
          <w:tcPr>
            <w:tcW w:type="dxa" w:w="2646"/>
          </w:tcPr>
          <w:p>
            <w:pPr>
              <w:spacing w:after="40" w:line="240" w:lineRule="auto"/>
            </w:pPr>
            <w:r>
              <w:rPr>
                <w:rFonts w:ascii="Times New Roman" w:hAnsi="Times New Roman"/>
                <w:sz w:val="24"/>
              </w:rPr>
              <w:t>Keputusan berdasarkan teori, panel, dan dampak pada domain; perubahan dicatat</w:t>
            </w:r>
          </w:p>
        </w:tc>
      </w:tr>
    </w:tbl>
    <w:p/>
    <w:p>
      <w:r>
        <w:rPr>
          <w:rFonts w:ascii="Times New Roman" w:hAnsi="Times New Roman"/>
          <w:i/>
          <w:sz w:val="24"/>
        </w:rPr>
        <w:t>Diadaptasi dari berkas Proposal Disertasi 14 Oktober 2026 (tabel 7 pada berkas sumber). Acuan bersifat pedoman, bukan ambang mekanis untuk menghapus butir.</w:t>
      </w:r>
    </w:p>
    <w:p>
      <w:pPr>
        <w:pStyle w:val="Heading3"/>
      </w:pPr>
      <w:r>
        <w:rPr>
          <w:rFonts w:ascii="Times New Roman" w:hAnsi="Times New Roman"/>
          <w:sz w:val="24"/>
        </w:rPr>
        <w:t>3. Pemeriksaan dimensi pembentuk konstruk</w:t>
      </w:r>
    </w:p>
    <w:p>
      <w:r>
        <w:rPr>
          <w:rFonts w:ascii="Times New Roman" w:hAnsi="Times New Roman"/>
          <w:sz w:val="24"/>
        </w:rPr>
        <w:t>Empat konstruk tingkat lebih tinggi formatif tidak dinilai dengan alpha, rho_A, reliabilitas komposit, atau AVE. Evaluasinya meliputi kecukupan validitas isi, kolinearitas antardimensi (VIF &lt; 5 sebagai pedoman), bobot formatif beserta interval bootstrap, dan relevansi absolut/loading apabila bobot tidak signifikan. Pemeriksaan redundansi menggunakan empat butir global terpisah yang ditelaah ahli dan tidak dimasukkan ke skor utama. Dimensi tidak dihapus hanya karena bobotnya tidak signifikan apabila penghapusan mengurangi cakupan konseptual; keputusan dicatat (Sarstedt et al., 2019).</w:t>
      </w:r>
    </w:p>
    <w:p>
      <w:pPr>
        <w:pStyle w:val="Heading3"/>
      </w:pPr>
      <w:r>
        <w:rPr>
          <w:rFonts w:ascii="Times New Roman" w:hAnsi="Times New Roman"/>
          <w:sz w:val="24"/>
        </w:rPr>
        <w:t>4. Evaluasi model struktural</w:t>
      </w:r>
    </w:p>
    <w:p>
      <w:r>
        <w:rPr>
          <w:rFonts w:ascii="Times New Roman" w:hAnsi="Times New Roman"/>
          <w:sz w:val="24"/>
        </w:rPr>
        <w:t>Model struktural mengestimasi persamaan HP, AM, dan AMD yang telah ditetapkan di Bab III B, termasuk KI → AM dan HP → AMD. Kolinearitas prediktor diperiksa terpisah dari kolinearitas blok formatif; VIF &lt; 5 digunakan sebagai pedoman, bukan ambang universal. Koefisien jalur, R²/adjusted R², dan f² dilaporkan bersama interval serta makna substantifnya. Model sensitivitas menambahkan hanya familiaritas merek, pengalaman menggunakan merek, dan paparan pengungkapan sponsor pada persamaan AM dan AMD. Koefisien ditafsirkan sebagai asosiasi bersyarat, bukan kausalitas (Hair et al., 2019, 2022).</w:t>
      </w:r>
    </w:p>
    <w:p>
      <w:pPr>
        <w:pStyle w:val="Heading3"/>
      </w:pPr>
      <w:r>
        <w:rPr>
          <w:rFonts w:ascii="Times New Roman" w:hAnsi="Times New Roman"/>
          <w:sz w:val="24"/>
        </w:rPr>
        <w:t>5. Pengujian hipotesis dan efek mediasi</w:t>
      </w:r>
    </w:p>
    <w:p>
      <w:r>
        <w:rPr>
          <w:rFonts w:ascii="Times New Roman" w:hAnsi="Times New Roman"/>
          <w:sz w:val="24"/>
        </w:rPr>
        <w:t>Efek jalur dan efek tidak langsung diuji dengan bootstrap 5.000 resamples dan interval BCa dua sisi 95% sebagai kriteria primer. H1–H4 didukung apabila koefisiennya positif dan interval tidak mencakup nol; H5 didukung apabila hasil kali a1 × d21 × b2 positif dan intervalnya tidak mencakup nol. Efek KI → HP → AMD (a1b1) dan KI → AM → AMD (a2b2) dilaporkan sebagai efek spesifik sekunder. Perbandingan efek dilakukan melalui interval bootstrap untuk selisih efek, bukan dengan membandingkan status signifikan/tidak signifikan. Klasifikasi Zhao et al. (2010) mendeskripsikan pola asosiasi, bukan kesimpulan kausal. Hasil yang tidak mendukung hipotesis tetap dilaporkan.</w:t>
      </w:r>
    </w:p>
    <w:p>
      <w:r>
        <w:rPr>
          <w:rFonts w:ascii="Times New Roman" w:hAnsi="Times New Roman"/>
          <w:b/>
          <w:sz w:val="24"/>
        </w:rPr>
        <w:t>Tabel 13. Aturan keputusan uji hipotesis</w:t>
      </w:r>
    </w:p>
    <w:tbl>
      <w:tblPr>
        <w:tblStyle w:val="TableGrid"/>
        <w:tblW w:type="auto" w:w="0"/>
        <w:tblLayout w:type="autofit"/>
        <w:tblLook w:firstColumn="1" w:firstRow="1" w:lastColumn="0" w:lastRow="0" w:noHBand="0" w:noVBand="1" w:val="04A0"/>
      </w:tblPr>
      <w:tblGrid>
        <w:gridCol w:w="1984"/>
        <w:gridCol w:w="1984"/>
        <w:gridCol w:w="1984"/>
        <w:gridCol w:w="1984"/>
      </w:tblGrid>
      <w:tr>
        <w:tc>
          <w:tcPr>
            <w:tcW w:type="dxa" w:w="1984"/>
          </w:tcPr>
          <w:p>
            <w:pPr>
              <w:spacing w:after="40" w:line="240" w:lineRule="auto"/>
            </w:pPr>
            <w:r>
              <w:rPr>
                <w:rFonts w:ascii="Times New Roman" w:hAnsi="Times New Roman"/>
                <w:b/>
                <w:sz w:val="24"/>
              </w:rPr>
              <w:t>Hipotesis</w:t>
            </w:r>
          </w:p>
        </w:tc>
        <w:tc>
          <w:tcPr>
            <w:tcW w:type="dxa" w:w="1984"/>
          </w:tcPr>
          <w:p>
            <w:pPr>
              <w:spacing w:after="40" w:line="240" w:lineRule="auto"/>
            </w:pPr>
            <w:r>
              <w:rPr>
                <w:rFonts w:ascii="Times New Roman" w:hAnsi="Times New Roman"/>
                <w:b/>
                <w:sz w:val="24"/>
              </w:rPr>
              <w:t>Estimand</w:t>
            </w:r>
          </w:p>
        </w:tc>
        <w:tc>
          <w:tcPr>
            <w:tcW w:type="dxa" w:w="1984"/>
          </w:tcPr>
          <w:p>
            <w:pPr>
              <w:spacing w:after="40" w:line="240" w:lineRule="auto"/>
            </w:pPr>
            <w:r>
              <w:rPr>
                <w:rFonts w:ascii="Times New Roman" w:hAnsi="Times New Roman"/>
                <w:b/>
                <w:sz w:val="24"/>
              </w:rPr>
              <w:t>Kriteria utama</w:t>
            </w:r>
          </w:p>
        </w:tc>
        <w:tc>
          <w:tcPr>
            <w:tcW w:type="dxa" w:w="1984"/>
          </w:tcPr>
          <w:p>
            <w:pPr>
              <w:spacing w:after="40" w:line="240" w:lineRule="auto"/>
            </w:pPr>
            <w:r>
              <w:rPr>
                <w:rFonts w:ascii="Times New Roman" w:hAnsi="Times New Roman"/>
                <w:b/>
                <w:sz w:val="24"/>
              </w:rPr>
              <w:t>Pelaporan bila tidak didukung</w:t>
            </w:r>
          </w:p>
        </w:tc>
      </w:tr>
      <w:tr>
        <w:tc>
          <w:tcPr>
            <w:tcW w:type="dxa" w:w="1984"/>
          </w:tcPr>
          <w:p>
            <w:pPr>
              <w:spacing w:after="40" w:line="240" w:lineRule="auto"/>
            </w:pPr>
            <w:r>
              <w:rPr>
                <w:rFonts w:ascii="Times New Roman" w:hAnsi="Times New Roman"/>
                <w:sz w:val="24"/>
              </w:rPr>
              <w:t>H1</w:t>
            </w:r>
          </w:p>
        </w:tc>
        <w:tc>
          <w:tcPr>
            <w:tcW w:type="dxa" w:w="1984"/>
          </w:tcPr>
          <w:p>
            <w:pPr>
              <w:spacing w:after="40" w:line="240" w:lineRule="auto"/>
            </w:pPr>
            <w:r>
              <w:rPr>
                <w:rFonts w:ascii="Times New Roman" w:hAnsi="Times New Roman"/>
                <w:sz w:val="24"/>
              </w:rPr>
              <w:t>a: KI→HP</w:t>
            </w:r>
          </w:p>
        </w:tc>
        <w:tc>
          <w:tcPr>
            <w:tcW w:type="dxa" w:w="1984"/>
          </w:tcPr>
          <w:p>
            <w:pPr>
              <w:spacing w:after="40" w:line="240" w:lineRule="auto"/>
            </w:pPr>
            <w:r>
              <w:rPr>
                <w:rFonts w:ascii="Times New Roman" w:hAnsi="Times New Roman"/>
                <w:sz w:val="24"/>
              </w:rPr>
              <w:t>Interval 95% tidak melintasi nol; tanda positif.</w:t>
            </w:r>
          </w:p>
        </w:tc>
        <w:tc>
          <w:tcPr>
            <w:tcW w:type="dxa" w:w="1984"/>
          </w:tcPr>
          <w:p>
            <w:pPr>
              <w:spacing w:after="40" w:line="240" w:lineRule="auto"/>
            </w:pPr>
            <w:r>
              <w:rPr>
                <w:rFonts w:ascii="Times New Roman" w:hAnsi="Times New Roman"/>
                <w:sz w:val="24"/>
              </w:rPr>
              <w:t>Laporkan koefisien, interval, dan alternatif penjelasan hubungan balik.</w:t>
            </w:r>
          </w:p>
        </w:tc>
      </w:tr>
      <w:tr>
        <w:tc>
          <w:tcPr>
            <w:tcW w:type="dxa" w:w="1984"/>
          </w:tcPr>
          <w:p>
            <w:pPr>
              <w:spacing w:after="40" w:line="240" w:lineRule="auto"/>
            </w:pPr>
            <w:r>
              <w:rPr>
                <w:rFonts w:ascii="Times New Roman" w:hAnsi="Times New Roman"/>
                <w:sz w:val="24"/>
              </w:rPr>
              <w:t>H2</w:t>
            </w:r>
          </w:p>
        </w:tc>
        <w:tc>
          <w:tcPr>
            <w:tcW w:type="dxa" w:w="1984"/>
          </w:tcPr>
          <w:p>
            <w:pPr>
              <w:spacing w:after="40" w:line="240" w:lineRule="auto"/>
            </w:pPr>
            <w:r>
              <w:rPr>
                <w:rFonts w:ascii="Times New Roman" w:hAnsi="Times New Roman"/>
                <w:sz w:val="24"/>
              </w:rPr>
              <w:t>b: HP→AM dengan KI→AM dikendalikan</w:t>
            </w:r>
          </w:p>
        </w:tc>
        <w:tc>
          <w:tcPr>
            <w:tcW w:type="dxa" w:w="1984"/>
          </w:tcPr>
          <w:p>
            <w:pPr>
              <w:spacing w:after="40" w:line="240" w:lineRule="auto"/>
            </w:pPr>
            <w:r>
              <w:rPr>
                <w:rFonts w:ascii="Times New Roman" w:hAnsi="Times New Roman"/>
                <w:sz w:val="24"/>
              </w:rPr>
              <w:t>Interval 95% tidak melintasi nol; tanda positif.</w:t>
            </w:r>
          </w:p>
        </w:tc>
        <w:tc>
          <w:tcPr>
            <w:tcW w:type="dxa" w:w="1984"/>
          </w:tcPr>
          <w:p>
            <w:pPr>
              <w:spacing w:after="40" w:line="240" w:lineRule="auto"/>
            </w:pPr>
            <w:r>
              <w:rPr>
                <w:rFonts w:ascii="Times New Roman" w:hAnsi="Times New Roman"/>
                <w:sz w:val="24"/>
              </w:rPr>
              <w:t>Periksa kecocokan figur–merek, validitas butir, dan jalur d.</w:t>
            </w:r>
          </w:p>
        </w:tc>
      </w:tr>
      <w:tr>
        <w:tc>
          <w:tcPr>
            <w:tcW w:type="dxa" w:w="1984"/>
          </w:tcPr>
          <w:p>
            <w:pPr>
              <w:spacing w:after="40" w:line="240" w:lineRule="auto"/>
            </w:pPr>
            <w:r>
              <w:rPr>
                <w:rFonts w:ascii="Times New Roman" w:hAnsi="Times New Roman"/>
                <w:sz w:val="24"/>
              </w:rPr>
              <w:t>H3</w:t>
            </w:r>
          </w:p>
        </w:tc>
        <w:tc>
          <w:tcPr>
            <w:tcW w:type="dxa" w:w="1984"/>
          </w:tcPr>
          <w:p>
            <w:pPr>
              <w:spacing w:after="40" w:line="240" w:lineRule="auto"/>
            </w:pPr>
            <w:r>
              <w:rPr>
                <w:rFonts w:ascii="Times New Roman" w:hAnsi="Times New Roman"/>
                <w:sz w:val="24"/>
              </w:rPr>
              <w:t>c: AM→AMD dengan HP dan KI dikendalikan</w:t>
            </w:r>
          </w:p>
        </w:tc>
        <w:tc>
          <w:tcPr>
            <w:tcW w:type="dxa" w:w="1984"/>
          </w:tcPr>
          <w:p>
            <w:pPr>
              <w:spacing w:after="40" w:line="240" w:lineRule="auto"/>
            </w:pPr>
            <w:r>
              <w:rPr>
                <w:rFonts w:ascii="Times New Roman" w:hAnsi="Times New Roman"/>
                <w:sz w:val="24"/>
              </w:rPr>
              <w:t>Interval 95% tidak melintasi nol; tanda positif.</w:t>
            </w:r>
          </w:p>
        </w:tc>
        <w:tc>
          <w:tcPr>
            <w:tcW w:type="dxa" w:w="1984"/>
          </w:tcPr>
          <w:p>
            <w:pPr>
              <w:spacing w:after="40" w:line="240" w:lineRule="auto"/>
            </w:pPr>
            <w:r>
              <w:rPr>
                <w:rFonts w:ascii="Times New Roman" w:hAnsi="Times New Roman"/>
                <w:sz w:val="24"/>
              </w:rPr>
              <w:t>Bedakan kesediaan perilaku dari loyalitas dan niat beli.</w:t>
            </w:r>
          </w:p>
        </w:tc>
      </w:tr>
      <w:tr>
        <w:tc>
          <w:tcPr>
            <w:tcW w:type="dxa" w:w="1984"/>
          </w:tcPr>
          <w:p>
            <w:pPr>
              <w:spacing w:after="40" w:line="240" w:lineRule="auto"/>
            </w:pPr>
            <w:r>
              <w:rPr>
                <w:rFonts w:ascii="Times New Roman" w:hAnsi="Times New Roman"/>
                <w:sz w:val="24"/>
              </w:rPr>
              <w:t>H4</w:t>
            </w:r>
          </w:p>
        </w:tc>
        <w:tc>
          <w:tcPr>
            <w:tcW w:type="dxa" w:w="1984"/>
          </w:tcPr>
          <w:p>
            <w:pPr>
              <w:spacing w:after="40" w:line="240" w:lineRule="auto"/>
            </w:pPr>
            <w:r>
              <w:rPr>
                <w:rFonts w:ascii="Times New Roman" w:hAnsi="Times New Roman"/>
                <w:sz w:val="24"/>
              </w:rPr>
              <w:t>c′: KI→AMD di luar mediator</w:t>
            </w:r>
          </w:p>
        </w:tc>
        <w:tc>
          <w:tcPr>
            <w:tcW w:type="dxa" w:w="1984"/>
          </w:tcPr>
          <w:p>
            <w:pPr>
              <w:spacing w:after="40" w:line="240" w:lineRule="auto"/>
            </w:pPr>
            <w:r>
              <w:rPr>
                <w:rFonts w:ascii="Times New Roman" w:hAnsi="Times New Roman"/>
                <w:sz w:val="24"/>
              </w:rPr>
              <w:t>Interval 95% tidak melintasi nol; tanda positif.</w:t>
            </w:r>
          </w:p>
        </w:tc>
        <w:tc>
          <w:tcPr>
            <w:tcW w:type="dxa" w:w="1984"/>
          </w:tcPr>
          <w:p>
            <w:pPr>
              <w:spacing w:after="40" w:line="240" w:lineRule="auto"/>
            </w:pPr>
            <w:r>
              <w:rPr>
                <w:rFonts w:ascii="Times New Roman" w:hAnsi="Times New Roman"/>
                <w:sz w:val="24"/>
              </w:rPr>
              <w:t>H4 tidak didukung tidak otomatis menolak H5.</w:t>
            </w:r>
          </w:p>
        </w:tc>
      </w:tr>
      <w:tr>
        <w:tc>
          <w:tcPr>
            <w:tcW w:type="dxa" w:w="1984"/>
          </w:tcPr>
          <w:p>
            <w:pPr>
              <w:spacing w:after="40" w:line="240" w:lineRule="auto"/>
            </w:pPr>
            <w:r>
              <w:rPr>
                <w:rFonts w:ascii="Times New Roman" w:hAnsi="Times New Roman"/>
                <w:sz w:val="24"/>
              </w:rPr>
              <w:t>H5</w:t>
            </w:r>
          </w:p>
        </w:tc>
        <w:tc>
          <w:tcPr>
            <w:tcW w:type="dxa" w:w="1984"/>
          </w:tcPr>
          <w:p>
            <w:pPr>
              <w:spacing w:after="40" w:line="240" w:lineRule="auto"/>
            </w:pPr>
            <w:r>
              <w:rPr>
                <w:rFonts w:ascii="Times New Roman" w:hAnsi="Times New Roman"/>
                <w:sz w:val="24"/>
              </w:rPr>
              <w:t>a×b×c: efek serial spesifik</w:t>
            </w:r>
          </w:p>
        </w:tc>
        <w:tc>
          <w:tcPr>
            <w:tcW w:type="dxa" w:w="1984"/>
          </w:tcPr>
          <w:p>
            <w:pPr>
              <w:spacing w:after="40" w:line="240" w:lineRule="auto"/>
            </w:pPr>
            <w:r>
              <w:rPr>
                <w:rFonts w:ascii="Times New Roman" w:hAnsi="Times New Roman"/>
                <w:sz w:val="24"/>
              </w:rPr>
              <w:t>Interval bootstrap 95% tidak melintasi nol; arah positif.</w:t>
            </w:r>
          </w:p>
        </w:tc>
        <w:tc>
          <w:tcPr>
            <w:tcW w:type="dxa" w:w="1984"/>
          </w:tcPr>
          <w:p>
            <w:pPr>
              <w:spacing w:after="40" w:line="240" w:lineRule="auto"/>
            </w:pPr>
            <w:r>
              <w:rPr>
                <w:rFonts w:ascii="Times New Roman" w:hAnsi="Times New Roman"/>
                <w:sz w:val="24"/>
              </w:rPr>
              <w:t>Laporkan jalur parsial dan sensitivitas; hindari klaim sebab-akibat.</w:t>
            </w:r>
          </w:p>
        </w:tc>
      </w:tr>
    </w:tbl>
    <w:p/>
    <w:p>
      <w:r>
        <w:rPr>
          <w:rFonts w:ascii="Times New Roman" w:hAnsi="Times New Roman"/>
          <w:i/>
          <w:sz w:val="24"/>
        </w:rPr>
        <w:t>Diadaptasi dari berkas PROPOSAL_DISERTASI_TANPA_MODERATOR (tabel 14 pada berkas sumber); kerangka inferensi mediasi Hayes (2018) dan Zhao et al. (2010).</w:t>
      </w:r>
    </w:p>
    <w:p>
      <w:pPr>
        <w:pStyle w:val="Heading3"/>
      </w:pPr>
      <w:r>
        <w:rPr>
          <w:rFonts w:ascii="Times New Roman" w:hAnsi="Times New Roman"/>
          <w:sz w:val="24"/>
        </w:rPr>
        <w:t>6. Ringkasan kriteria pengujian</w:t>
      </w:r>
    </w:p>
    <w:p>
      <w:pPr>
        <w:pStyle w:val="Heading3"/>
      </w:pPr>
      <w:r>
        <w:rPr>
          <w:rFonts w:ascii="Times New Roman" w:hAnsi="Times New Roman"/>
          <w:sz w:val="24"/>
        </w:rPr>
        <w:t>7. Dokumentasi dan pelaporan analisis</w:t>
      </w:r>
    </w:p>
    <w:p>
      <w:r>
        <w:rPr>
          <w:rFonts w:ascii="Times New Roman" w:hAnsi="Times New Roman"/>
          <w:sz w:val="24"/>
        </w:rPr>
        <w:t>Sebelum data utama dianalisis, rencana analisis mencatat model utama dan sensitivitas, definisi serta pengodean kovariat, asumsi simulasi daya, versi instrumen, aturan inklusi kasus dan data hilang, pengaturan two-stage, versi perangkat lunak dan algoritme, 5.000 bootstrap resamples, interval BCa primer, serta pengaturan PLSpredict.</w:t>
      </w:r>
    </w:p>
    <w:p>
      <w:pPr>
        <w:pStyle w:val="Heading3"/>
      </w:pPr>
      <w:r>
        <w:rPr>
          <w:rFonts w:ascii="Times New Roman" w:hAnsi="Times New Roman"/>
          <w:sz w:val="24"/>
        </w:rPr>
        <w:t>8. Asumsi, Keterbatasan, dan Rencana Mitigasi</w:t>
      </w:r>
    </w:p>
    <w:p>
      <w:r>
        <w:rPr>
          <w:rFonts w:ascii="Times New Roman" w:hAnsi="Times New Roman"/>
          <w:sz w:val="24"/>
        </w:rPr>
        <w:t>Pertama, sampel purposif membatasi generalisasi statistik; karena itu, karakteristik sampel dan kanal perekrutan dilaporkan dan simpulan dibatasi pada kelompok yang memenuhi kriteria. Kedua, survei potong lintang tidak menetapkan urutan waktu atau sebab-akibat; hasil dibahas sebagai hubungan yang konsisten dengan teori, dengan kemungkinan hubungan balik dan faktor yang tidak diukur tetap diakui. Ketiga, semua konstruk utama berasal dari laporan responden yang sama. Kerahasiaan, pemisahan objek penilaian, dan pemeriksaan mutu dapat mengurangi sebagian risiko bias metode bersama, tetapi tidak menghilangkannya. Keempat, pengetahuan responden tentang merek dan kesepadanan terjemahan dapat bervariasi. Pilihan “tidak dapat menilai”, penilaian ahli, wawancara kognitif, dan pilot membantu menemukan masalah; bukti validitas dan reliabilitas tetap harus diperiksa pada data utama. Rekrutmen daring juga memungkinkan seleksi diri: orang yang lebih aktif di media sosial atau lebih tertarik pada pemasaran influencer mungkin lebih mungkin menjawab. Penyebaran melalui beberapa kanal dapat mengurangi ketergantungan pada satu jaringan, tetapi tidak mengoreksi bias tersebut. Karena tidak ada kerangka sampel lengkap, jumlah undangan dan respons tidak dapat digunakan untuk menghitung tingkat respons populasi secara probabilistik. Laporan akan menyajikan kanal rekrutmen dan profil sampel, serta menyatakan secara terbuka apabila karakteristik tertentu mendominasi; pembobotan atau klaim prevalensi populasi tidak dilakukan tanpa dasar sampling yang memadai. Kriteria pernah mengikuti influencer dan melihat promosi atau rekomendasi juga mempersempit cakupan populasi yang dapat ditafsirkan. Responden yang tidak mengikuti influencer atau belum mengenal merek tidak terwakili, meskipun mereka termasuk kelompok usia dan wilayah yang sama. Penyaringan ini diperlukan agar responden memiliki dasar untuk menilai pasangan acuan, tetapi menghasilkan bukti khusus bagi konsumen yang telah terpapar. Implikasi praktis dan simpulan karena itu tidak diperluas kepada seluruh Generasi Z di Sulawesi Utara tanpa penelitian tambahan. Butir yang diadaptasi juga mungkin berubah nuansa setelah diterjemahkan atau ketika diterapkan pada kategori merek yang berbeda. Pemeriksaan terjemahan, panel ahli, wawancara kognitif, dan pilot membantu menjaga kejelasan serta kesesuaian isi, tetapi tidak membuktikan kesetaraan pengukuran antarkelompok atau platform. Karena penelitian tidak menguji kesetaraan tersebut, perbedaan skor antarplatform atau kategori merek tidak ditafsirkan sebagai perbedaan populasi yang telah teruji. Skor empat konstruk utama merangkum beberapa dimensi yang tidak harus menunjukkan pola seragam. Skor kredibilitas yang lebih tinggi, misalnya, tidak berarti setiap responden memberi penilaian sama tinggi pada keahlian, keterpercayaan, dan daya tarik. Penafsiran utama karena itu berada pada tingkat konstruk dan efek yang telah ditetapkan; kontribusi dimensi dibahas sebagai informasi pengukuran, bukan sebagai hipotesis tambahan atau bukti bahwa satu dimensi secara tersendiri menyebabkan advokasi. Penelitian menggunakan survei kuantitatif satu gelombang pada Generasi Z berusia 18–27 tahun yang berdomisili di Sulawesi Utara. Sampel minimum yang direncanakan ialah 385 respons sah, dengan kebutuhan akhir ditetapkan melalui simulasi daya khusus untuk efek serial sebelum survei utama. Instrumen berisi 39 butir inti serta empat butir global tambahan; pengembangan, penilaian ahli, wawancara kognitif, dan pilot dilakukan sebelum pengumpulan data utama. PLS-SEM dua tahap digunakan untuk mengevaluasi model pengukuran dan menguji lima hipotesis, termasuk efek mediasi berurutan. Karena desain potong lintang, hasil ditafsirkan sebagai pola hubungan yang konsisten dengan teori, bukan bukti sebab-akibat.</w:t>
      </w:r>
    </w:p>
    <w:p>
      <w:pPr>
        <w:pStyle w:val="Heading3"/>
      </w:pPr>
      <w:r>
        <w:rPr>
          <w:rFonts w:ascii="Times New Roman" w:hAnsi="Times New Roman"/>
          <w:sz w:val="24"/>
        </w:rPr>
        <w:t>9. Kovariat dan Analisis Sensitivitas</w:t>
      </w:r>
    </w:p>
    <w:p>
      <w:r>
        <w:rPr>
          <w:rFonts w:ascii="Times New Roman" w:hAnsi="Times New Roman"/>
          <w:sz w:val="24"/>
        </w:rPr>
        <w:t>Familiaritas merek (CTL1–CTL2), pengalaman merek (CTL3–CTL4), kesesuaian influencer–merek (CTL5–CTL6), dan paparan pengungkapan sponsor (CTL7–CTL8) dicatat dengan target penilaian yang jelas. Usia, jenis kelamin, pendidikan, status pekerjaan, platform, frekuensi penggunaan, durasi mengikuti, dan kategori produk merupakan informasi latar untuk mendeskripsikan sampel dan dianalisis hanya bila ada argumen serta ukuran kelompok memadai. Sebagian butir kontrol lebih tepat diperlakukan sebagai variabel penjelas tambahan dalam analisis sensitivitas daripada dimasukkan ke model utama.</w:t>
      </w:r>
    </w:p>
    <w:p>
      <w:r>
        <w:rPr>
          <w:rFonts w:ascii="Times New Roman" w:hAnsi="Times New Roman"/>
          <w:i/>
          <w:sz w:val="24"/>
        </w:rPr>
        <w:t>Disisipkan dari berkas PROPOSAL_DISERTASI_TANPA_MODERATOR, sub-bagian 5 Kovariat dan Analisis Sensitivitas.</w:t>
      </w:r>
    </w:p>
    <w:p>
      <w:r>
        <w:br w:type="page"/>
      </w:r>
    </w:p>
    <w:p>
      <w:r>
        <w:br w:type="page"/>
      </w:r>
    </w:p>
    <w:p>
      <w:pPr>
        <w:pStyle w:val="Heading1"/>
      </w:pPr>
      <w:r>
        <w:rPr>
          <w:rFonts w:ascii="Times New Roman" w:hAnsi="Times New Roman"/>
          <w:sz w:val="28"/>
        </w:rPr>
        <w:t>DAFTAR PUSTAKA</w:t>
      </w:r>
    </w:p>
    <w:p>
      <w:r>
        <w:rPr>
          <w:rFonts w:ascii="Times New Roman" w:hAnsi="Times New Roman"/>
          <w:i/>
          <w:sz w:val="24"/>
        </w:rPr>
        <w:t>Daftar ini merupakan gabungan rujukan ketiga berkas (A: 57, B: 51, C: 61 entri) yang sudah dibersihkan dari duplikasi — 70 rujukan unik, urut abjad. Periksa kembali kesesuaian gaya selingkung (APA) dan keberadaan seluruh sitasi dalam teks.</w:t>
      </w:r>
    </w:p>
    <w:p>
      <w:r>
        <w:rPr>
          <w:rFonts w:ascii="Times New Roman" w:hAnsi="Times New Roman"/>
          <w:sz w:val="24"/>
        </w:rPr>
        <w:t>Aw, E. C. X., &amp; Chuah, S. H. W. (2021). “Stop the unattainable ideal for an ordinary me!” Fostering parasocial relationships with social media influencers: The role of self-discrepancy. Journal of Business Research, 132, 146–157. https://doi.org/10.1016/j.jbusres.2021.04.025</w:t>
      </w:r>
    </w:p>
    <w:p>
      <w:r>
        <w:rPr>
          <w:rFonts w:ascii="Times New Roman" w:hAnsi="Times New Roman"/>
          <w:sz w:val="24"/>
        </w:rPr>
        <w:t>Babu, M. A., Sabuj, M. M. I., Jaman, S. M. S., et al. (2026). Influencing the advocates: Exploring how social media influencers (SMIs) drive brand advocacy in Gen Z. SN Business &amp; Economics. https://doi.org/10.1007/s43546-026-01255-w</w:t>
      </w:r>
    </w:p>
    <w:p>
      <w:r>
        <w:rPr>
          <w:rFonts w:ascii="Times New Roman" w:hAnsi="Times New Roman"/>
          <w:sz w:val="24"/>
        </w:rPr>
        <w:t>Balaban, D. C., &amp; Szambolics, J. (2022). A proposed model of self-perceived authenticity of social media influencers. Media and Communication, 10(1), 235–246. https://doi.org/10.17645/mac.v10i1.4765</w:t>
      </w:r>
    </w:p>
    <w:p>
      <w:r>
        <w:rPr>
          <w:rFonts w:ascii="Times New Roman" w:hAnsi="Times New Roman"/>
          <w:sz w:val="24"/>
        </w:rPr>
        <w:t>Banerjee, N., Rawal, M., Saavedra Torres, J. L., &amp; Bagherzadeh, R. (2025). Beyond the facade: Exploring the authenticity of social media influencers and its influence on consumer brand engagement and advocacy. Journal of Promotion Management. https://doi.org/10.1080/10496491.2025.2571948</w:t>
      </w:r>
    </w:p>
    <w:p>
      <w:r>
        <w:rPr>
          <w:rFonts w:ascii="Times New Roman" w:hAnsi="Times New Roman"/>
          <w:sz w:val="24"/>
        </w:rPr>
        <w:t>Beverland, M. B. (2005). Crafting brand authenticity: The case of luxury wines. Journal of Management Studies, 42(5), 1003–1029. https://doi.org/10.1111/j.1467-6486.2005.00530.x</w:t>
      </w:r>
    </w:p>
    <w:p>
      <w:r>
        <w:rPr>
          <w:rFonts w:ascii="Times New Roman" w:hAnsi="Times New Roman"/>
          <w:sz w:val="24"/>
        </w:rPr>
        <w:t>Beverland, M. B., &amp; Farrelly, F. J. (2010). The quest for authenticity in consumption: Consumers’ purposive choice of authentic cues to shape experienced outcomes. Journal of Consumer Research, 36(5), 838–856. https://doi.org/10.1086/615047</w:t>
      </w:r>
    </w:p>
    <w:p>
      <w:r>
        <w:rPr>
          <w:rFonts w:ascii="Times New Roman" w:hAnsi="Times New Roman"/>
          <w:sz w:val="24"/>
        </w:rPr>
        <w:t>Brodie, R. J., Hollebeek, L. D., Jurić, B., &amp; Ilić, A. (2011). Customer engagement: Conceptual domain, fundamental propositions, and implications for research. Journal of Service Research, 14(3), 252–271. https://doi.org/10.1177/1094670511411703</w:t>
      </w:r>
    </w:p>
    <w:p>
      <w:r>
        <w:rPr>
          <w:rFonts w:ascii="Times New Roman" w:hAnsi="Times New Roman"/>
          <w:sz w:val="24"/>
        </w:rPr>
        <w:t>Brodie, R. J., Ilic, A., Juric, B., &amp; Hollebeek, L. (2013). Consumer engagement in a virtual brand community: An exploratory analysis. Journal of Business Research, 66(1), 105–114. https://doi.org/10.1016/j.jbusres.2011.07.029</w:t>
      </w:r>
    </w:p>
    <w:p>
      <w:r>
        <w:rPr>
          <w:rFonts w:ascii="Times New Roman" w:hAnsi="Times New Roman"/>
          <w:sz w:val="24"/>
        </w:rPr>
        <w:t>Chen, X., Lee, T. J., &amp; Hyun, S. S. (2022). How does a global coffeehouse chain operate strategically in a traditional tea-drinking country? The influence of brand authenticity and self-enhancement. Journal of Hospitality and Tourism Management, 51, 176–186. https://doi.org/10.1016/j.jhtm.2022.03.003</w:t>
      </w:r>
    </w:p>
    <w:p>
      <w:r>
        <w:rPr>
          <w:rFonts w:ascii="Times New Roman" w:hAnsi="Times New Roman"/>
          <w:sz w:val="24"/>
        </w:rPr>
        <w:t>Chidiac, D., &amp; Bowden, J. (2023). When media matters: The role of media richness and naturalness on purchase intentions within influencer marketing. Journal of Strategic Marketing, 31(6), 1178–1198. https://doi.org/10.1080/0965254X.2022.2062037</w:t>
      </w:r>
    </w:p>
    <w:p>
      <w:r>
        <w:rPr>
          <w:rFonts w:ascii="Times New Roman" w:hAnsi="Times New Roman"/>
          <w:sz w:val="24"/>
        </w:rPr>
        <w:t>Das, M., Jebarajakirthy, C., &amp; Sivapalan, A. (2022). How consumption values and perceived brand authenticity inspire fashion masstige purchase? An investigation. Journal of Retailing and Consumer Services, 68, Article 103023. https://doi.org/10.1016/j.jretconser.2022.103023 De Veirman, M., Cauberghe, V., &amp; Hudders, L. (2017). Marketing through Instagram influencers: The impact of number of followers and product divergence on brand attitude. International Journal of Advertising, 36(5), 798–828. https://doi.org/10.1080/02650487.2017.1348035</w:t>
      </w:r>
    </w:p>
    <w:p>
      <w:r>
        <w:rPr>
          <w:rFonts w:ascii="Times New Roman" w:hAnsi="Times New Roman"/>
          <w:sz w:val="24"/>
        </w:rPr>
        <w:t>Dibble, J. L., Hartmann, T., &amp; Rosaen, S. F. (2016). Parasocial interaction and parasocial relationship: Conceptual clarification and a critical assessment of measures. Human Communication Research, 42(1), 21– 44. https://doi.org/10.1111/hcre.12063</w:t>
      </w:r>
    </w:p>
    <w:p>
      <w:r>
        <w:rPr>
          <w:rFonts w:ascii="Times New Roman" w:hAnsi="Times New Roman"/>
          <w:sz w:val="24"/>
        </w:rPr>
        <w:t>Faul, F., Erdfelder, E., Buchner, A., &amp; Lang, A.-G. (2009). Statistical power analyses using G*Power 3.1: Tests for correlation and regression analyses. Behavior Research Methods, 41(4), 1149–1160. https://doi.org/10.3758/BRM.41.4.1149</w:t>
      </w:r>
    </w:p>
    <w:p>
      <w:r>
        <w:rPr>
          <w:rFonts w:ascii="Times New Roman" w:hAnsi="Times New Roman"/>
          <w:sz w:val="24"/>
        </w:rPr>
        <w:t>Fornell, C., &amp; Larcker, D. F. (1981). Evaluating structural equation models with unobservable variables and measurement error. Journal of Marketing Research, 18(1), 39–50. https://doi.org/10.2307/3151312</w:t>
      </w:r>
    </w:p>
    <w:p>
      <w:r>
        <w:rPr>
          <w:rFonts w:ascii="Times New Roman" w:hAnsi="Times New Roman"/>
          <w:sz w:val="24"/>
        </w:rPr>
        <w:t>Fournier, S. (1998). Consumers and their brands: Developing relationship theory in consumer research. Journal of Consumer Research, 24(4), 343–373. https://doi.org/10.1086/209515</w:t>
      </w:r>
    </w:p>
    <w:p>
      <w:r>
        <w:rPr>
          <w:rFonts w:ascii="Times New Roman" w:hAnsi="Times New Roman"/>
          <w:sz w:val="24"/>
        </w:rPr>
        <w:t>Freberg, K., Graham, K., McGaughey, K., &amp; Freberg, L. A. (2011). Who are the social media influencers? A study of public perceptions of personality. Public Relations Review, 37(1), 90–92. https://doi.org/10.1016/j.pubrev.2010.11.001</w:t>
      </w:r>
    </w:p>
    <w:p>
      <w:r>
        <w:rPr>
          <w:rFonts w:ascii="Times New Roman" w:hAnsi="Times New Roman"/>
          <w:sz w:val="24"/>
        </w:rPr>
        <w:t>Hair, J. F., Risher, J. J., Sarstedt, M., &amp; Ringle, C. M. (2019). When to use and how to report the results of PLS-SEM. European Business Review, 31(1), 2–24. https://doi.org/10.1108/EBR-11-2018-0203</w:t>
      </w:r>
    </w:p>
    <w:p>
      <w:r>
        <w:rPr>
          <w:rFonts w:ascii="Times New Roman" w:hAnsi="Times New Roman"/>
          <w:sz w:val="24"/>
        </w:rPr>
        <w:t>Hair, J. F., Hult, G. T. M., Ringle, C. M., &amp; Sarstedt, M. (2022). A primer on partial least squares structural equation modeling (PLS-SEM) (3rd ed.). Sage.</w:t>
      </w:r>
    </w:p>
    <w:p>
      <w:r>
        <w:rPr>
          <w:rFonts w:ascii="Times New Roman" w:hAnsi="Times New Roman"/>
          <w:sz w:val="24"/>
        </w:rPr>
        <w:t>Han, J., &amp; Balabanis, G. (2024). Meta-analysis of social media influencer impact: Key antecedents and theoretical foundations. Psychology &amp; Marketing, 41(2), 394–426. https://doi.org/10.1002/mar.21927</w:t>
      </w:r>
    </w:p>
    <w:p>
      <w:r>
        <w:rPr>
          <w:rFonts w:ascii="Times New Roman" w:hAnsi="Times New Roman"/>
          <w:sz w:val="24"/>
        </w:rPr>
        <w:t>Hartmann, T., &amp; Goldhoorn, C. (2011). Horton and Wohl revisited: Exploring viewers’ experience of parasocial interaction. Journal of Communication, 61(6), 1104–1121. https://doi.org/10.1111/j.14602466.2011.01595.x</w:t>
      </w:r>
    </w:p>
    <w:p>
      <w:r>
        <w:rPr>
          <w:rFonts w:ascii="Times New Roman" w:hAnsi="Times New Roman"/>
          <w:sz w:val="24"/>
        </w:rPr>
        <w:t>Hayes, A. F. (2018). Introduction to mediation, moderation, and conditional process analysis: A regression-based approach (2nd ed.). Guilford Press.</w:t>
      </w:r>
    </w:p>
    <w:p>
      <w:r>
        <w:rPr>
          <w:rFonts w:ascii="Times New Roman" w:hAnsi="Times New Roman"/>
          <w:sz w:val="24"/>
        </w:rPr>
        <w:t>Henseler, J., Ringle, C. M., &amp; Sarstedt, M. (2015). A new criterion for assessing discriminant validity in variance-based structural equation modeling. Journal of the Academy of Marketing Science, 43(1), 115–135. https://doi.org/10.1007/s11747-014-0403-8</w:t>
      </w:r>
    </w:p>
    <w:p>
      <w:r>
        <w:rPr>
          <w:rFonts w:ascii="Times New Roman" w:hAnsi="Times New Roman"/>
          <w:sz w:val="24"/>
        </w:rPr>
        <w:t>Hernandez-Fernandez, A., &amp; Lewis, M. C. (2019). Brand authenticity leads to perceived value and brand trust. European Journal of Management and Business Economics, 28(3), 222–238. https://doi.org/10.1108/EJMBE10-2017-0027</w:t>
      </w:r>
    </w:p>
    <w:p>
      <w:r>
        <w:rPr>
          <w:rFonts w:ascii="Times New Roman" w:hAnsi="Times New Roman"/>
          <w:sz w:val="24"/>
        </w:rPr>
        <w:t>Hollebeek, L. D., Glynn, M. S., &amp; Brodie, R. J. (2014). Consumer brand engagement in social media: Conceptualization, scale development and validation. Journal of Interactive Marketing, 28(2), 149–165. https://doi.org/10.1016/j.intmar.2013.12.002</w:t>
      </w:r>
    </w:p>
    <w:p>
      <w:r>
        <w:rPr>
          <w:rFonts w:ascii="Times New Roman" w:hAnsi="Times New Roman"/>
          <w:sz w:val="24"/>
        </w:rPr>
        <w:t>Horton, D., &amp; Wohl, R. R. (1956). Mass communication and para-social interaction: Observations on intimacy at a distance. Psychiatry, 19(3), 215–229. https://doi.org/10.1080/00332747.1956.11023049</w:t>
      </w:r>
    </w:p>
    <w:p>
      <w:r>
        <w:rPr>
          <w:rFonts w:ascii="Times New Roman" w:hAnsi="Times New Roman"/>
          <w:sz w:val="24"/>
        </w:rPr>
        <w:t>Hovland, C. I., Janis, I. L., &amp; Kelley, H. H. (1953). Communication and persuasion: Psychological studies of opinion change. Yale University Press.</w:t>
      </w:r>
    </w:p>
    <w:p>
      <w:r>
        <w:rPr>
          <w:rFonts w:ascii="Times New Roman" w:hAnsi="Times New Roman"/>
          <w:sz w:val="24"/>
        </w:rPr>
        <w:t>Huh, J., &amp; Kim, N. L. (2024). Green as the new status symbol: Examining green signaling effects among Gen Z and Millennial consumers. Journal of Fashion Marketing and Management, 28(6), 1237–1255. https://doi.org/10.1108/JFMM-07-2022-0159</w:t>
      </w:r>
    </w:p>
    <w:p>
      <w:r>
        <w:rPr>
          <w:rFonts w:ascii="Times New Roman" w:hAnsi="Times New Roman"/>
          <w:sz w:val="24"/>
        </w:rPr>
        <w:t>Jacoby, J. (2002). Stimulus-organism-response reconsidered: An evolutionary step in modeling (consumer) behavior. Journal of Consumer Psychology, 12(1), 51?57. https://doi.org/10.1207/S15327663JCP1201_05</w:t>
      </w:r>
    </w:p>
    <w:p>
      <w:r>
        <w:rPr>
          <w:rFonts w:ascii="Times New Roman" w:hAnsi="Times New Roman"/>
          <w:sz w:val="24"/>
        </w:rPr>
        <w:t>Kaplan, A. M., &amp; Haenlein, M. (2010). Users of the world, unite! The challenges and opportunities of social media. Business Horizons, 53(1), 59–68. https://doi.org/10.1016/j.bushor.2009.09.003</w:t>
      </w:r>
    </w:p>
    <w:p>
      <w:r>
        <w:rPr>
          <w:rFonts w:ascii="Times New Roman" w:hAnsi="Times New Roman"/>
          <w:sz w:val="24"/>
        </w:rPr>
        <w:t>Keller, K. L. (1993). Conceptualizing, measuring, and managing customer-based brand equity. Journal of Marketing, 57(1), 1–22. https://doi.org/10.1177/002224299305700101</w:t>
      </w:r>
    </w:p>
    <w:p>
      <w:r>
        <w:rPr>
          <w:rFonts w:ascii="Times New Roman" w:hAnsi="Times New Roman"/>
          <w:sz w:val="24"/>
        </w:rPr>
        <w:t>Kemp, S. (2024). Digital 2024: Indonesia [Laporan data]. DataReportal. https://datareportal.com/reports/digital-2024-indonesia</w:t>
      </w:r>
    </w:p>
    <w:p>
      <w:r>
        <w:rPr>
          <w:rFonts w:ascii="Times New Roman" w:hAnsi="Times New Roman"/>
          <w:sz w:val="24"/>
        </w:rPr>
        <w:t>Ki, C.-W., &amp; Kim, Y.-K. (2019). The mechanism by which social media influencers persuade consumers: The role of consumers’ desire to mimic. Psychology &amp; Marketing, 36(10), 905–922. https://doi.org/10.1002/mar.21244</w:t>
      </w:r>
    </w:p>
    <w:p>
      <w:r>
        <w:rPr>
          <w:rFonts w:ascii="Times New Roman" w:hAnsi="Times New Roman"/>
          <w:sz w:val="24"/>
        </w:rPr>
        <w:t>Kirkby, A., Baumgarth, C., &amp; Henseler, J. (2023). To disclose or not disclose, is no longer the question—Effect of AI-disclosed brand voice on brand authenticity and attitude. Journal of Product &amp; Brand Management, 32(7), 1108–1122. https://doi.org/10.1108/JPBM-02-2022-3864</w:t>
      </w:r>
    </w:p>
    <w:p>
      <w:r>
        <w:rPr>
          <w:rFonts w:ascii="Times New Roman" w:hAnsi="Times New Roman"/>
          <w:sz w:val="24"/>
        </w:rPr>
        <w:t>Kock, N. (2015). Common method bias in PLS-SEM: A full collinearity assessment approach. International Journal of e-Collaboration, 11(4), 1–10. https://doi.org/10.4018/ijec.2015100101</w:t>
      </w:r>
    </w:p>
    <w:p>
      <w:r>
        <w:rPr>
          <w:rFonts w:ascii="Times New Roman" w:hAnsi="Times New Roman"/>
          <w:sz w:val="24"/>
        </w:rPr>
        <w:t>Kumar, V., Aksoy, L., Donkers, B., Venkatesan, R., Wiesel, T., &amp; Tillmanns, S. (2010). Undervalued or overvalued customers: Capturing total customer engagement value. Journal of Service Research, 13(3), 297–310. https://doi.org/10.1177/1094670510375602</w:t>
      </w:r>
    </w:p>
    <w:p>
      <w:r>
        <w:rPr>
          <w:rFonts w:ascii="Times New Roman" w:hAnsi="Times New Roman"/>
          <w:sz w:val="24"/>
        </w:rPr>
        <w:t>Labrecque, L. I. (2014). Fostering consumer–brand relationships in social media environments: The role of parasocial interaction. Journal of Interactive Marketing, 28(2), 134–148. https://doi.org/10.1016/j.intmar.2013.12.003</w:t>
      </w:r>
    </w:p>
    <w:p>
      <w:r>
        <w:rPr>
          <w:rFonts w:ascii="Times New Roman" w:hAnsi="Times New Roman"/>
          <w:sz w:val="24"/>
        </w:rPr>
        <w:t>Lee, J. A., &amp; Eastin, M. S. (2021). Perceived authenticity of social media influencers: Scale development and validation. Journal of Research in Interactive Marketing, 15(4), 822–841. https://doi.org/10.1108/JRIM12-2020-0253</w:t>
      </w:r>
    </w:p>
    <w:p>
      <w:r>
        <w:rPr>
          <w:rFonts w:ascii="Times New Roman" w:hAnsi="Times New Roman"/>
          <w:sz w:val="24"/>
        </w:rPr>
        <w:t>Lim, H. S., Ciszek, E., &amp; Moon, W.-K. (2022). Perceived organizational authenticity in LGBTQ communication: The scale development and initial empirical findings. Journal of Communication Management, 26(2), 187– 206. https://doi.org/10.1108/JCOM-02-2021-0023</w:t>
      </w:r>
    </w:p>
    <w:p>
      <w:r>
        <w:rPr>
          <w:rFonts w:ascii="Times New Roman" w:hAnsi="Times New Roman"/>
          <w:sz w:val="24"/>
        </w:rPr>
        <w:t>Liu, F., &amp; Lee, Y.-H. (2024). Virtually authentic: Examining the match-up hypothesis between human vs virtual influencers and product types. Journal of Product &amp; Brand Management, 33(2), 287–299. https://doi.org/10.1108/JPBM-03-2023-4418</w:t>
      </w:r>
    </w:p>
    <w:p>
      <w:r>
        <w:rPr>
          <w:rFonts w:ascii="Times New Roman" w:hAnsi="Times New Roman"/>
          <w:sz w:val="24"/>
        </w:rPr>
        <w:t>Lou, C., &amp; Yuan, S. (2019). Influencer marketing: How message value and credibility affect consumer trust of branded content on social media. Journal of Interactive Advertising, 19(1), 58–73. https://doi.org/10.1080/15252019.2018.1533501</w:t>
      </w:r>
    </w:p>
    <w:p>
      <w:r>
        <w:rPr>
          <w:rFonts w:ascii="Times New Roman" w:hAnsi="Times New Roman"/>
          <w:sz w:val="24"/>
        </w:rPr>
        <w:t>Luarn, P., Chen, C.-C., &amp; Chiu, Y.-P. (2025). Fashion influencers? credibility on Instagram: The stimulus-organism-response (SOR) perspective. Journal of Strategic Marketing. https://doi.org/10.1080/0965254X.2024.2436023</w:t>
      </w:r>
    </w:p>
    <w:p>
      <w:r>
        <w:rPr>
          <w:rFonts w:ascii="Times New Roman" w:hAnsi="Times New Roman"/>
          <w:sz w:val="24"/>
        </w:rPr>
        <w:t>McCracken, G. (1989). Who is the celebrity endorser? Cultural foundations of the endorsement process. Journal of Consumer Research, 16(3), 310– 321. https://doi.org/10.1086/209217</w:t>
      </w:r>
    </w:p>
    <w:p>
      <w:r>
        <w:rPr>
          <w:rFonts w:ascii="Times New Roman" w:hAnsi="Times New Roman"/>
          <w:sz w:val="24"/>
        </w:rPr>
        <w:t>Morhart, F., Malär, L., Guèvremont, A., Girardin, F., &amp; Grohmann, B. (2015). Brand authenticity: An integrative framework and measurement scale. Journal of Consumer Psychology, 25(2), 200–218. https://doi.org/10.1016/j.jcps.2014.11.006</w:t>
      </w:r>
    </w:p>
    <w:p>
      <w:r>
        <w:rPr>
          <w:rFonts w:ascii="Times New Roman" w:hAnsi="Times New Roman"/>
          <w:sz w:val="24"/>
        </w:rPr>
        <w:t>Napoli, J., Dickinson, S. J., Beverland, M. B., &amp; Farrelly, F. (2014). Measuring consumer-based brand authenticity. Journal of Business Research, 67(6), 1090–1098. https://doi.org/10.1016/j.jbusres.2013.06.001</w:t>
      </w:r>
    </w:p>
    <w:p>
      <w:r>
        <w:rPr>
          <w:rFonts w:ascii="Times New Roman" w:hAnsi="Times New Roman"/>
          <w:sz w:val="24"/>
        </w:rPr>
        <w:t>Nguyen, D. T., Le, D. H. A., Truong, L. G., Truong, N. G., &amp; Vu, V. V. (2023). The effect of Generation Z’s perceptions of brand activism on brand loyalty: Evidence from Vietnam. Asia Pacific Journal of Marketing and Logistics, 35(6), 1494–1512. https://doi.org/10.1108/APJML-02-20220165</w:t>
      </w:r>
    </w:p>
    <w:p>
      <w:r>
        <w:rPr>
          <w:rFonts w:ascii="Times New Roman" w:hAnsi="Times New Roman"/>
          <w:sz w:val="24"/>
        </w:rPr>
        <w:t>Oh, H., Prado, P. H. M., Korelo, J. C., &amp; Frizzo, F. (2019). The effect of brand authenticity on consumer–brand relationships. Journal of Product &amp; Brand Management, 28(2), 231–241. https://doi.org/10.1108/JPBM-092017-1567</w:t>
      </w:r>
    </w:p>
    <w:p>
      <w:r>
        <w:rPr>
          <w:rFonts w:ascii="Times New Roman" w:hAnsi="Times New Roman"/>
          <w:sz w:val="24"/>
        </w:rPr>
        <w:t>Ohanian, R. (1990). Construction and validation of a scale to measure celebrity endorsers’ perceived expertise, trustworthiness, and attractiveness. Journal of Advertising, 19(3), 39–52. https://doi.org/10.1080/00913367.1990.10673191</w:t>
      </w:r>
    </w:p>
    <w:p>
      <w:r>
        <w:rPr>
          <w:rFonts w:ascii="Times New Roman" w:hAnsi="Times New Roman"/>
          <w:sz w:val="24"/>
        </w:rPr>
        <w:t>Preacher, K. J., &amp; Selig, J. P. (2012). Advantages of Monte Carlo confidence intervals for indirect effects. Communication Methods and Measures, 6(2), 77–98. https://doi.org/10.1080/19312458.2012.679848</w:t>
      </w:r>
    </w:p>
    <w:p>
      <w:r>
        <w:rPr>
          <w:rFonts w:ascii="Times New Roman" w:hAnsi="Times New Roman"/>
          <w:sz w:val="24"/>
        </w:rPr>
        <w:t>Priporas, C.-V., Stylos, N., &amp; Fotiadis, A. K. (2017). Generation Z consumers’ expectations of interactions in smart retailing: A future agenda. Computers in Human Behavior, 77, 374–381. https://doi.org/10.1016/j.chb.2017.01.058</w:t>
      </w:r>
    </w:p>
    <w:p>
      <w:r>
        <w:rPr>
          <w:rFonts w:ascii="Times New Roman" w:hAnsi="Times New Roman"/>
          <w:sz w:val="24"/>
        </w:rPr>
        <w:t>Rubin, A. M., Perse, E. M., &amp; Powell, R. A. (1985). Loneliness, parasocial interaction, and local television news viewing. Human Communication Research, 12(2), 155–180. https://doi.org/10.1111/j.14682958.1985.tb00071.x</w:t>
      </w:r>
    </w:p>
    <w:p>
      <w:r>
        <w:rPr>
          <w:rFonts w:ascii="Times New Roman" w:hAnsi="Times New Roman"/>
          <w:sz w:val="24"/>
        </w:rPr>
        <w:t>Safeer, A. A., Chen, Y., Abrar, M., Kumar, N., &amp; Razzaq, A. (2022). Impact of perceived brand localness and globalness on brand authenticity to predict brand attitude: A cross-cultural Asian perspective. Asia Pacific Journal of Marketing and Logistics, 34(7), 1524–1543. https://doi.org/10.1108/APJML-05-2021-0297</w:t>
      </w:r>
    </w:p>
    <w:p>
      <w:r>
        <w:rPr>
          <w:rFonts w:ascii="Times New Roman" w:hAnsi="Times New Roman"/>
          <w:sz w:val="24"/>
        </w:rPr>
        <w:t>Safeer, A. A., &amp; Liu, H. (2023). Role of corporate social responsibility authenticity in developing perceived brand loyalty: A consumer perceptions paradigm. Journal of Product &amp; Brand Management, 32(2), 330–342. https://doi.org/10.1108/JPBM-01-2022-3807</w:t>
      </w:r>
    </w:p>
    <w:p>
      <w:r>
        <w:rPr>
          <w:rFonts w:ascii="Times New Roman" w:hAnsi="Times New Roman"/>
          <w:sz w:val="24"/>
        </w:rPr>
        <w:t>Sahu, M., Uddin, F., &amp; Hossain, M. B. (2026). From credibility to advocacy: An SOR model of consumer engagement and authenticity in functional foods and beverages market. Thunderbird International Business Review. https://doi.org/10.1002/tie.70067</w:t>
      </w:r>
    </w:p>
    <w:p>
      <w:r>
        <w:rPr>
          <w:rFonts w:ascii="Times New Roman" w:hAnsi="Times New Roman"/>
          <w:sz w:val="24"/>
        </w:rPr>
        <w:t>Sarstedt, M., Hair, J. F., Cheah, J. H., Becker, J.-M., &amp; Ringle, C. M. (2019). How to specify, estimate, and validate higher-order constructs in PLSSEM. Australasian Marketing Journal, 27(3), 197–211. https://doi.org/10.1016/j.ausmj.2019.05.003</w:t>
      </w:r>
    </w:p>
    <w:p>
      <w:r>
        <w:rPr>
          <w:rFonts w:ascii="Times New Roman" w:hAnsi="Times New Roman"/>
          <w:sz w:val="24"/>
        </w:rPr>
        <w:t>Shehzala, Jaiswal, A. K., Vemireddy, V., &amp; Angeli, F. (2024). Social media “stars” vs “the ordinary” me: Influencer marketing and the role of selfdiscrepancies, perceived homophily, authenticity, self-acceptance and mindfulness. European Journal of Marketing, 58(2), 590–631. https://doi.org/10.1108/EJM-02-2023-0141</w:t>
      </w:r>
    </w:p>
    <w:p>
      <w:r>
        <w:rPr>
          <w:rFonts w:ascii="Times New Roman" w:hAnsi="Times New Roman"/>
          <w:sz w:val="24"/>
        </w:rPr>
        <w:t>Shi, H., Liu, Y., Kumail, T., &amp; Pan, L. (2022). Tourism destination brand equity, brand authenticity and revisit intention: The mediating role of tourist satisfaction and the moderating role of destination familiarity. Tourism Review, 77(3), 751–779. https://doi.org/10.1108/TR-08-2021-0371</w:t>
      </w:r>
    </w:p>
    <w:p>
      <w:r>
        <w:rPr>
          <w:rFonts w:ascii="Times New Roman" w:hAnsi="Times New Roman"/>
          <w:sz w:val="24"/>
        </w:rPr>
        <w:t>Shimul, A. S., Faroque, A. R., &amp; Quader, E. (2025). Brand advocacy: A scoping review and future research agenda. Journal of Product &amp; Brand Management. https://doi.org/10.1108/JPBM-10-2024-5537</w:t>
      </w:r>
    </w:p>
    <w:p>
      <w:r>
        <w:rPr>
          <w:rFonts w:ascii="Times New Roman" w:hAnsi="Times New Roman"/>
          <w:sz w:val="24"/>
        </w:rPr>
        <w:t>Shoenberger, H., &amp; Kim, E. (2023). Explaining purchase intent via expressed reasons to follow an influencer, perceived homophily, and perceived authenticity. International Journal of Advertising, 42(2), 368–383. https://doi.org/10.1080/02650487.2022.2075636</w:t>
      </w:r>
    </w:p>
    <w:p>
      <w:r>
        <w:rPr>
          <w:rFonts w:ascii="Times New Roman" w:hAnsi="Times New Roman"/>
          <w:sz w:val="24"/>
        </w:rPr>
        <w:t>Singer, M. F., Callendar, C. L., Ma, X., &amp; Tham, S. M. (2023). Differences in perceived influencer authenticity: A comparison of Gen Z and Millennials’ definitions of influencer authenticity during the deinfluencer movement. Online Media and Global Communication, 2(3), 351–378. https://doi.org/10.1515/omgc-2023-0038</w:t>
      </w:r>
    </w:p>
    <w:p>
      <w:r>
        <w:rPr>
          <w:rFonts w:ascii="Times New Roman" w:hAnsi="Times New Roman"/>
          <w:sz w:val="24"/>
        </w:rPr>
        <w:t>Sokolova, K., &amp; Kefi, H. (2020). Instagram and YouTube bloggers promote it, why should I buy? How credibility and parasocial interaction influence purchase intentions. Journal of Retailing and Consumer Services, 53, Article 101742. https://doi.org/10.1016/j.jretconser.2019.01.011</w:t>
      </w:r>
    </w:p>
    <w:p>
      <w:r>
        <w:rPr>
          <w:rFonts w:ascii="Times New Roman" w:hAnsi="Times New Roman"/>
          <w:sz w:val="24"/>
        </w:rPr>
        <w:t>Tseng, T. H., &amp; Wang, H.-Y. (2023). Consumer attitudes and purchase intentions towards internet celebrity self-brands: An integrated view of congruence, brand authenticity and internet celebrity involvement. Journal of Product &amp; Brand Management, 32(6), 863–877. https://doi.org/10.1108/JPBM-03-2022-3892</w:t>
      </w:r>
    </w:p>
    <w:p>
      <w:r>
        <w:rPr>
          <w:rFonts w:ascii="Times New Roman" w:hAnsi="Times New Roman"/>
          <w:sz w:val="24"/>
        </w:rPr>
        <w:t>Turner, A. (2015). Generation Z: Technology and social interest. The Journal of Individual Psychology, 71(2), 103–113. https://doi.org/10.1353/jip.2015.0021</w:t>
      </w:r>
    </w:p>
    <w:p>
      <w:r>
        <w:rPr>
          <w:rFonts w:ascii="Times New Roman" w:hAnsi="Times New Roman"/>
          <w:sz w:val="24"/>
        </w:rPr>
        <w:t>Vargo, S. L., &amp; Lusch, R. F. (2004). Evolving to a new dominant logic for marketing. Journal of Marketing, 68(1), 1–17. https://doi.org/10.1509/jmkg.68.1.1.24036</w:t>
      </w:r>
    </w:p>
    <w:p>
      <w:r>
        <w:rPr>
          <w:rFonts w:ascii="Times New Roman" w:hAnsi="Times New Roman"/>
          <w:sz w:val="24"/>
        </w:rPr>
        <w:t>Vargo, S. L., &amp; Lusch, R. F. (2008). Service-dominant logic: Continuing the evolution. Journal of the Academy of Marketing Science, 36(1), 1–10. https://doi.org/10.1007/s11747-007-0069-6</w:t>
      </w:r>
    </w:p>
    <w:p>
      <w:r>
        <w:rPr>
          <w:rFonts w:ascii="Times New Roman" w:hAnsi="Times New Roman"/>
          <w:sz w:val="24"/>
        </w:rPr>
        <w:t>Vrontis, D., Makrides, A., Christofi, M., &amp; Thrassou, A. (2021). Social media influencer marketing: A systematic review, integrative framework and future research agenda. International Journal of Consumer Studies, 45(4), 617–644. https://doi.org/10.1111/ijcs.12647</w:t>
      </w:r>
    </w:p>
    <w:p>
      <w:r>
        <w:rPr>
          <w:rFonts w:ascii="Times New Roman" w:hAnsi="Times New Roman"/>
          <w:sz w:val="24"/>
        </w:rPr>
        <w:t>Wang, Y., Jiang, J., Gong, X., &amp; Wang, J. (2023). Simple = authentic: The effect of visually simple package design on perceived brand authenticity and brand choice. Journal of Business Research, 166, Article 114078. https://doi.org/10.1016/j.jbusres.2023.114078</w:t>
      </w:r>
    </w:p>
    <w:p>
      <w:r>
        <w:rPr>
          <w:rFonts w:ascii="Times New Roman" w:hAnsi="Times New Roman"/>
          <w:sz w:val="24"/>
        </w:rPr>
        <w:t>Wilk, V., Soutar, G. N., &amp; Harrigan, P. (2020). Online brand advocacy (OBA): The development of a multiple-item scale. Journal of Product &amp; Brand Management, 29(4), 415–429. https://doi.org/10.1108/JPBM-10-20182090</w:t>
      </w:r>
    </w:p>
    <w:p>
      <w:r>
        <w:rPr>
          <w:rFonts w:ascii="Times New Roman" w:hAnsi="Times New Roman"/>
          <w:sz w:val="24"/>
        </w:rPr>
        <w:t>Wong, A., &amp; Hung, Y.-C. (2023). Love the star, love the team? The spillover effect of athlete sub brand to team brand advocacy in online brand communities. Journal of Product &amp; Brand Management, 32(2), 343– 359. https://doi.org/10.1108/JPBM-01-2022-3824</w:t>
      </w:r>
    </w:p>
    <w:p>
      <w:r>
        <w:rPr>
          <w:rFonts w:ascii="Times New Roman" w:hAnsi="Times New Roman"/>
          <w:sz w:val="24"/>
        </w:rPr>
        <w:t>Yuan, S., &amp; Lou, C. (2020). How social media influencers foster relationships with followers: The roles of source credibility and fairness in parasocial relationship and product interest. Journal of Interactive Advertising, 20(2), 133–147. https://doi.org/10.1080/15252019.2020.1769514</w:t>
      </w:r>
    </w:p>
    <w:p>
      <w:r>
        <w:rPr>
          <w:rFonts w:ascii="Times New Roman" w:hAnsi="Times New Roman"/>
          <w:sz w:val="24"/>
        </w:rPr>
        <w:t>Zhao, X., Lynch, J. G., &amp; Chen, Q. (2010). Reconsidering Baron and Kenny: Myths and truths about mediation analysis. Journal of Consumer Research, 37(2), 197–206. https://doi.org/10.1086/651257</w:t>
      </w:r>
    </w:p>
    <w:p>
      <w:r>
        <w:br w:type="page"/>
      </w:r>
    </w:p>
    <w:p>
      <w:pPr>
        <w:pStyle w:val="Heading1"/>
      </w:pPr>
      <w:r>
        <w:rPr>
          <w:rFonts w:ascii="Times New Roman" w:hAnsi="Times New Roman"/>
          <w:sz w:val="28"/>
        </w:rPr>
        <w:t>LAMPIRAN</w:t>
      </w:r>
    </w:p>
    <w:p>
      <w:pPr>
        <w:pStyle w:val="Heading2"/>
      </w:pPr>
      <w:r>
        <w:rPr>
          <w:rFonts w:ascii="Times New Roman" w:hAnsi="Times New Roman"/>
          <w:sz w:val="24"/>
        </w:rPr>
        <w:t>Lampiran 1. Instrumen Penelitian dan Lembar Informasi Partisipan</w:t>
      </w:r>
    </w:p>
    <w:p>
      <w:pPr>
        <w:pStyle w:val="Heading3"/>
      </w:pPr>
      <w:r>
        <w:rPr>
          <w:rFonts w:ascii="Times New Roman" w:hAnsi="Times New Roman"/>
          <w:sz w:val="24"/>
        </w:rPr>
        <w:t>A. Lembar informasi dan persetujuan</w:t>
      </w:r>
    </w:p>
    <w:p>
      <w:r>
        <w:rPr>
          <w:rFonts w:ascii="Times New Roman" w:hAnsi="Times New Roman"/>
          <w:sz w:val="24"/>
        </w:rPr>
        <w:t>Judul penelitian: Model Pembentukan Advokasi Merek Digital melalui Kredibilitas Influencer pada Generasi Z di Sulawesi Utara. Peneliti: Michael Ch. Raintung, Program Studi Doktor Ilmu Manajemen, Pascasarjana Universitas Sam Ratulangi. Penelitian ini meminta pendapat Saudara mengenai satu influencer yang telah Saudara ikuti dan satu merek yang pernah dipromosikan atau direkomendasikan oleh influencer tersebut. Partisipasi bersifat sukarela. Saudara dapat berhenti kapan pun tanpa konsekuensi. Kuesioner tidak meminta kata sandi, akses ke akun media sosial, atau pesan pribadi. Jawaban dianalisis untuk keperluan akademik dan dilaporkan secara agregat. Sebelum tautan survei dibagikan, lembar informasi akan mencantumkan perkiraan waktu pengisian berdasarkan hasil pilot, kontak resmi peneliti, informasi persetujuan etik, alamat korespondensi, dan masa penyimpanan data. Pernyataan persetujuan:</w:t>
      </w:r>
    </w:p>
    <w:p>
      <w:pPr>
        <w:pStyle w:val="ListBullet"/>
        <w:spacing w:after="40" w:line="360" w:lineRule="auto"/>
      </w:pPr>
      <w:r>
        <w:rPr>
          <w:rFonts w:ascii="Times New Roman" w:hAnsi="Times New Roman"/>
          <w:sz w:val="24"/>
        </w:rPr>
        <w:t>• Saya telah membaca informasi penelitian, memahami hak saya,</w:t>
      </w:r>
    </w:p>
    <w:p>
      <w:r>
        <w:rPr>
          <w:rFonts w:ascii="Times New Roman" w:hAnsi="Times New Roman"/>
          <w:sz w:val="24"/>
        </w:rPr>
        <w:t>dan bersedia berpartisipasi. [Ya/Tidak]</w:t>
      </w:r>
    </w:p>
    <w:p>
      <w:pPr>
        <w:pStyle w:val="ListBullet"/>
        <w:spacing w:after="40" w:line="360" w:lineRule="auto"/>
      </w:pPr>
      <w:r>
        <w:rPr>
          <w:rFonts w:ascii="Times New Roman" w:hAnsi="Times New Roman"/>
          <w:sz w:val="24"/>
        </w:rPr>
        <w:t>• Pilihan “Tidak” menghentikan formulir tanpa menyimpan</w:t>
      </w:r>
    </w:p>
    <w:p>
      <w:r>
        <w:rPr>
          <w:rFonts w:ascii="Times New Roman" w:hAnsi="Times New Roman"/>
          <w:sz w:val="24"/>
        </w:rPr>
        <w:t>jawaban sebagai data utama.</w:t>
      </w:r>
    </w:p>
    <w:p>
      <w:pPr>
        <w:pStyle w:val="Heading3"/>
      </w:pPr>
      <w:r>
        <w:rPr>
          <w:rFonts w:ascii="Times New Roman" w:hAnsi="Times New Roman"/>
          <w:sz w:val="24"/>
        </w:rPr>
        <w:t>B. Pertanyaan penyaringan dan penetapan objek</w:t>
      </w:r>
    </w:p>
    <w:p>
      <w:pPr>
        <w:pStyle w:val="ListNumber"/>
        <w:spacing w:after="40" w:line="360" w:lineRule="auto"/>
      </w:pPr>
      <w:r>
        <w:rPr>
          <w:rFonts w:ascii="Times New Roman" w:hAnsi="Times New Roman"/>
          <w:sz w:val="24"/>
        </w:rPr>
        <w:t>Usia saat ini: ____ tahun. Lanjut jika berusia 18–27 tahun.</w:t>
      </w:r>
    </w:p>
    <w:p>
      <w:pPr>
        <w:pStyle w:val="ListNumber"/>
        <w:spacing w:after="40" w:line="360" w:lineRule="auto"/>
      </w:pPr>
      <w:r>
        <w:rPr>
          <w:rFonts w:ascii="Times New Roman" w:hAnsi="Times New Roman"/>
          <w:sz w:val="24"/>
        </w:rPr>
        <w:t>Kabupaten/kota tempat tinggal saat ini: [daftar resmi</w:t>
      </w:r>
    </w:p>
    <w:p>
      <w:r>
        <w:rPr>
          <w:rFonts w:ascii="Times New Roman" w:hAnsi="Times New Roman"/>
          <w:sz w:val="24"/>
        </w:rPr>
        <w:t>kabupaten/kota di Sulawesi Utara / di luar provinsi]. Pilihan di luar provinsi menghentikan formulir.</w:t>
      </w:r>
    </w:p>
    <w:p>
      <w:pPr>
        <w:pStyle w:val="ListNumber"/>
        <w:spacing w:after="40" w:line="360" w:lineRule="auto"/>
      </w:pPr>
      <w:r>
        <w:rPr>
          <w:rFonts w:ascii="Times New Roman" w:hAnsi="Times New Roman"/>
          <w:sz w:val="24"/>
        </w:rPr>
        <w:t>Seberapa sering Saudara menggunakan media sosial? [Hampir</w:t>
      </w:r>
    </w:p>
    <w:p>
      <w:r>
        <w:rPr>
          <w:rFonts w:ascii="Times New Roman" w:hAnsi="Times New Roman"/>
          <w:sz w:val="24"/>
        </w:rPr>
        <w:t>setiap hari / beberapa kali seminggu / beberapa kali sebulan / tidak pernah]. Lanjut jika hampir setiap hari atau beberapa kali seminggu.</w:t>
      </w:r>
    </w:p>
    <w:p>
      <w:pPr>
        <w:pStyle w:val="ListNumber"/>
        <w:spacing w:after="40" w:line="360" w:lineRule="auto"/>
      </w:pPr>
      <w:r>
        <w:rPr>
          <w:rFonts w:ascii="Times New Roman" w:hAnsi="Times New Roman"/>
          <w:sz w:val="24"/>
        </w:rPr>
        <w:t>Apakah Saudara mengikuti sekurang-kurangnya satu akun</w:t>
      </w:r>
    </w:p>
    <w:p>
      <w:r>
        <w:rPr>
          <w:rFonts w:ascii="Times New Roman" w:hAnsi="Times New Roman"/>
          <w:sz w:val="24"/>
        </w:rPr>
        <w:t>influencer? [Ya/Tidak]. Lanjut jika ya.</w:t>
      </w:r>
    </w:p>
    <w:p>
      <w:pPr>
        <w:pStyle w:val="ListNumber"/>
        <w:spacing w:after="40" w:line="360" w:lineRule="auto"/>
      </w:pPr>
      <w:r>
        <w:rPr>
          <w:rFonts w:ascii="Times New Roman" w:hAnsi="Times New Roman"/>
          <w:sz w:val="24"/>
        </w:rPr>
        <w:t>Apakah Saudara pernah melihat influencer yang diikuti</w:t>
      </w:r>
    </w:p>
    <w:p>
      <w:r>
        <w:rPr>
          <w:rFonts w:ascii="Times New Roman" w:hAnsi="Times New Roman"/>
          <w:sz w:val="24"/>
        </w:rPr>
        <w:t>mempromosikan, mengulas, atau merekomendasikan suatu merek yang Saudara kenal? [Ya/Tidak/Tidak yakin]. Lanjut jika ya.</w:t>
      </w:r>
    </w:p>
    <w:p>
      <w:pPr>
        <w:pStyle w:val="ListNumber"/>
        <w:spacing w:after="40" w:line="360" w:lineRule="auto"/>
      </w:pPr>
      <w:r>
        <w:rPr>
          <w:rFonts w:ascii="Times New Roman" w:hAnsi="Times New Roman"/>
          <w:sz w:val="24"/>
        </w:rPr>
        <w:t>Tuliskan nama atau sebutan akun influencer yang akan Saudara</w:t>
      </w:r>
    </w:p>
    <w:p>
      <w:r>
        <w:rPr>
          <w:rFonts w:ascii="Times New Roman" w:hAnsi="Times New Roman"/>
          <w:sz w:val="24"/>
        </w:rPr>
        <w:t>jadikan acuan: ____.</w:t>
      </w:r>
    </w:p>
    <w:p>
      <w:pPr>
        <w:pStyle w:val="ListNumber"/>
        <w:spacing w:after="40" w:line="360" w:lineRule="auto"/>
      </w:pPr>
      <w:r>
        <w:rPr>
          <w:rFonts w:ascii="Times New Roman" w:hAnsi="Times New Roman"/>
          <w:sz w:val="24"/>
        </w:rPr>
        <w:t>Tuliskan nama merek yang dipromosikan atau direkomendasikan</w:t>
      </w:r>
    </w:p>
    <w:p>
      <w:r>
        <w:rPr>
          <w:rFonts w:ascii="Times New Roman" w:hAnsi="Times New Roman"/>
          <w:sz w:val="24"/>
        </w:rPr>
        <w:t>influencer tersebut: ____.</w:t>
      </w:r>
    </w:p>
    <w:p>
      <w:pPr>
        <w:pStyle w:val="ListNumber"/>
        <w:spacing w:after="40" w:line="360" w:lineRule="auto"/>
      </w:pPr>
      <w:r>
        <w:rPr>
          <w:rFonts w:ascii="Times New Roman" w:hAnsi="Times New Roman"/>
          <w:sz w:val="24"/>
        </w:rPr>
        <w:t>Apakah Saudara pernah menggunakan produk atau layanan merek</w:t>
      </w:r>
    </w:p>
    <w:p>
      <w:r>
        <w:rPr>
          <w:rFonts w:ascii="Times New Roman" w:hAnsi="Times New Roman"/>
          <w:sz w:val="24"/>
        </w:rPr>
        <w:t>tersebut? [Pernah/Tidak pernah/Tidak ingat]. Jawaban ini tidak menentukan kelayakan.</w:t>
      </w:r>
    </w:p>
    <w:p>
      <w:pPr>
        <w:pStyle w:val="ListNumber"/>
        <w:spacing w:after="40" w:line="360" w:lineRule="auto"/>
      </w:pPr>
      <w:r>
        <w:rPr>
          <w:rFonts w:ascii="Times New Roman" w:hAnsi="Times New Roman"/>
          <w:sz w:val="24"/>
        </w:rPr>
        <w:t>Kategori merek: [Makanan/minuman; fesyen/kecantikan;</w:t>
      </w:r>
    </w:p>
    <w:p>
      <w:r>
        <w:rPr>
          <w:rFonts w:ascii="Times New Roman" w:hAnsi="Times New Roman"/>
          <w:sz w:val="24"/>
        </w:rPr>
        <w:t>teknologi; jasa digital; hiburan; lainnya: ____]. Instruksi utama: Bayangkan influencer pada nomor 6 dan merek pada nomor 7. Gunakan pasangan yang sama ketika menjawab seluruh pernyataan. Skala jawaban: 1 = sangat tidak setuju; 2 = tidak setuju; 3 = netral; 4 = setuju; 5 = sangat setuju. Pada butir tentang sejarah atau kinerja merek yang tidak Saudara ketahui, pilih “tidak dapat menilai”; jangan menggunakan angka 3 untuk menggantikan ketidaktahuan.</w:t>
      </w:r>
    </w:p>
    <w:p>
      <w:pPr>
        <w:pStyle w:val="Heading3"/>
      </w:pPr>
      <w:r>
        <w:rPr>
          <w:rFonts w:ascii="Times New Roman" w:hAnsi="Times New Roman"/>
          <w:sz w:val="24"/>
        </w:rPr>
        <w:t>C. Kredibilitas influencer acuan (KI)</w:t>
      </w:r>
    </w:p>
    <w:p>
      <w:r>
        <w:rPr>
          <w:rFonts w:ascii="Times New Roman" w:hAnsi="Times New Roman"/>
          <w:sz w:val="24"/>
        </w:rPr>
        <w:t>Keahlian</w:t>
      </w:r>
    </w:p>
    <w:p>
      <w:pPr>
        <w:pStyle w:val="ListBullet"/>
        <w:spacing w:after="40" w:line="360" w:lineRule="auto"/>
      </w:pPr>
      <w:r>
        <w:rPr>
          <w:rFonts w:ascii="Times New Roman" w:hAnsi="Times New Roman"/>
          <w:sz w:val="24"/>
        </w:rPr>
        <w:t>• KI1. Influencer acuan saya memiliki pengetahuan yang memadai</w:t>
      </w:r>
    </w:p>
    <w:p>
      <w:r>
        <w:rPr>
          <w:rFonts w:ascii="Times New Roman" w:hAnsi="Times New Roman"/>
          <w:sz w:val="24"/>
        </w:rPr>
        <w:t>tentang kategori produk yang direkomendasikannya.</w:t>
      </w:r>
    </w:p>
    <w:p>
      <w:pPr>
        <w:pStyle w:val="ListBullet"/>
        <w:spacing w:after="40" w:line="360" w:lineRule="auto"/>
      </w:pPr>
      <w:r>
        <w:rPr>
          <w:rFonts w:ascii="Times New Roman" w:hAnsi="Times New Roman"/>
          <w:sz w:val="24"/>
        </w:rPr>
        <w:t>• KI2. Influencer acuan saya memiliki pengalaman yang relevan</w:t>
      </w:r>
    </w:p>
    <w:p>
      <w:r>
        <w:rPr>
          <w:rFonts w:ascii="Times New Roman" w:hAnsi="Times New Roman"/>
          <w:sz w:val="24"/>
        </w:rPr>
        <w:t>dengan kategori produk yang direkomendasikannya.</w:t>
      </w:r>
    </w:p>
    <w:p>
      <w:pPr>
        <w:pStyle w:val="ListBullet"/>
        <w:spacing w:after="40" w:line="360" w:lineRule="auto"/>
      </w:pPr>
      <w:r>
        <w:rPr>
          <w:rFonts w:ascii="Times New Roman" w:hAnsi="Times New Roman"/>
          <w:sz w:val="24"/>
        </w:rPr>
        <w:t>• KI3. Influencer acuan saya mampu menjelaskan produk yang</w:t>
      </w:r>
    </w:p>
    <w:p>
      <w:r>
        <w:rPr>
          <w:rFonts w:ascii="Times New Roman" w:hAnsi="Times New Roman"/>
          <w:sz w:val="24"/>
        </w:rPr>
        <w:t>direkomendasikannya dengan kompeten. Keterpercayaan</w:t>
      </w:r>
    </w:p>
    <w:p>
      <w:pPr>
        <w:pStyle w:val="ListBullet"/>
        <w:spacing w:after="40" w:line="360" w:lineRule="auto"/>
      </w:pPr>
      <w:r>
        <w:rPr>
          <w:rFonts w:ascii="Times New Roman" w:hAnsi="Times New Roman"/>
          <w:sz w:val="24"/>
        </w:rPr>
        <w:t>• KI4. Influencer acuan saya menyampaikan pendapat secara jujur.</w:t>
      </w:r>
    </w:p>
    <w:p>
      <w:pPr>
        <w:pStyle w:val="ListBullet"/>
        <w:spacing w:after="40" w:line="360" w:lineRule="auto"/>
      </w:pPr>
      <w:r>
        <w:rPr>
          <w:rFonts w:ascii="Times New Roman" w:hAnsi="Times New Roman"/>
          <w:sz w:val="24"/>
        </w:rPr>
        <w:t>• KI5. Informasi yang disampaikan influencer acuan saya dapat</w:t>
      </w:r>
    </w:p>
    <w:p>
      <w:r>
        <w:rPr>
          <w:rFonts w:ascii="Times New Roman" w:hAnsi="Times New Roman"/>
          <w:sz w:val="24"/>
        </w:rPr>
        <w:t>diandalkan.</w:t>
      </w:r>
    </w:p>
    <w:p>
      <w:pPr>
        <w:pStyle w:val="ListBullet"/>
        <w:spacing w:after="40" w:line="360" w:lineRule="auto"/>
      </w:pPr>
      <w:r>
        <w:rPr>
          <w:rFonts w:ascii="Times New Roman" w:hAnsi="Times New Roman"/>
          <w:sz w:val="24"/>
        </w:rPr>
        <w:t>• KI6. Saya percaya bahwa rekomendasi influencer acuan saya</w:t>
      </w:r>
    </w:p>
    <w:p>
      <w:r>
        <w:rPr>
          <w:rFonts w:ascii="Times New Roman" w:hAnsi="Times New Roman"/>
          <w:sz w:val="24"/>
        </w:rPr>
        <w:t>tidak menyesatkan. Daya tarik</w:t>
      </w:r>
    </w:p>
    <w:p>
      <w:pPr>
        <w:pStyle w:val="ListBullet"/>
        <w:spacing w:after="40" w:line="360" w:lineRule="auto"/>
      </w:pPr>
      <w:r>
        <w:rPr>
          <w:rFonts w:ascii="Times New Roman" w:hAnsi="Times New Roman"/>
          <w:sz w:val="24"/>
        </w:rPr>
        <w:t>• KI7. Influencer acuan saya menarik sebagai komunikator.</w:t>
      </w:r>
    </w:p>
    <w:p>
      <w:pPr>
        <w:pStyle w:val="ListBullet"/>
        <w:spacing w:after="40" w:line="360" w:lineRule="auto"/>
      </w:pPr>
      <w:r>
        <w:rPr>
          <w:rFonts w:ascii="Times New Roman" w:hAnsi="Times New Roman"/>
          <w:sz w:val="24"/>
        </w:rPr>
        <w:t>• KI8. Gaya penyampaian konten influencer acuan saya menarik.</w:t>
      </w:r>
    </w:p>
    <w:p>
      <w:pPr>
        <w:pStyle w:val="ListBullet"/>
        <w:spacing w:after="40" w:line="360" w:lineRule="auto"/>
      </w:pPr>
      <w:r>
        <w:rPr>
          <w:rFonts w:ascii="Times New Roman" w:hAnsi="Times New Roman"/>
          <w:sz w:val="24"/>
        </w:rPr>
        <w:t>• KI9. Pembawaan influencer acuan saya menyenangkan untuk</w:t>
      </w:r>
    </w:p>
    <w:p>
      <w:r>
        <w:rPr>
          <w:rFonts w:ascii="Times New Roman" w:hAnsi="Times New Roman"/>
          <w:sz w:val="24"/>
        </w:rPr>
        <w:t>diikuti.</w:t>
      </w:r>
    </w:p>
    <w:p>
      <w:pPr>
        <w:pStyle w:val="Heading3"/>
      </w:pPr>
      <w:r>
        <w:rPr>
          <w:rFonts w:ascii="Times New Roman" w:hAnsi="Times New Roman"/>
          <w:sz w:val="24"/>
        </w:rPr>
        <w:t>D. Hubungan parasosial dengan influencer acuan (HP)</w:t>
      </w:r>
    </w:p>
    <w:p>
      <w:r>
        <w:rPr>
          <w:rFonts w:ascii="Times New Roman" w:hAnsi="Times New Roman"/>
          <w:sz w:val="24"/>
        </w:rPr>
        <w:t>Persepsi pertemanan</w:t>
      </w:r>
    </w:p>
    <w:p>
      <w:pPr>
        <w:pStyle w:val="ListBullet"/>
        <w:spacing w:after="40" w:line="360" w:lineRule="auto"/>
      </w:pPr>
      <w:r>
        <w:rPr>
          <w:rFonts w:ascii="Times New Roman" w:hAnsi="Times New Roman"/>
          <w:sz w:val="24"/>
        </w:rPr>
        <w:t>• HP1. Saya merasa influencer acuan saya seperti teman sendiri.</w:t>
      </w:r>
    </w:p>
    <w:p>
      <w:pPr>
        <w:pStyle w:val="ListBullet"/>
        <w:spacing w:after="40" w:line="360" w:lineRule="auto"/>
      </w:pPr>
      <w:r>
        <w:rPr>
          <w:rFonts w:ascii="Times New Roman" w:hAnsi="Times New Roman"/>
          <w:sz w:val="24"/>
        </w:rPr>
        <w:t>• HP2. Saya merasa mengenal kepribadian influencer acuan saya.</w:t>
      </w:r>
    </w:p>
    <w:p>
      <w:pPr>
        <w:pStyle w:val="ListBullet"/>
        <w:spacing w:after="40" w:line="360" w:lineRule="auto"/>
      </w:pPr>
      <w:r>
        <w:rPr>
          <w:rFonts w:ascii="Times New Roman" w:hAnsi="Times New Roman"/>
          <w:sz w:val="24"/>
        </w:rPr>
        <w:t>• HP3. Saya merasa memiliki hubungan yang berkelanjutan dengan</w:t>
      </w:r>
    </w:p>
    <w:p>
      <w:r>
        <w:rPr>
          <w:rFonts w:ascii="Times New Roman" w:hAnsi="Times New Roman"/>
          <w:sz w:val="24"/>
        </w:rPr>
        <w:t>influencer acuan saya meskipun hubungan tersebut hanya melalui konten media sosial. Keterikatan emosional</w:t>
      </w:r>
    </w:p>
    <w:p>
      <w:pPr>
        <w:pStyle w:val="ListBullet"/>
        <w:spacing w:after="40" w:line="360" w:lineRule="auto"/>
      </w:pPr>
      <w:r>
        <w:rPr>
          <w:rFonts w:ascii="Times New Roman" w:hAnsi="Times New Roman"/>
          <w:sz w:val="24"/>
        </w:rPr>
        <w:t>• HP4. Saya merasa dekat secara emosional dengan influencer</w:t>
      </w:r>
    </w:p>
    <w:p>
      <w:r>
        <w:rPr>
          <w:rFonts w:ascii="Times New Roman" w:hAnsi="Times New Roman"/>
          <w:sz w:val="24"/>
        </w:rPr>
        <w:t>acuan saya.</w:t>
      </w:r>
    </w:p>
    <w:p>
      <w:pPr>
        <w:pStyle w:val="ListBullet"/>
        <w:spacing w:after="40" w:line="360" w:lineRule="auto"/>
      </w:pPr>
      <w:r>
        <w:rPr>
          <w:rFonts w:ascii="Times New Roman" w:hAnsi="Times New Roman"/>
          <w:sz w:val="24"/>
        </w:rPr>
        <w:t>• HP5. Saya merasa kehilangan ketika influencer acuan saya cukup</w:t>
      </w:r>
    </w:p>
    <w:p>
      <w:r>
        <w:rPr>
          <w:rFonts w:ascii="Times New Roman" w:hAnsi="Times New Roman"/>
          <w:sz w:val="24"/>
        </w:rPr>
        <w:t>lama tidak mengunggah konten.</w:t>
      </w:r>
    </w:p>
    <w:p>
      <w:pPr>
        <w:pStyle w:val="ListBullet"/>
        <w:spacing w:after="40" w:line="360" w:lineRule="auto"/>
      </w:pPr>
      <w:r>
        <w:rPr>
          <w:rFonts w:ascii="Times New Roman" w:hAnsi="Times New Roman"/>
          <w:sz w:val="24"/>
        </w:rPr>
        <w:t>• HP6. Saya merasakan keterikatan personal dengan influencer</w:t>
      </w:r>
    </w:p>
    <w:p>
      <w:r>
        <w:rPr>
          <w:rFonts w:ascii="Times New Roman" w:hAnsi="Times New Roman"/>
          <w:sz w:val="24"/>
        </w:rPr>
        <w:t>acuan setelah mengikuti kontennya berulang kali. Pemahaman terhadap figur</w:t>
      </w:r>
    </w:p>
    <w:p>
      <w:pPr>
        <w:pStyle w:val="ListBullet"/>
        <w:spacing w:after="40" w:line="360" w:lineRule="auto"/>
      </w:pPr>
      <w:r>
        <w:rPr>
          <w:rFonts w:ascii="Times New Roman" w:hAnsi="Times New Roman"/>
          <w:sz w:val="24"/>
        </w:rPr>
        <w:t>• HP7. Saya dapat memahami cara berpikir influencer acuan saya.</w:t>
      </w:r>
    </w:p>
    <w:p>
      <w:pPr>
        <w:pStyle w:val="ListBullet"/>
        <w:spacing w:after="40" w:line="360" w:lineRule="auto"/>
      </w:pPr>
      <w:r>
        <w:rPr>
          <w:rFonts w:ascii="Times New Roman" w:hAnsi="Times New Roman"/>
          <w:sz w:val="24"/>
        </w:rPr>
        <w:t>• HP8. Saya dapat memperkirakan pendapat influencer acuan saya</w:t>
      </w:r>
    </w:p>
    <w:p>
      <w:r>
        <w:rPr>
          <w:rFonts w:ascii="Times New Roman" w:hAnsi="Times New Roman"/>
          <w:sz w:val="24"/>
        </w:rPr>
        <w:t>mengenai isu yang dibahasnya.</w:t>
      </w:r>
    </w:p>
    <w:p>
      <w:pPr>
        <w:pStyle w:val="ListBullet"/>
        <w:spacing w:after="40" w:line="360" w:lineRule="auto"/>
      </w:pPr>
      <w:r>
        <w:rPr>
          <w:rFonts w:ascii="Times New Roman" w:hAnsi="Times New Roman"/>
          <w:sz w:val="24"/>
        </w:rPr>
        <w:t>• HP9. Dari konten yang dibagikan, saya merasa memahami sudut</w:t>
      </w:r>
    </w:p>
    <w:p>
      <w:r>
        <w:rPr>
          <w:rFonts w:ascii="Times New Roman" w:hAnsi="Times New Roman"/>
          <w:sz w:val="24"/>
        </w:rPr>
        <w:t>pandang influencer acuan saya.</w:t>
      </w:r>
    </w:p>
    <w:p>
      <w:pPr>
        <w:pStyle w:val="Heading3"/>
      </w:pPr>
      <w:r>
        <w:rPr>
          <w:rFonts w:ascii="Times New Roman" w:hAnsi="Times New Roman"/>
          <w:sz w:val="24"/>
        </w:rPr>
        <w:t>E. Autentisitas merek acuan (AM)</w:t>
      </w:r>
    </w:p>
    <w:p>
      <w:r>
        <w:rPr>
          <w:rFonts w:ascii="Times New Roman" w:hAnsi="Times New Roman"/>
          <w:sz w:val="24"/>
        </w:rPr>
        <w:t>Kontinuitas</w:t>
      </w:r>
    </w:p>
    <w:p>
      <w:pPr>
        <w:pStyle w:val="ListBullet"/>
        <w:spacing w:after="40" w:line="360" w:lineRule="auto"/>
      </w:pPr>
      <w:r>
        <w:rPr>
          <w:rFonts w:ascii="Times New Roman" w:hAnsi="Times New Roman"/>
          <w:sz w:val="24"/>
        </w:rPr>
        <w:t>• AM1. Merek acuan saya konsisten mempertahankan karakter dan</w:t>
      </w:r>
    </w:p>
    <w:p>
      <w:r>
        <w:rPr>
          <w:rFonts w:ascii="Times New Roman" w:hAnsi="Times New Roman"/>
          <w:sz w:val="24"/>
        </w:rPr>
        <w:t>nilainya dari waktu ke waktu.</w:t>
      </w:r>
    </w:p>
    <w:p>
      <w:pPr>
        <w:pStyle w:val="ListBullet"/>
        <w:spacing w:after="40" w:line="360" w:lineRule="auto"/>
      </w:pPr>
      <w:r>
        <w:rPr>
          <w:rFonts w:ascii="Times New Roman" w:hAnsi="Times New Roman"/>
          <w:sz w:val="24"/>
        </w:rPr>
        <w:t>• AM2. Merek acuan saya tetap berpegang pada nilai yang dikenal</w:t>
      </w:r>
    </w:p>
    <w:p>
      <w:r>
        <w:rPr>
          <w:rFonts w:ascii="Times New Roman" w:hAnsi="Times New Roman"/>
          <w:sz w:val="24"/>
        </w:rPr>
        <w:t>sebagai bagian dari identitasnya.</w:t>
      </w:r>
    </w:p>
    <w:p>
      <w:pPr>
        <w:pStyle w:val="ListBullet"/>
        <w:spacing w:after="40" w:line="360" w:lineRule="auto"/>
      </w:pPr>
      <w:r>
        <w:rPr>
          <w:rFonts w:ascii="Times New Roman" w:hAnsi="Times New Roman"/>
          <w:sz w:val="24"/>
        </w:rPr>
        <w:t>• AM3. Perubahan yang dilakukan merek acuan tidak</w:t>
      </w:r>
    </w:p>
    <w:p>
      <w:r>
        <w:rPr>
          <w:rFonts w:ascii="Times New Roman" w:hAnsi="Times New Roman"/>
          <w:sz w:val="24"/>
        </w:rPr>
        <w:t>menghilangkan karakter dasarnya. Kredibilitas merek</w:t>
      </w:r>
    </w:p>
    <w:p>
      <w:pPr>
        <w:pStyle w:val="ListBullet"/>
        <w:spacing w:after="40" w:line="360" w:lineRule="auto"/>
      </w:pPr>
      <w:r>
        <w:rPr>
          <w:rFonts w:ascii="Times New Roman" w:hAnsi="Times New Roman"/>
          <w:sz w:val="24"/>
        </w:rPr>
        <w:t>• AM4. Merek acuan saya memenuhi janji kualitas yang</w:t>
      </w:r>
    </w:p>
    <w:p>
      <w:r>
        <w:rPr>
          <w:rFonts w:ascii="Times New Roman" w:hAnsi="Times New Roman"/>
          <w:sz w:val="24"/>
        </w:rPr>
        <w:t>disampaikannya.</w:t>
      </w:r>
    </w:p>
    <w:p>
      <w:pPr>
        <w:pStyle w:val="ListBullet"/>
        <w:spacing w:after="40" w:line="360" w:lineRule="auto"/>
      </w:pPr>
      <w:r>
        <w:rPr>
          <w:rFonts w:ascii="Times New Roman" w:hAnsi="Times New Roman"/>
          <w:sz w:val="24"/>
        </w:rPr>
        <w:t>• AM5. Merek acuan saya menyampaikan informasi produk secara</w:t>
      </w:r>
    </w:p>
    <w:p>
      <w:r>
        <w:rPr>
          <w:rFonts w:ascii="Times New Roman" w:hAnsi="Times New Roman"/>
          <w:sz w:val="24"/>
        </w:rPr>
        <w:t>jujur.</w:t>
      </w:r>
    </w:p>
    <w:p>
      <w:pPr>
        <w:pStyle w:val="ListBullet"/>
        <w:spacing w:after="40" w:line="360" w:lineRule="auto"/>
      </w:pPr>
      <w:r>
        <w:rPr>
          <w:rFonts w:ascii="Times New Roman" w:hAnsi="Times New Roman"/>
          <w:sz w:val="24"/>
        </w:rPr>
        <w:t>• AM6. Sejauh yang saya ketahui, keterangan merek acuan saya</w:t>
      </w:r>
    </w:p>
    <w:p>
      <w:r>
        <w:rPr>
          <w:rFonts w:ascii="Times New Roman" w:hAnsi="Times New Roman"/>
          <w:sz w:val="24"/>
        </w:rPr>
        <w:t>dapat dipercaya. Integritas</w:t>
      </w:r>
    </w:p>
    <w:p>
      <w:pPr>
        <w:pStyle w:val="ListBullet"/>
        <w:spacing w:after="40" w:line="360" w:lineRule="auto"/>
      </w:pPr>
      <w:r>
        <w:rPr>
          <w:rFonts w:ascii="Times New Roman" w:hAnsi="Times New Roman"/>
          <w:sz w:val="24"/>
        </w:rPr>
        <w:t>• AM7. Tindakan merek acuan saya selaras dengan nilai yang</w:t>
      </w:r>
    </w:p>
    <w:p>
      <w:r>
        <w:rPr>
          <w:rFonts w:ascii="Times New Roman" w:hAnsi="Times New Roman"/>
          <w:sz w:val="24"/>
        </w:rPr>
        <w:t>dinyatakannya.</w:t>
      </w:r>
    </w:p>
    <w:p>
      <w:pPr>
        <w:pStyle w:val="ListBullet"/>
        <w:spacing w:after="40" w:line="360" w:lineRule="auto"/>
      </w:pPr>
      <w:r>
        <w:rPr>
          <w:rFonts w:ascii="Times New Roman" w:hAnsi="Times New Roman"/>
          <w:sz w:val="24"/>
        </w:rPr>
        <w:t>• AM8. Merek acuan saya menjalankan tanggung jawabnya</w:t>
      </w:r>
    </w:p>
    <w:p>
      <w:r>
        <w:rPr>
          <w:rFonts w:ascii="Times New Roman" w:hAnsi="Times New Roman"/>
          <w:sz w:val="24"/>
        </w:rPr>
        <w:t>terhadap konsumen.</w:t>
      </w:r>
    </w:p>
    <w:p>
      <w:pPr>
        <w:pStyle w:val="ListBullet"/>
        <w:spacing w:after="40" w:line="360" w:lineRule="auto"/>
      </w:pPr>
      <w:r>
        <w:rPr>
          <w:rFonts w:ascii="Times New Roman" w:hAnsi="Times New Roman"/>
          <w:sz w:val="24"/>
        </w:rPr>
        <w:t>• AM9. Merek acuan saya bersedia bertanggung jawab atas dampak</w:t>
      </w:r>
    </w:p>
    <w:p>
      <w:r>
        <w:rPr>
          <w:rFonts w:ascii="Times New Roman" w:hAnsi="Times New Roman"/>
          <w:sz w:val="24"/>
        </w:rPr>
        <w:t>dari tindakannya. Simbolisme</w:t>
      </w:r>
    </w:p>
    <w:p>
      <w:pPr>
        <w:pStyle w:val="ListBullet"/>
        <w:spacing w:after="40" w:line="360" w:lineRule="auto"/>
      </w:pPr>
      <w:r>
        <w:rPr>
          <w:rFonts w:ascii="Times New Roman" w:hAnsi="Times New Roman"/>
          <w:sz w:val="24"/>
        </w:rPr>
        <w:t>• AM10. Merek acuan saya mencerminkan sebagian dari cara saya</w:t>
      </w:r>
    </w:p>
    <w:p>
      <w:r>
        <w:rPr>
          <w:rFonts w:ascii="Times New Roman" w:hAnsi="Times New Roman"/>
          <w:sz w:val="24"/>
        </w:rPr>
        <w:t>memandang diri.</w:t>
      </w:r>
    </w:p>
    <w:p>
      <w:pPr>
        <w:pStyle w:val="ListBullet"/>
        <w:spacing w:after="40" w:line="360" w:lineRule="auto"/>
      </w:pPr>
      <w:r>
        <w:rPr>
          <w:rFonts w:ascii="Times New Roman" w:hAnsi="Times New Roman"/>
          <w:sz w:val="24"/>
        </w:rPr>
        <w:t>• AM11. Merek acuan saya membantu saya menyampaikan</w:t>
      </w:r>
    </w:p>
    <w:p>
      <w:r>
        <w:rPr>
          <w:rFonts w:ascii="Times New Roman" w:hAnsi="Times New Roman"/>
          <w:sz w:val="24"/>
        </w:rPr>
        <w:t>identitas kepada orang lain.</w:t>
      </w:r>
    </w:p>
    <w:p>
      <w:pPr>
        <w:pStyle w:val="ListBullet"/>
        <w:spacing w:after="40" w:line="360" w:lineRule="auto"/>
      </w:pPr>
      <w:r>
        <w:rPr>
          <w:rFonts w:ascii="Times New Roman" w:hAnsi="Times New Roman"/>
          <w:sz w:val="24"/>
        </w:rPr>
        <w:t>• AM12. Makna yang saya hubungkan dengan merek acuan saya</w:t>
      </w:r>
    </w:p>
    <w:p>
      <w:r>
        <w:rPr>
          <w:rFonts w:ascii="Times New Roman" w:hAnsi="Times New Roman"/>
          <w:sz w:val="24"/>
        </w:rPr>
        <w:t>sejalan dengan prinsip yang penting bagi saya.</w:t>
      </w:r>
    </w:p>
    <w:p>
      <w:pPr>
        <w:pStyle w:val="Heading3"/>
      </w:pPr>
      <w:r>
        <w:rPr>
          <w:rFonts w:ascii="Times New Roman" w:hAnsi="Times New Roman"/>
          <w:sz w:val="24"/>
        </w:rPr>
        <w:t>F. Kesediaan advokasi merek digital (AMD)</w:t>
      </w:r>
    </w:p>
    <w:p>
      <w:r>
        <w:rPr>
          <w:rFonts w:ascii="Times New Roman" w:hAnsi="Times New Roman"/>
          <w:sz w:val="24"/>
        </w:rPr>
        <w:t>Rekomendasi</w:t>
      </w:r>
    </w:p>
    <w:p>
      <w:pPr>
        <w:pStyle w:val="ListBullet"/>
        <w:spacing w:after="40" w:line="360" w:lineRule="auto"/>
      </w:pPr>
      <w:r>
        <w:rPr>
          <w:rFonts w:ascii="Times New Roman" w:hAnsi="Times New Roman"/>
          <w:sz w:val="24"/>
        </w:rPr>
        <w:t>• AMD1. Saya bersedia merekomendasikan merek acuan saya</w:t>
      </w:r>
    </w:p>
    <w:p>
      <w:r>
        <w:rPr>
          <w:rFonts w:ascii="Times New Roman" w:hAnsi="Times New Roman"/>
          <w:sz w:val="24"/>
        </w:rPr>
        <w:t>kepada orang lain secara daring.</w:t>
      </w:r>
    </w:p>
    <w:p>
      <w:pPr>
        <w:pStyle w:val="ListBullet"/>
        <w:spacing w:after="40" w:line="360" w:lineRule="auto"/>
      </w:pPr>
      <w:r>
        <w:rPr>
          <w:rFonts w:ascii="Times New Roman" w:hAnsi="Times New Roman"/>
          <w:sz w:val="24"/>
        </w:rPr>
        <w:t>• AMD2. Saya bersedia menulis ulasan positif mengenai merek</w:t>
      </w:r>
    </w:p>
    <w:p>
      <w:r>
        <w:rPr>
          <w:rFonts w:ascii="Times New Roman" w:hAnsi="Times New Roman"/>
          <w:sz w:val="24"/>
        </w:rPr>
        <w:t>acuan saya.</w:t>
      </w:r>
    </w:p>
    <w:p>
      <w:pPr>
        <w:pStyle w:val="ListBullet"/>
        <w:spacing w:after="40" w:line="360" w:lineRule="auto"/>
      </w:pPr>
      <w:r>
        <w:rPr>
          <w:rFonts w:ascii="Times New Roman" w:hAnsi="Times New Roman"/>
          <w:sz w:val="24"/>
        </w:rPr>
        <w:t>• AMD3. Saya bersedia menyarankan teman untuk mencoba merek</w:t>
      </w:r>
    </w:p>
    <w:p>
      <w:r>
        <w:rPr>
          <w:rFonts w:ascii="Times New Roman" w:hAnsi="Times New Roman"/>
          <w:sz w:val="24"/>
        </w:rPr>
        <w:t>acuan saya. Berbagi konten</w:t>
      </w:r>
    </w:p>
    <w:p>
      <w:pPr>
        <w:pStyle w:val="ListBullet"/>
        <w:spacing w:after="40" w:line="360" w:lineRule="auto"/>
      </w:pPr>
      <w:r>
        <w:rPr>
          <w:rFonts w:ascii="Times New Roman" w:hAnsi="Times New Roman"/>
          <w:sz w:val="24"/>
        </w:rPr>
        <w:t>• AMD4. Saya bersedia membagikan konten resmi merek acuan</w:t>
      </w:r>
    </w:p>
    <w:p>
      <w:r>
        <w:rPr>
          <w:rFonts w:ascii="Times New Roman" w:hAnsi="Times New Roman"/>
          <w:sz w:val="24"/>
        </w:rPr>
        <w:t>saya ke media sosial pribadi.</w:t>
      </w:r>
    </w:p>
    <w:p>
      <w:pPr>
        <w:pStyle w:val="ListBullet"/>
        <w:spacing w:after="40" w:line="360" w:lineRule="auto"/>
      </w:pPr>
      <w:r>
        <w:rPr>
          <w:rFonts w:ascii="Times New Roman" w:hAnsi="Times New Roman"/>
          <w:sz w:val="24"/>
        </w:rPr>
        <w:t>• AMD5. Saya bersedia menandai teman pada unggahan yang</w:t>
      </w:r>
    </w:p>
    <w:p>
      <w:r>
        <w:rPr>
          <w:rFonts w:ascii="Times New Roman" w:hAnsi="Times New Roman"/>
          <w:sz w:val="24"/>
        </w:rPr>
        <w:t>menarik tentang merek acuan saya.</w:t>
      </w:r>
    </w:p>
    <w:p>
      <w:pPr>
        <w:pStyle w:val="ListBullet"/>
        <w:spacing w:after="40" w:line="360" w:lineRule="auto"/>
      </w:pPr>
      <w:r>
        <w:rPr>
          <w:rFonts w:ascii="Times New Roman" w:hAnsi="Times New Roman"/>
          <w:sz w:val="24"/>
        </w:rPr>
        <w:t>• AMD6. Saya bersedia mengunggah ulang konten kampanye</w:t>
      </w:r>
    </w:p>
    <w:p>
      <w:r>
        <w:rPr>
          <w:rFonts w:ascii="Times New Roman" w:hAnsi="Times New Roman"/>
          <w:sz w:val="24"/>
        </w:rPr>
        <w:t>merek acuan saya. Pembelaan</w:t>
      </w:r>
    </w:p>
    <w:p>
      <w:pPr>
        <w:pStyle w:val="ListBullet"/>
        <w:spacing w:after="40" w:line="360" w:lineRule="auto"/>
      </w:pPr>
      <w:r>
        <w:rPr>
          <w:rFonts w:ascii="Times New Roman" w:hAnsi="Times New Roman"/>
          <w:sz w:val="24"/>
        </w:rPr>
        <w:t>• AMD7. Saya bersedia meluruskan informasi keliru tentang merek</w:t>
      </w:r>
    </w:p>
    <w:p>
      <w:r>
        <w:rPr>
          <w:rFonts w:ascii="Times New Roman" w:hAnsi="Times New Roman"/>
          <w:sz w:val="24"/>
        </w:rPr>
        <w:t>acuan saya.</w:t>
      </w:r>
    </w:p>
    <w:p>
      <w:pPr>
        <w:pStyle w:val="ListBullet"/>
        <w:spacing w:after="40" w:line="360" w:lineRule="auto"/>
      </w:pPr>
      <w:r>
        <w:rPr>
          <w:rFonts w:ascii="Times New Roman" w:hAnsi="Times New Roman"/>
          <w:sz w:val="24"/>
        </w:rPr>
        <w:t>• AMD8. Saya bersedia membela merek acuan saya ketika merek</w:t>
      </w:r>
    </w:p>
    <w:p>
      <w:r>
        <w:rPr>
          <w:rFonts w:ascii="Times New Roman" w:hAnsi="Times New Roman"/>
          <w:sz w:val="24"/>
        </w:rPr>
        <w:t>tersebut dikritik secara tidak adil.</w:t>
      </w:r>
    </w:p>
    <w:p>
      <w:pPr>
        <w:pStyle w:val="ListBullet"/>
        <w:spacing w:after="40" w:line="360" w:lineRule="auto"/>
      </w:pPr>
      <w:r>
        <w:rPr>
          <w:rFonts w:ascii="Times New Roman" w:hAnsi="Times New Roman"/>
          <w:sz w:val="24"/>
        </w:rPr>
        <w:t>• AMD9. Saya bersedia memberikan penjelasan berdasarkan</w:t>
      </w:r>
    </w:p>
    <w:p>
      <w:r>
        <w:rPr>
          <w:rFonts w:ascii="Times New Roman" w:hAnsi="Times New Roman"/>
          <w:sz w:val="24"/>
        </w:rPr>
        <w:t>pengalaman atau informasi yang dapat saya pertanggungjawabkan ketika merek acuan saya dikritik. Butir global tambahan untuk uji redundansi (tidak termasuk dalam skor utama): KI-G: Secara keseluruhan, influencer acuan saya merupakan sumber yang kredibel. HP-G: Secara keseluruhan, saya merasakan hubungan parasosial dengan influencer acuan saya. AM-G: Secara keseluruhan, merek acuan saya terasa autentik. AMD-G: Secara keseluruhan, saya bersedia mendukung merek acuan saya secara digital.</w:t>
      </w:r>
    </w:p>
    <w:p>
      <w:pPr>
        <w:pStyle w:val="Heading3"/>
      </w:pPr>
      <w:r>
        <w:rPr>
          <w:rFonts w:ascii="Times New Roman" w:hAnsi="Times New Roman"/>
          <w:sz w:val="24"/>
        </w:rPr>
        <w:t>G. Informasi tambahan tentang merek dan paparan</w:t>
      </w:r>
    </w:p>
    <w:p>
      <w:pPr>
        <w:pStyle w:val="ListBullet"/>
        <w:spacing w:after="40" w:line="360" w:lineRule="auto"/>
      </w:pPr>
      <w:r>
        <w:rPr>
          <w:rFonts w:ascii="Times New Roman" w:hAnsi="Times New Roman"/>
          <w:sz w:val="24"/>
        </w:rPr>
        <w:t>• Apakah Saudara pernah menggunakan produk atau layanan merek</w:t>
      </w:r>
    </w:p>
    <w:p>
      <w:r>
        <w:rPr>
          <w:rFonts w:ascii="Times New Roman" w:hAnsi="Times New Roman"/>
          <w:sz w:val="24"/>
        </w:rPr>
        <w:t>acuan? [Pernah/Tidak pernah/Tidak ingat]. Jawaban ini tidak menentukan kelayakan responden.</w:t>
      </w:r>
    </w:p>
    <w:p>
      <w:pPr>
        <w:pStyle w:val="ListBullet"/>
        <w:spacing w:after="40" w:line="360" w:lineRule="auto"/>
      </w:pPr>
      <w:r>
        <w:rPr>
          <w:rFonts w:ascii="Times New Roman" w:hAnsi="Times New Roman"/>
          <w:sz w:val="24"/>
        </w:rPr>
        <w:t>• Seberapa mengenal Saudara merek acuan? [Sangat tidak</w:t>
      </w:r>
    </w:p>
    <w:p>
      <w:r>
        <w:rPr>
          <w:rFonts w:ascii="Times New Roman" w:hAnsi="Times New Roman"/>
          <w:sz w:val="24"/>
        </w:rPr>
        <w:t>mengenal/Tidak mengenal/Cukup mengenal/Mengenal/Sangat mengenal].</w:t>
      </w:r>
    </w:p>
    <w:p>
      <w:pPr>
        <w:pStyle w:val="ListBullet"/>
        <w:spacing w:after="40" w:line="360" w:lineRule="auto"/>
      </w:pPr>
      <w:r>
        <w:rPr>
          <w:rFonts w:ascii="Times New Roman" w:hAnsi="Times New Roman"/>
          <w:sz w:val="24"/>
        </w:rPr>
        <w:t>• Apakah Saudara pernah melihat keterangan bahwa promosi</w:t>
      </w:r>
    </w:p>
    <w:p>
      <w:r>
        <w:rPr>
          <w:rFonts w:ascii="Times New Roman" w:hAnsi="Times New Roman"/>
          <w:sz w:val="24"/>
        </w:rPr>
        <w:t>influencer tersebut merupakan kerja sama berbayar? [Pernah/Tidak pernah/Tidak ingat]. Jawaban tersebut digunakan untuk menjelaskan karakteristik responden dan konteks penilaian. Ketiganya tidak menjadi bagian dari skor empat konstruk utama.</w:t>
      </w:r>
    </w:p>
    <w:p>
      <w:pPr>
        <w:pStyle w:val="Heading3"/>
      </w:pPr>
      <w:r>
        <w:rPr>
          <w:rFonts w:ascii="Times New Roman" w:hAnsi="Times New Roman"/>
          <w:sz w:val="24"/>
        </w:rPr>
        <w:t>H. Data demografis</w:t>
      </w:r>
    </w:p>
    <w:p>
      <w:r>
        <w:rPr>
          <w:rFonts w:ascii="Times New Roman" w:hAnsi="Times New Roman"/>
          <w:sz w:val="24"/>
        </w:rPr>
        <w:t>Data yang dikumpulkan mencakup jenis kelamin dengan pilihan “memilih tidak menjawab”, pendidikan, status pekerjaan, kabupaten/kota domisili, platform utama, dan frekuensi penggunaan media sosial. Usia telah ditanyakan pada bagian penyaringan. Pertanyaan yang tidak berkaitan langsung dengan tujuan penelitian tidak dimasukkan.</w:t>
      </w:r>
    </w:p>
    <w:p>
      <w:pPr>
        <w:pStyle w:val="Heading3"/>
      </w:pPr>
      <w:r>
        <w:rPr>
          <w:rFonts w:ascii="Times New Roman" w:hAnsi="Times New Roman"/>
          <w:sz w:val="24"/>
        </w:rPr>
        <w:t>I. Pemeriksaan perhatian</w:t>
      </w:r>
    </w:p>
    <w:p>
      <w:r>
        <w:rPr>
          <w:rFonts w:ascii="Times New Roman" w:hAnsi="Times New Roman"/>
          <w:sz w:val="24"/>
        </w:rPr>
        <w:t>Dua butir pemeriksaan ditempatkan pada bagian yang berbeda dan urutannya dikunci sebelum pengumpulan data. Butir yang direncanakan: (1) “Untuk pernyataan ini, silakan pilih angka 2.” (2) “Sebagai pemeriksaan perhatian, pilih ‘Tidak Setuju’ pada pernyataan ini.” Kegagalan satu pemeriksaan tidak otomatis menjadi dasar penghapusan. Aturan untuk kegagalan satu atau dua pemeriksaan, durasi ekstrem, dan pola jawaban identik ditetapkan setelah pilot dan sebelum survei utama.</w:t>
      </w:r>
    </w:p>
    <w:p>
      <w:pPr>
        <w:pStyle w:val="Heading2"/>
      </w:pPr>
      <w:r>
        <w:rPr>
          <w:rFonts w:ascii="Times New Roman" w:hAnsi="Times New Roman"/>
          <w:sz w:val="24"/>
        </w:rPr>
        <w:t>Lampiran 2. Rencana Analisis dan Pemeriksaan Kualitas Data</w:t>
      </w:r>
    </w:p>
    <w:p>
      <w:r>
        <w:rPr>
          <w:rFonts w:ascii="Times New Roman" w:hAnsi="Times New Roman"/>
          <w:sz w:val="24"/>
        </w:rPr>
        <w:t>Sebelum survei utama</w:t>
      </w:r>
    </w:p>
    <w:p>
      <w:pPr>
        <w:pStyle w:val="ListNumber"/>
        <w:spacing w:after="40" w:line="360" w:lineRule="auto"/>
      </w:pPr>
      <w:r>
        <w:rPr>
          <w:rFonts w:ascii="Times New Roman" w:hAnsi="Times New Roman"/>
          <w:sz w:val="24"/>
        </w:rPr>
        <w:t>Tetapkan definisi konstruk, dimensi, dan sumber setiap butir.</w:t>
      </w:r>
    </w:p>
    <w:p>
      <w:pPr>
        <w:pStyle w:val="ListNumber"/>
        <w:spacing w:after="40" w:line="360" w:lineRule="auto"/>
      </w:pPr>
      <w:r>
        <w:rPr>
          <w:rFonts w:ascii="Times New Roman" w:hAnsi="Times New Roman"/>
          <w:sz w:val="24"/>
        </w:rPr>
        <w:t>Simpan versi kuesioner setelah terjemahan, penilaian ahli,</w:t>
      </w:r>
    </w:p>
    <w:p>
      <w:r>
        <w:rPr>
          <w:rFonts w:ascii="Times New Roman" w:hAnsi="Times New Roman"/>
          <w:sz w:val="24"/>
        </w:rPr>
        <w:t>wawancara kognitif, dan uji coba.</w:t>
      </w:r>
    </w:p>
    <w:p>
      <w:pPr>
        <w:pStyle w:val="ListNumber"/>
        <w:spacing w:after="40" w:line="360" w:lineRule="auto"/>
      </w:pPr>
      <w:r>
        <w:rPr>
          <w:rFonts w:ascii="Times New Roman" w:hAnsi="Times New Roman"/>
          <w:sz w:val="24"/>
        </w:rPr>
        <w:t>Tetapkan lima hipotesis, kriteria responden, ukuran sampel, serta</w:t>
      </w:r>
    </w:p>
    <w:p>
      <w:r>
        <w:rPr>
          <w:rFonts w:ascii="Times New Roman" w:hAnsi="Times New Roman"/>
          <w:sz w:val="24"/>
        </w:rPr>
        <w:t>aturan pemeriksaan data.</w:t>
      </w:r>
    </w:p>
    <w:p>
      <w:pPr>
        <w:pStyle w:val="ListNumber"/>
        <w:spacing w:after="40" w:line="360" w:lineRule="auto"/>
      </w:pPr>
      <w:r>
        <w:rPr>
          <w:rFonts w:ascii="Times New Roman" w:hAnsi="Times New Roman"/>
          <w:sz w:val="24"/>
        </w:rPr>
        <w:t>Catat cara mengevaluasi kualitas pengukuran dan menguji efek</w:t>
      </w:r>
    </w:p>
    <w:p>
      <w:r>
        <w:rPr>
          <w:rFonts w:ascii="Times New Roman" w:hAnsi="Times New Roman"/>
          <w:sz w:val="24"/>
        </w:rPr>
        <w:t>langsung maupun tidak langsung.</w:t>
      </w:r>
    </w:p>
    <w:p>
      <w:pPr>
        <w:pStyle w:val="ListNumber"/>
        <w:spacing w:after="40" w:line="360" w:lineRule="auto"/>
      </w:pPr>
      <w:r>
        <w:rPr>
          <w:rFonts w:ascii="Times New Roman" w:hAnsi="Times New Roman"/>
          <w:sz w:val="24"/>
        </w:rPr>
        <w:t>Lengkapi persetujuan etik, lembar informasi, prosedur</w:t>
      </w:r>
    </w:p>
    <w:p>
      <w:r>
        <w:rPr>
          <w:rFonts w:ascii="Times New Roman" w:hAnsi="Times New Roman"/>
          <w:sz w:val="24"/>
        </w:rPr>
        <w:t>perlindungan data, dan jadwal penelitian. Saat analisis dan pelaporan</w:t>
      </w:r>
    </w:p>
    <w:p>
      <w:pPr>
        <w:pStyle w:val="ListBullet"/>
        <w:spacing w:after="40" w:line="360" w:lineRule="auto"/>
      </w:pPr>
      <w:r>
        <w:rPr>
          <w:rFonts w:ascii="Times New Roman" w:hAnsi="Times New Roman"/>
          <w:sz w:val="24"/>
        </w:rPr>
        <w:t>• Laporkan jumlah respons masuk, penyaringan, pengeluaran, dan</w:t>
      </w:r>
    </w:p>
    <w:p>
      <w:r>
        <w:rPr>
          <w:rFonts w:ascii="Times New Roman" w:hAnsi="Times New Roman"/>
          <w:sz w:val="24"/>
        </w:rPr>
        <w:t>sampel analitis.</w:t>
      </w:r>
    </w:p>
    <w:p>
      <w:pPr>
        <w:pStyle w:val="ListBullet"/>
        <w:spacing w:after="40" w:line="360" w:lineRule="auto"/>
      </w:pPr>
      <w:r>
        <w:rPr>
          <w:rFonts w:ascii="Times New Roman" w:hAnsi="Times New Roman"/>
          <w:sz w:val="24"/>
        </w:rPr>
        <w:t>• Sajikan hasil evaluasi pengukuran dan hubungan struktural yang</w:t>
      </w:r>
    </w:p>
    <w:p>
      <w:r>
        <w:rPr>
          <w:rFonts w:ascii="Times New Roman" w:hAnsi="Times New Roman"/>
          <w:sz w:val="24"/>
        </w:rPr>
        <w:t>relevan.</w:t>
      </w:r>
    </w:p>
    <w:p>
      <w:pPr>
        <w:pStyle w:val="ListBullet"/>
        <w:spacing w:after="40" w:line="360" w:lineRule="auto"/>
      </w:pPr>
      <w:r>
        <w:rPr>
          <w:rFonts w:ascii="Times New Roman" w:hAnsi="Times New Roman"/>
          <w:sz w:val="24"/>
        </w:rPr>
        <w:t>• Laporkan koefisien, interval kepercayaan, serta hasil hipotesis</w:t>
      </w:r>
    </w:p>
    <w:p>
      <w:r>
        <w:rPr>
          <w:rFonts w:ascii="Times New Roman" w:hAnsi="Times New Roman"/>
          <w:sz w:val="24"/>
        </w:rPr>
        <w:t>yang didukung maupun tidak didukung.</w:t>
      </w:r>
    </w:p>
    <w:p>
      <w:pPr>
        <w:pStyle w:val="ListBullet"/>
        <w:spacing w:after="40" w:line="360" w:lineRule="auto"/>
      </w:pPr>
      <w:r>
        <w:rPr>
          <w:rFonts w:ascii="Times New Roman" w:hAnsi="Times New Roman"/>
          <w:sz w:val="24"/>
        </w:rPr>
        <w:t>• Jelaskan setiap perubahan dari rencana awal dan bedakan hasil</w:t>
      </w:r>
    </w:p>
    <w:p>
      <w:r>
        <w:rPr>
          <w:rFonts w:ascii="Times New Roman" w:hAnsi="Times New Roman"/>
          <w:sz w:val="24"/>
        </w:rPr>
        <w:t>pengujian utama dari keterangan deskriptif.</w:t>
      </w:r>
    </w:p>
    <w:p>
      <w:pPr>
        <w:pStyle w:val="ListBullet"/>
        <w:spacing w:after="40" w:line="360" w:lineRule="auto"/>
      </w:pPr>
      <w:r>
        <w:rPr>
          <w:rFonts w:ascii="Times New Roman" w:hAnsi="Times New Roman"/>
          <w:sz w:val="24"/>
        </w:rPr>
        <w:t>• Bedakan validitas pengukuran, signifikansi statistik, dan arti</w:t>
      </w:r>
    </w:p>
    <w:p>
      <w:r>
        <w:rPr>
          <w:rFonts w:ascii="Times New Roman" w:hAnsi="Times New Roman"/>
          <w:sz w:val="24"/>
        </w:rPr>
        <w:t>substantif hasil.</w:t>
      </w:r>
    </w:p>
    <w:p>
      <w:pPr>
        <w:pStyle w:val="Heading2"/>
      </w:pPr>
      <w:r>
        <w:rPr>
          <w:rFonts w:ascii="Times New Roman" w:hAnsi="Times New Roman"/>
          <w:sz w:val="24"/>
        </w:rPr>
        <w:t>Lampiran 3. Protokol Penelusuran Literatur</w:t>
      </w:r>
    </w:p>
    <w:p>
      <w:r>
        <w:rPr>
          <w:rFonts w:ascii="Times New Roman" w:hAnsi="Times New Roman"/>
          <w:sz w:val="24"/>
        </w:rPr>
        <w:t>Penelusuran terarah direncanakan pada Scopus dan Web of Science, dengan Google Scholar serta Garuda sebagai penelusuran pelengkap. Artikel empiris utama dibatasi pada 2015–2026; karya teoretis dan pengembangan skala dasar tidak dibatasi tahun. Kueri berbahasa Inggris dan Indonesia dijalankan terpisah, antara lain: ("social media influencer" OR influencer</w:t>
      </w:r>
      <w:r>
        <w:rPr>
          <w:rFonts w:ascii="Times New Roman" w:hAnsi="Times New Roman"/>
          <w:i/>
          <w:sz w:val="24"/>
        </w:rPr>
        <w:t>) AND (credibility OR trustworthiness OR expertise); ("parasocial relationship" OR "parasocial interaction") AND influencer</w:t>
      </w:r>
      <w:r>
        <w:rPr>
          <w:rFonts w:ascii="Times New Roman" w:hAnsi="Times New Roman"/>
          <w:sz w:val="24"/>
        </w:rPr>
        <w:t>; ("brand authenticity" OR "perceived authenticity") AND influencer*; ("online brand advocacy" OR "brand advocacy") AND (digital OR online); serta kombinasi kredibilitas influencer, parasosial, autentisitas, dan advokasi. Penelusuran konteks memakai tambahan istilah "Indonesia", "Sulawesi Utara", "North Sulawesi", dan "Generation Z". Tanggal, basis data, kueri final, rentang, dan jumlah hasil akan dicatat pada pelaksanaan penelusuran. Untuk KI dan HP, kueri harus secara khusus mencakup pasangan istilah (influencer credibility OR source credibility) AND (parasocial relationship OR parasocial interaction), istilah pengukuran (scale OR measure OR instrument), serta pencarian nama sumber kunci Ohanian, Yuan and Lou, Sokolova and Kefi, Horton and Wohl, Hartmann and Goldhoorn, dan Dibble et al. Hasil pencarian dipilah antara bukti pembentukan PSR, PSI saat paparan, dan luaran persuasi agar ketiganya tidak dipertukarkan. Kriteria inklusi ialah artikel empiris atau tinjauan sejawat yang membahas sekurang-kurangnya satu konstruk/jalur model, serta karya teoretis dasar yang menjelaskan mekanisme atau ukuran. Bahasa pencarian ialah Inggris dan Indonesia. Opini nonilmiah, duplikasi, serta dokumen yang tidak relevan dengan konstruk dikeluarkan dengan alasan tercatat. Judul/abstrak disaring sebelum teks penuh; alur jumlah rekaman, duplikasi, eksklusi, dan studi yang dipakai dilaporkan secara transparan. Temuan diklasifikasikan sebagai bukti langsung, bukti berdekatan, atau pijakan konseptual. Klaim tentang kekosongan literatur lokal/model hanya dibuat setelah penelusuran dijalankan dan hasil penyaringan dilaporkan.</w:t>
      </w:r>
    </w:p>
    <w:p>
      <w:pPr>
        <w:pStyle w:val="Heading2"/>
      </w:pPr>
      <w:r>
        <w:rPr>
          <w:rFonts w:ascii="Times New Roman" w:hAnsi="Times New Roman"/>
          <w:sz w:val="24"/>
        </w:rPr>
        <w:t>Lampiran 4. Rencana Biaya Penelitian</w:t>
      </w:r>
    </w:p>
    <w:p>
      <w:r>
        <w:rPr>
          <w:rFonts w:ascii="Times New Roman" w:hAnsi="Times New Roman"/>
          <w:sz w:val="24"/>
        </w:rPr>
        <w:t xml:space="preserve">Rencana berikut merupakan estimasi awal dan harus disesuaikan dengan ketentuan program studi, izin etik, serta dukungan yang tersedia. </w:t>
      </w:r>
      <w:r>
        <w:rPr>
          <w:rFonts w:ascii="Times New Roman" w:hAnsi="Times New Roman"/>
          <w:b/>
          <w:sz w:val="24"/>
        </w:rPr>
        <w:t>Tabel 14. Rencana biaya penelitian</w:t>
      </w:r>
    </w:p>
    <w:tbl>
      <w:tblPr>
        <w:tblStyle w:val="TableGrid"/>
        <w:tblW w:type="auto" w:w="0"/>
        <w:tblLayout w:type="autofit"/>
        <w:tblLook w:firstColumn="1" w:firstRow="1" w:lastColumn="0" w:lastRow="0" w:noHBand="0" w:noVBand="1" w:val="04A0"/>
      </w:tblPr>
      <w:tblGrid>
        <w:gridCol w:w="1984"/>
        <w:gridCol w:w="1984"/>
        <w:gridCol w:w="1984"/>
        <w:gridCol w:w="1984"/>
      </w:tblGrid>
      <w:tr>
        <w:tc>
          <w:tcPr>
            <w:tcW w:type="dxa" w:w="1984"/>
          </w:tcPr>
          <w:p>
            <w:pPr>
              <w:spacing w:after="40" w:line="240" w:lineRule="auto"/>
            </w:pPr>
            <w:r>
              <w:rPr>
                <w:rFonts w:ascii="Times New Roman" w:hAnsi="Times New Roman"/>
                <w:b/>
                <w:sz w:val="24"/>
              </w:rPr>
              <w:t>No.</w:t>
            </w:r>
          </w:p>
        </w:tc>
        <w:tc>
          <w:tcPr>
            <w:tcW w:type="dxa" w:w="1984"/>
          </w:tcPr>
          <w:p>
            <w:pPr>
              <w:spacing w:after="40" w:line="240" w:lineRule="auto"/>
            </w:pPr>
            <w:r>
              <w:rPr>
                <w:rFonts w:ascii="Times New Roman" w:hAnsi="Times New Roman"/>
                <w:b/>
                <w:sz w:val="24"/>
              </w:rPr>
              <w:t>Komponen</w:t>
            </w:r>
          </w:p>
        </w:tc>
        <w:tc>
          <w:tcPr>
            <w:tcW w:type="dxa" w:w="1984"/>
          </w:tcPr>
          <w:p>
            <w:pPr>
              <w:spacing w:after="40" w:line="240" w:lineRule="auto"/>
            </w:pPr>
            <w:r>
              <w:rPr>
                <w:rFonts w:ascii="Times New Roman" w:hAnsi="Times New Roman"/>
                <w:b/>
                <w:sz w:val="24"/>
              </w:rPr>
              <w:t>Penjelasan penggunaan</w:t>
            </w:r>
          </w:p>
        </w:tc>
        <w:tc>
          <w:tcPr>
            <w:tcW w:type="dxa" w:w="1984"/>
          </w:tcPr>
          <w:p>
            <w:pPr>
              <w:spacing w:after="40" w:line="240" w:lineRule="auto"/>
            </w:pPr>
            <w:r>
              <w:rPr>
                <w:rFonts w:ascii="Times New Roman" w:hAnsi="Times New Roman"/>
                <w:b/>
                <w:sz w:val="24"/>
              </w:rPr>
              <w:t>Estimasi (Rp)</w:t>
            </w:r>
          </w:p>
        </w:tc>
      </w:tr>
      <w:tr>
        <w:tc>
          <w:tcPr>
            <w:tcW w:type="dxa" w:w="1984"/>
          </w:tcPr>
          <w:p>
            <w:pPr>
              <w:spacing w:after="40" w:line="240" w:lineRule="auto"/>
            </w:pPr>
            <w:r>
              <w:rPr>
                <w:rFonts w:ascii="Times New Roman" w:hAnsi="Times New Roman"/>
                <w:sz w:val="24"/>
              </w:rPr>
              <w:t>1</w:t>
            </w:r>
          </w:p>
        </w:tc>
        <w:tc>
          <w:tcPr>
            <w:tcW w:type="dxa" w:w="1984"/>
          </w:tcPr>
          <w:p>
            <w:pPr>
              <w:spacing w:after="40" w:line="240" w:lineRule="auto"/>
            </w:pPr>
            <w:r>
              <w:rPr>
                <w:rFonts w:ascii="Times New Roman" w:hAnsi="Times New Roman"/>
                <w:sz w:val="24"/>
              </w:rPr>
              <w:t>Persiapan dan pengembangan instrumen</w:t>
            </w:r>
          </w:p>
        </w:tc>
        <w:tc>
          <w:tcPr>
            <w:tcW w:type="dxa" w:w="1984"/>
          </w:tcPr>
          <w:p>
            <w:pPr>
              <w:spacing w:after="40" w:line="240" w:lineRule="auto"/>
            </w:pPr>
            <w:r>
              <w:rPr>
                <w:rFonts w:ascii="Times New Roman" w:hAnsi="Times New Roman"/>
                <w:sz w:val="24"/>
              </w:rPr>
              <w:t>Penyusunan kuesioner, penilaian ahli, wawancara kognitif, uji coba, dan bahan penelitian</w:t>
            </w:r>
          </w:p>
        </w:tc>
        <w:tc>
          <w:tcPr>
            <w:tcW w:type="dxa" w:w="1984"/>
          </w:tcPr>
          <w:p>
            <w:pPr>
              <w:spacing w:after="40" w:line="240" w:lineRule="auto"/>
            </w:pPr>
            <w:r>
              <w:rPr>
                <w:rFonts w:ascii="Times New Roman" w:hAnsi="Times New Roman"/>
                <w:sz w:val="24"/>
              </w:rPr>
              <w:t>3.000.000</w:t>
            </w:r>
          </w:p>
        </w:tc>
      </w:tr>
      <w:tr>
        <w:tc>
          <w:tcPr>
            <w:tcW w:type="dxa" w:w="1984"/>
          </w:tcPr>
          <w:p>
            <w:pPr>
              <w:spacing w:after="40" w:line="240" w:lineRule="auto"/>
            </w:pPr>
            <w:r>
              <w:rPr>
                <w:rFonts w:ascii="Times New Roman" w:hAnsi="Times New Roman"/>
                <w:sz w:val="24"/>
              </w:rPr>
              <w:t>2</w:t>
            </w:r>
          </w:p>
        </w:tc>
        <w:tc>
          <w:tcPr>
            <w:tcW w:type="dxa" w:w="1984"/>
          </w:tcPr>
          <w:p>
            <w:pPr>
              <w:spacing w:after="40" w:line="240" w:lineRule="auto"/>
            </w:pPr>
            <w:r>
              <w:rPr>
                <w:rFonts w:ascii="Times New Roman" w:hAnsi="Times New Roman"/>
                <w:sz w:val="24"/>
              </w:rPr>
              <w:t>Pengumpulan data lapangan</w:t>
            </w:r>
          </w:p>
        </w:tc>
        <w:tc>
          <w:tcPr>
            <w:tcW w:type="dxa" w:w="1984"/>
          </w:tcPr>
          <w:p>
            <w:pPr>
              <w:spacing w:after="40" w:line="240" w:lineRule="auto"/>
            </w:pPr>
            <w:r>
              <w:rPr>
                <w:rFonts w:ascii="Times New Roman" w:hAnsi="Times New Roman"/>
                <w:sz w:val="24"/>
              </w:rPr>
              <w:t>Kuota internet, operasional survei daring, dan apresiasi partisipan apabila disetujui etik</w:t>
            </w:r>
          </w:p>
        </w:tc>
        <w:tc>
          <w:tcPr>
            <w:tcW w:type="dxa" w:w="1984"/>
          </w:tcPr>
          <w:p>
            <w:pPr>
              <w:spacing w:after="40" w:line="240" w:lineRule="auto"/>
            </w:pPr>
            <w:r>
              <w:rPr>
                <w:rFonts w:ascii="Times New Roman" w:hAnsi="Times New Roman"/>
                <w:sz w:val="24"/>
              </w:rPr>
              <w:t>5.000.000</w:t>
            </w:r>
          </w:p>
        </w:tc>
      </w:tr>
      <w:tr>
        <w:tc>
          <w:tcPr>
            <w:tcW w:type="dxa" w:w="1984"/>
          </w:tcPr>
          <w:p>
            <w:pPr>
              <w:spacing w:after="40" w:line="240" w:lineRule="auto"/>
            </w:pPr>
            <w:r>
              <w:rPr>
                <w:rFonts w:ascii="Times New Roman" w:hAnsi="Times New Roman"/>
                <w:sz w:val="24"/>
              </w:rPr>
              <w:t>3</w:t>
            </w:r>
          </w:p>
        </w:tc>
        <w:tc>
          <w:tcPr>
            <w:tcW w:type="dxa" w:w="1984"/>
          </w:tcPr>
          <w:p>
            <w:pPr>
              <w:spacing w:after="40" w:line="240" w:lineRule="auto"/>
            </w:pPr>
            <w:r>
              <w:rPr>
                <w:rFonts w:ascii="Times New Roman" w:hAnsi="Times New Roman"/>
                <w:sz w:val="24"/>
              </w:rPr>
              <w:t>Pengolahan dan analisis data</w:t>
            </w:r>
          </w:p>
        </w:tc>
        <w:tc>
          <w:tcPr>
            <w:tcW w:type="dxa" w:w="1984"/>
          </w:tcPr>
          <w:p>
            <w:pPr>
              <w:spacing w:after="40" w:line="240" w:lineRule="auto"/>
            </w:pPr>
            <w:r>
              <w:rPr>
                <w:rFonts w:ascii="Times New Roman" w:hAnsi="Times New Roman"/>
                <w:sz w:val="24"/>
              </w:rPr>
              <w:t>Perangkat lunak atau dukungan analisis SEM-PLS</w:t>
            </w:r>
          </w:p>
        </w:tc>
        <w:tc>
          <w:tcPr>
            <w:tcW w:type="dxa" w:w="1984"/>
          </w:tcPr>
          <w:p>
            <w:pPr>
              <w:spacing w:after="40" w:line="240" w:lineRule="auto"/>
            </w:pPr>
            <w:r>
              <w:rPr>
                <w:rFonts w:ascii="Times New Roman" w:hAnsi="Times New Roman"/>
                <w:sz w:val="24"/>
              </w:rPr>
              <w:t>2.500.000</w:t>
            </w:r>
          </w:p>
        </w:tc>
      </w:tr>
      <w:tr>
        <w:tc>
          <w:tcPr>
            <w:tcW w:type="dxa" w:w="1984"/>
          </w:tcPr>
          <w:p>
            <w:pPr>
              <w:spacing w:after="40" w:line="240" w:lineRule="auto"/>
            </w:pPr>
            <w:r>
              <w:rPr>
                <w:rFonts w:ascii="Times New Roman" w:hAnsi="Times New Roman"/>
                <w:sz w:val="24"/>
              </w:rPr>
              <w:t>4</w:t>
            </w:r>
          </w:p>
        </w:tc>
        <w:tc>
          <w:tcPr>
            <w:tcW w:type="dxa" w:w="1984"/>
          </w:tcPr>
          <w:p>
            <w:pPr>
              <w:spacing w:after="40" w:line="240" w:lineRule="auto"/>
            </w:pPr>
            <w:r>
              <w:rPr>
                <w:rFonts w:ascii="Times New Roman" w:hAnsi="Times New Roman"/>
                <w:sz w:val="24"/>
              </w:rPr>
              <w:t>Pelaporan dan seminar</w:t>
            </w:r>
          </w:p>
        </w:tc>
        <w:tc>
          <w:tcPr>
            <w:tcW w:type="dxa" w:w="1984"/>
          </w:tcPr>
          <w:p>
            <w:pPr>
              <w:spacing w:after="40" w:line="240" w:lineRule="auto"/>
            </w:pPr>
            <w:r>
              <w:rPr>
                <w:rFonts w:ascii="Times New Roman" w:hAnsi="Times New Roman"/>
                <w:sz w:val="24"/>
              </w:rPr>
              <w:t>Penyusunan laporan, penggandaan, dan administrasi seminar</w:t>
            </w:r>
          </w:p>
        </w:tc>
        <w:tc>
          <w:tcPr>
            <w:tcW w:type="dxa" w:w="1984"/>
          </w:tcPr>
          <w:p>
            <w:pPr>
              <w:spacing w:after="40" w:line="240" w:lineRule="auto"/>
            </w:pPr>
            <w:r>
              <w:rPr>
                <w:rFonts w:ascii="Times New Roman" w:hAnsi="Times New Roman"/>
                <w:sz w:val="24"/>
              </w:rPr>
              <w:t>3.500.000</w:t>
            </w:r>
          </w:p>
        </w:tc>
      </w:tr>
      <w:tr>
        <w:tc>
          <w:tcPr>
            <w:tcW w:type="dxa" w:w="1984"/>
          </w:tcPr>
          <w:p>
            <w:pPr>
              <w:spacing w:after="40" w:line="240" w:lineRule="auto"/>
            </w:pPr>
          </w:p>
        </w:tc>
        <w:tc>
          <w:tcPr>
            <w:tcW w:type="dxa" w:w="1984"/>
          </w:tcPr>
          <w:p>
            <w:pPr>
              <w:spacing w:after="40" w:line="240" w:lineRule="auto"/>
            </w:pPr>
            <w:r>
              <w:rPr>
                <w:rFonts w:ascii="Times New Roman" w:hAnsi="Times New Roman"/>
                <w:sz w:val="24"/>
              </w:rPr>
              <w:t>Jumlah</w:t>
            </w:r>
          </w:p>
        </w:tc>
        <w:tc>
          <w:tcPr>
            <w:tcW w:type="dxa" w:w="1984"/>
          </w:tcPr>
          <w:p>
            <w:pPr>
              <w:spacing w:after="40" w:line="240" w:lineRule="auto"/>
            </w:pPr>
          </w:p>
        </w:tc>
        <w:tc>
          <w:tcPr>
            <w:tcW w:type="dxa" w:w="1984"/>
          </w:tcPr>
          <w:p>
            <w:pPr>
              <w:spacing w:after="40" w:line="240" w:lineRule="auto"/>
            </w:pPr>
            <w:r>
              <w:rPr>
                <w:rFonts w:ascii="Times New Roman" w:hAnsi="Times New Roman"/>
                <w:sz w:val="24"/>
              </w:rPr>
              <w:t>14.000.000</w:t>
            </w:r>
          </w:p>
        </w:tc>
      </w:tr>
    </w:tbl>
    <w:p/>
    <w:p>
      <w:pPr>
        <w:pStyle w:val="Heading2"/>
      </w:pPr>
      <w:r>
        <w:rPr>
          <w:rFonts w:ascii="Times New Roman" w:hAnsi="Times New Roman"/>
          <w:sz w:val="24"/>
        </w:rPr>
        <w:t>Lampiran 5. Jadwal Pelaksanaan Penelitian</w:t>
      </w:r>
    </w:p>
    <w:p>
      <w:r>
        <w:rPr>
          <w:rFonts w:ascii="Times New Roman" w:hAnsi="Times New Roman"/>
          <w:b/>
          <w:sz w:val="24"/>
        </w:rPr>
        <w:t>Tabel 15. Jadwal pelaksanaan penelitian</w:t>
      </w:r>
    </w:p>
    <w:tbl>
      <w:tblPr>
        <w:tblStyle w:val="TableGrid"/>
        <w:tblW w:type="auto" w:w="0"/>
        <w:tblLayout w:type="autofit"/>
        <w:tblLook w:firstColumn="1" w:firstRow="1" w:lastColumn="0" w:lastRow="0" w:noHBand="0" w:noVBand="1" w:val="04A0"/>
      </w:tblPr>
      <w:tblGrid>
        <w:gridCol w:w="882"/>
        <w:gridCol w:w="882"/>
        <w:gridCol w:w="882"/>
        <w:gridCol w:w="882"/>
        <w:gridCol w:w="882"/>
        <w:gridCol w:w="882"/>
        <w:gridCol w:w="882"/>
        <w:gridCol w:w="882"/>
        <w:gridCol w:w="882"/>
      </w:tblGrid>
      <w:tr>
        <w:tc>
          <w:tcPr>
            <w:tcW w:type="dxa" w:w="882"/>
          </w:tcPr>
          <w:p>
            <w:pPr>
              <w:spacing w:after="40" w:line="240" w:lineRule="auto"/>
            </w:pPr>
            <w:r>
              <w:rPr>
                <w:rFonts w:ascii="Times New Roman" w:hAnsi="Times New Roman"/>
                <w:b/>
                <w:sz w:val="24"/>
              </w:rPr>
              <w:t>Kegiatan</w:t>
            </w:r>
          </w:p>
        </w:tc>
        <w:tc>
          <w:tcPr>
            <w:tcW w:type="dxa" w:w="882"/>
          </w:tcPr>
          <w:p>
            <w:pPr>
              <w:spacing w:after="40" w:line="240" w:lineRule="auto"/>
            </w:pPr>
            <w:r>
              <w:rPr>
                <w:rFonts w:ascii="Times New Roman" w:hAnsi="Times New Roman"/>
                <w:b/>
                <w:sz w:val="24"/>
              </w:rPr>
              <w:t>B1</w:t>
            </w:r>
          </w:p>
        </w:tc>
        <w:tc>
          <w:tcPr>
            <w:tcW w:type="dxa" w:w="882"/>
          </w:tcPr>
          <w:p>
            <w:pPr>
              <w:spacing w:after="40" w:line="240" w:lineRule="auto"/>
            </w:pPr>
            <w:r>
              <w:rPr>
                <w:rFonts w:ascii="Times New Roman" w:hAnsi="Times New Roman"/>
                <w:b/>
                <w:sz w:val="24"/>
              </w:rPr>
              <w:t>B2</w:t>
            </w:r>
          </w:p>
        </w:tc>
        <w:tc>
          <w:tcPr>
            <w:tcW w:type="dxa" w:w="882"/>
          </w:tcPr>
          <w:p>
            <w:pPr>
              <w:spacing w:after="40" w:line="240" w:lineRule="auto"/>
            </w:pPr>
            <w:r>
              <w:rPr>
                <w:rFonts w:ascii="Times New Roman" w:hAnsi="Times New Roman"/>
                <w:b/>
                <w:sz w:val="24"/>
              </w:rPr>
              <w:t>B3</w:t>
            </w:r>
          </w:p>
        </w:tc>
        <w:tc>
          <w:tcPr>
            <w:tcW w:type="dxa" w:w="882"/>
          </w:tcPr>
          <w:p>
            <w:pPr>
              <w:spacing w:after="40" w:line="240" w:lineRule="auto"/>
            </w:pPr>
            <w:r>
              <w:rPr>
                <w:rFonts w:ascii="Times New Roman" w:hAnsi="Times New Roman"/>
                <w:b/>
                <w:sz w:val="24"/>
              </w:rPr>
              <w:t>B4</w:t>
            </w:r>
          </w:p>
        </w:tc>
        <w:tc>
          <w:tcPr>
            <w:tcW w:type="dxa" w:w="882"/>
          </w:tcPr>
          <w:p>
            <w:pPr>
              <w:spacing w:after="40" w:line="240" w:lineRule="auto"/>
            </w:pPr>
            <w:r>
              <w:rPr>
                <w:rFonts w:ascii="Times New Roman" w:hAnsi="Times New Roman"/>
                <w:b/>
                <w:sz w:val="24"/>
              </w:rPr>
              <w:t>B5</w:t>
            </w:r>
          </w:p>
        </w:tc>
        <w:tc>
          <w:tcPr>
            <w:tcW w:type="dxa" w:w="882"/>
          </w:tcPr>
          <w:p>
            <w:pPr>
              <w:spacing w:after="40" w:line="240" w:lineRule="auto"/>
            </w:pPr>
            <w:r>
              <w:rPr>
                <w:rFonts w:ascii="Times New Roman" w:hAnsi="Times New Roman"/>
                <w:b/>
                <w:sz w:val="24"/>
              </w:rPr>
              <w:t>B6</w:t>
            </w:r>
          </w:p>
        </w:tc>
        <w:tc>
          <w:tcPr>
            <w:tcW w:type="dxa" w:w="882"/>
          </w:tcPr>
          <w:p>
            <w:pPr>
              <w:spacing w:after="40" w:line="240" w:lineRule="auto"/>
            </w:pPr>
            <w:r>
              <w:rPr>
                <w:rFonts w:ascii="Times New Roman" w:hAnsi="Times New Roman"/>
                <w:b/>
                <w:sz w:val="24"/>
              </w:rPr>
              <w:t>B7</w:t>
            </w:r>
          </w:p>
        </w:tc>
        <w:tc>
          <w:tcPr>
            <w:tcW w:type="dxa" w:w="882"/>
          </w:tcPr>
          <w:p>
            <w:pPr>
              <w:spacing w:after="40" w:line="240" w:lineRule="auto"/>
            </w:pPr>
            <w:r>
              <w:rPr>
                <w:rFonts w:ascii="Times New Roman" w:hAnsi="Times New Roman"/>
                <w:b/>
                <w:sz w:val="24"/>
              </w:rPr>
              <w:t>B8</w:t>
            </w:r>
          </w:p>
        </w:tc>
      </w:tr>
      <w:tr>
        <w:tc>
          <w:tcPr>
            <w:tcW w:type="dxa" w:w="882"/>
          </w:tcPr>
          <w:p>
            <w:pPr>
              <w:spacing w:after="40" w:line="240" w:lineRule="auto"/>
            </w:pPr>
            <w:r>
              <w:rPr>
                <w:rFonts w:ascii="Times New Roman" w:hAnsi="Times New Roman"/>
                <w:sz w:val="24"/>
              </w:rPr>
              <w:t>Pemantapan proposal, model, dan telaah literatur</w:t>
            </w:r>
          </w:p>
        </w:tc>
        <w:tc>
          <w:tcPr>
            <w:tcW w:type="dxa" w:w="882"/>
          </w:tcPr>
          <w:p>
            <w:pPr>
              <w:spacing w:after="40" w:line="240" w:lineRule="auto"/>
            </w:pPr>
            <w:r>
              <w:rPr>
                <w:rFonts w:ascii="Times New Roman" w:hAnsi="Times New Roman"/>
                <w:sz w:val="24"/>
              </w:rPr>
              <w:t>●</w:t>
            </w:r>
          </w:p>
        </w:tc>
        <w:tc>
          <w:tcPr>
            <w:tcW w:type="dxa" w:w="882"/>
          </w:tcPr>
          <w:p>
            <w:pPr>
              <w:spacing w:after="40" w:line="240" w:lineRule="auto"/>
            </w:pPr>
          </w:p>
        </w:tc>
        <w:tc>
          <w:tcPr>
            <w:tcW w:type="dxa" w:w="882"/>
          </w:tcPr>
          <w:p>
            <w:pPr>
              <w:spacing w:after="40" w:line="240" w:lineRule="auto"/>
            </w:pPr>
          </w:p>
        </w:tc>
        <w:tc>
          <w:tcPr>
            <w:tcW w:type="dxa" w:w="882"/>
          </w:tcPr>
          <w:p>
            <w:pPr>
              <w:spacing w:after="40" w:line="240" w:lineRule="auto"/>
            </w:pPr>
          </w:p>
        </w:tc>
        <w:tc>
          <w:tcPr>
            <w:tcW w:type="dxa" w:w="882"/>
          </w:tcPr>
          <w:p>
            <w:pPr>
              <w:spacing w:after="40" w:line="240" w:lineRule="auto"/>
            </w:pPr>
          </w:p>
        </w:tc>
        <w:tc>
          <w:tcPr>
            <w:tcW w:type="dxa" w:w="882"/>
          </w:tcPr>
          <w:p>
            <w:pPr>
              <w:spacing w:after="40" w:line="240" w:lineRule="auto"/>
            </w:pPr>
          </w:p>
        </w:tc>
        <w:tc>
          <w:tcPr>
            <w:tcW w:type="dxa" w:w="882"/>
          </w:tcPr>
          <w:p>
            <w:pPr>
              <w:spacing w:after="40" w:line="240" w:lineRule="auto"/>
            </w:pPr>
          </w:p>
        </w:tc>
        <w:tc>
          <w:tcPr>
            <w:tcW w:type="dxa" w:w="882"/>
          </w:tcPr>
          <w:p>
            <w:pPr>
              <w:spacing w:after="40" w:line="240" w:lineRule="auto"/>
            </w:pPr>
          </w:p>
        </w:tc>
      </w:tr>
      <w:tr>
        <w:tc>
          <w:tcPr>
            <w:tcW w:type="dxa" w:w="882"/>
          </w:tcPr>
          <w:p>
            <w:pPr>
              <w:spacing w:after="40" w:line="240" w:lineRule="auto"/>
            </w:pPr>
            <w:r>
              <w:rPr>
                <w:rFonts w:ascii="Times New Roman" w:hAnsi="Times New Roman"/>
                <w:sz w:val="24"/>
              </w:rPr>
              <w:t>Seminar proposal dan penyelesaian revisi</w:t>
            </w:r>
          </w:p>
        </w:tc>
        <w:tc>
          <w:tcPr>
            <w:tcW w:type="dxa" w:w="882"/>
          </w:tcPr>
          <w:p>
            <w:pPr>
              <w:spacing w:after="40" w:line="240" w:lineRule="auto"/>
            </w:pPr>
            <w:r>
              <w:rPr>
                <w:rFonts w:ascii="Times New Roman" w:hAnsi="Times New Roman"/>
                <w:sz w:val="24"/>
              </w:rPr>
              <w:t>●</w:t>
            </w:r>
          </w:p>
        </w:tc>
        <w:tc>
          <w:tcPr>
            <w:tcW w:type="dxa" w:w="882"/>
          </w:tcPr>
          <w:p>
            <w:pPr>
              <w:spacing w:after="40" w:line="240" w:lineRule="auto"/>
            </w:pPr>
          </w:p>
        </w:tc>
        <w:tc>
          <w:tcPr>
            <w:tcW w:type="dxa" w:w="882"/>
          </w:tcPr>
          <w:p>
            <w:pPr>
              <w:spacing w:after="40" w:line="240" w:lineRule="auto"/>
            </w:pPr>
          </w:p>
        </w:tc>
        <w:tc>
          <w:tcPr>
            <w:tcW w:type="dxa" w:w="882"/>
          </w:tcPr>
          <w:p>
            <w:pPr>
              <w:spacing w:after="40" w:line="240" w:lineRule="auto"/>
            </w:pPr>
          </w:p>
        </w:tc>
        <w:tc>
          <w:tcPr>
            <w:tcW w:type="dxa" w:w="882"/>
          </w:tcPr>
          <w:p>
            <w:pPr>
              <w:spacing w:after="40" w:line="240" w:lineRule="auto"/>
            </w:pPr>
          </w:p>
        </w:tc>
        <w:tc>
          <w:tcPr>
            <w:tcW w:type="dxa" w:w="882"/>
          </w:tcPr>
          <w:p>
            <w:pPr>
              <w:spacing w:after="40" w:line="240" w:lineRule="auto"/>
            </w:pPr>
          </w:p>
        </w:tc>
        <w:tc>
          <w:tcPr>
            <w:tcW w:type="dxa" w:w="882"/>
          </w:tcPr>
          <w:p>
            <w:pPr>
              <w:spacing w:after="40" w:line="240" w:lineRule="auto"/>
            </w:pPr>
          </w:p>
        </w:tc>
        <w:tc>
          <w:tcPr>
            <w:tcW w:type="dxa" w:w="882"/>
          </w:tcPr>
          <w:p>
            <w:pPr>
              <w:spacing w:after="40" w:line="240" w:lineRule="auto"/>
            </w:pPr>
          </w:p>
        </w:tc>
      </w:tr>
      <w:tr>
        <w:tc>
          <w:tcPr>
            <w:tcW w:type="dxa" w:w="882"/>
          </w:tcPr>
          <w:p>
            <w:pPr>
              <w:spacing w:after="40" w:line="240" w:lineRule="auto"/>
            </w:pPr>
            <w:r>
              <w:rPr>
                <w:rFonts w:ascii="Times New Roman" w:hAnsi="Times New Roman"/>
                <w:sz w:val="24"/>
              </w:rPr>
              <w:t>Persetujuan etik dan finalisasi instrumen</w:t>
            </w:r>
          </w:p>
        </w:tc>
        <w:tc>
          <w:tcPr>
            <w:tcW w:type="dxa" w:w="882"/>
          </w:tcPr>
          <w:p>
            <w:pPr>
              <w:spacing w:after="40" w:line="240" w:lineRule="auto"/>
            </w:pPr>
          </w:p>
        </w:tc>
        <w:tc>
          <w:tcPr>
            <w:tcW w:type="dxa" w:w="882"/>
          </w:tcPr>
          <w:p>
            <w:pPr>
              <w:spacing w:after="40" w:line="240" w:lineRule="auto"/>
            </w:pPr>
            <w:r>
              <w:rPr>
                <w:rFonts w:ascii="Times New Roman" w:hAnsi="Times New Roman"/>
                <w:sz w:val="24"/>
              </w:rPr>
              <w:t>●</w:t>
            </w:r>
          </w:p>
        </w:tc>
        <w:tc>
          <w:tcPr>
            <w:tcW w:type="dxa" w:w="882"/>
          </w:tcPr>
          <w:p>
            <w:pPr>
              <w:spacing w:after="40" w:line="240" w:lineRule="auto"/>
            </w:pPr>
          </w:p>
        </w:tc>
        <w:tc>
          <w:tcPr>
            <w:tcW w:type="dxa" w:w="882"/>
          </w:tcPr>
          <w:p>
            <w:pPr>
              <w:spacing w:after="40" w:line="240" w:lineRule="auto"/>
            </w:pPr>
          </w:p>
        </w:tc>
        <w:tc>
          <w:tcPr>
            <w:tcW w:type="dxa" w:w="882"/>
          </w:tcPr>
          <w:p>
            <w:pPr>
              <w:spacing w:after="40" w:line="240" w:lineRule="auto"/>
            </w:pPr>
          </w:p>
        </w:tc>
        <w:tc>
          <w:tcPr>
            <w:tcW w:type="dxa" w:w="882"/>
          </w:tcPr>
          <w:p>
            <w:pPr>
              <w:spacing w:after="40" w:line="240" w:lineRule="auto"/>
            </w:pPr>
          </w:p>
        </w:tc>
        <w:tc>
          <w:tcPr>
            <w:tcW w:type="dxa" w:w="882"/>
          </w:tcPr>
          <w:p>
            <w:pPr>
              <w:spacing w:after="40" w:line="240" w:lineRule="auto"/>
            </w:pPr>
          </w:p>
        </w:tc>
        <w:tc>
          <w:tcPr>
            <w:tcW w:type="dxa" w:w="882"/>
          </w:tcPr>
          <w:p>
            <w:pPr>
              <w:spacing w:after="40" w:line="240" w:lineRule="auto"/>
            </w:pPr>
          </w:p>
        </w:tc>
      </w:tr>
      <w:tr>
        <w:tc>
          <w:tcPr>
            <w:tcW w:type="dxa" w:w="882"/>
          </w:tcPr>
          <w:p>
            <w:pPr>
              <w:spacing w:after="40" w:line="240" w:lineRule="auto"/>
            </w:pPr>
            <w:r>
              <w:rPr>
                <w:rFonts w:ascii="Times New Roman" w:hAnsi="Times New Roman"/>
                <w:sz w:val="24"/>
              </w:rPr>
              <w:t>Penilaian ahli, wawancara kognitif, dan pilot</w:t>
            </w:r>
          </w:p>
        </w:tc>
        <w:tc>
          <w:tcPr>
            <w:tcW w:type="dxa" w:w="882"/>
          </w:tcPr>
          <w:p>
            <w:pPr>
              <w:spacing w:after="40" w:line="240" w:lineRule="auto"/>
            </w:pPr>
          </w:p>
        </w:tc>
        <w:tc>
          <w:tcPr>
            <w:tcW w:type="dxa" w:w="882"/>
          </w:tcPr>
          <w:p>
            <w:pPr>
              <w:spacing w:after="40" w:line="240" w:lineRule="auto"/>
            </w:pPr>
            <w:r>
              <w:rPr>
                <w:rFonts w:ascii="Times New Roman" w:hAnsi="Times New Roman"/>
                <w:sz w:val="24"/>
              </w:rPr>
              <w:t>●</w:t>
            </w:r>
          </w:p>
        </w:tc>
        <w:tc>
          <w:tcPr>
            <w:tcW w:type="dxa" w:w="882"/>
          </w:tcPr>
          <w:p>
            <w:pPr>
              <w:spacing w:after="40" w:line="240" w:lineRule="auto"/>
            </w:pPr>
            <w:r>
              <w:rPr>
                <w:rFonts w:ascii="Times New Roman" w:hAnsi="Times New Roman"/>
                <w:sz w:val="24"/>
              </w:rPr>
              <w:t>●</w:t>
            </w:r>
          </w:p>
        </w:tc>
        <w:tc>
          <w:tcPr>
            <w:tcW w:type="dxa" w:w="882"/>
          </w:tcPr>
          <w:p>
            <w:pPr>
              <w:spacing w:after="40" w:line="240" w:lineRule="auto"/>
            </w:pPr>
          </w:p>
        </w:tc>
        <w:tc>
          <w:tcPr>
            <w:tcW w:type="dxa" w:w="882"/>
          </w:tcPr>
          <w:p>
            <w:pPr>
              <w:spacing w:after="40" w:line="240" w:lineRule="auto"/>
            </w:pPr>
          </w:p>
        </w:tc>
        <w:tc>
          <w:tcPr>
            <w:tcW w:type="dxa" w:w="882"/>
          </w:tcPr>
          <w:p>
            <w:pPr>
              <w:spacing w:after="40" w:line="240" w:lineRule="auto"/>
            </w:pPr>
          </w:p>
        </w:tc>
        <w:tc>
          <w:tcPr>
            <w:tcW w:type="dxa" w:w="882"/>
          </w:tcPr>
          <w:p>
            <w:pPr>
              <w:spacing w:after="40" w:line="240" w:lineRule="auto"/>
            </w:pPr>
          </w:p>
        </w:tc>
        <w:tc>
          <w:tcPr>
            <w:tcW w:type="dxa" w:w="882"/>
          </w:tcPr>
          <w:p>
            <w:pPr>
              <w:spacing w:after="40" w:line="240" w:lineRule="auto"/>
            </w:pPr>
          </w:p>
        </w:tc>
      </w:tr>
      <w:tr>
        <w:tc>
          <w:tcPr>
            <w:tcW w:type="dxa" w:w="882"/>
          </w:tcPr>
          <w:p>
            <w:pPr>
              <w:spacing w:after="40" w:line="240" w:lineRule="auto"/>
            </w:pPr>
            <w:r>
              <w:rPr>
                <w:rFonts w:ascii="Times New Roman" w:hAnsi="Times New Roman"/>
                <w:sz w:val="24"/>
              </w:rPr>
              <w:t>Simulasi daya dan penetapan target sampel</w:t>
            </w:r>
          </w:p>
        </w:tc>
        <w:tc>
          <w:tcPr>
            <w:tcW w:type="dxa" w:w="882"/>
          </w:tcPr>
          <w:p>
            <w:pPr>
              <w:spacing w:after="40" w:line="240" w:lineRule="auto"/>
            </w:pPr>
          </w:p>
        </w:tc>
        <w:tc>
          <w:tcPr>
            <w:tcW w:type="dxa" w:w="882"/>
          </w:tcPr>
          <w:p>
            <w:pPr>
              <w:spacing w:after="40" w:line="240" w:lineRule="auto"/>
            </w:pPr>
          </w:p>
        </w:tc>
        <w:tc>
          <w:tcPr>
            <w:tcW w:type="dxa" w:w="882"/>
          </w:tcPr>
          <w:p>
            <w:pPr>
              <w:spacing w:after="40" w:line="240" w:lineRule="auto"/>
            </w:pPr>
            <w:r>
              <w:rPr>
                <w:rFonts w:ascii="Times New Roman" w:hAnsi="Times New Roman"/>
                <w:sz w:val="24"/>
              </w:rPr>
              <w:t>●</w:t>
            </w:r>
          </w:p>
        </w:tc>
        <w:tc>
          <w:tcPr>
            <w:tcW w:type="dxa" w:w="882"/>
          </w:tcPr>
          <w:p>
            <w:pPr>
              <w:spacing w:after="40" w:line="240" w:lineRule="auto"/>
            </w:pPr>
          </w:p>
        </w:tc>
        <w:tc>
          <w:tcPr>
            <w:tcW w:type="dxa" w:w="882"/>
          </w:tcPr>
          <w:p>
            <w:pPr>
              <w:spacing w:after="40" w:line="240" w:lineRule="auto"/>
            </w:pPr>
          </w:p>
        </w:tc>
        <w:tc>
          <w:tcPr>
            <w:tcW w:type="dxa" w:w="882"/>
          </w:tcPr>
          <w:p>
            <w:pPr>
              <w:spacing w:after="40" w:line="240" w:lineRule="auto"/>
            </w:pPr>
          </w:p>
        </w:tc>
        <w:tc>
          <w:tcPr>
            <w:tcW w:type="dxa" w:w="882"/>
          </w:tcPr>
          <w:p>
            <w:pPr>
              <w:spacing w:after="40" w:line="240" w:lineRule="auto"/>
            </w:pPr>
          </w:p>
        </w:tc>
        <w:tc>
          <w:tcPr>
            <w:tcW w:type="dxa" w:w="882"/>
          </w:tcPr>
          <w:p>
            <w:pPr>
              <w:spacing w:after="40" w:line="240" w:lineRule="auto"/>
            </w:pPr>
          </w:p>
        </w:tc>
      </w:tr>
      <w:tr>
        <w:tc>
          <w:tcPr>
            <w:tcW w:type="dxa" w:w="882"/>
          </w:tcPr>
          <w:p>
            <w:pPr>
              <w:spacing w:after="40" w:line="240" w:lineRule="auto"/>
            </w:pPr>
            <w:r>
              <w:rPr>
                <w:rFonts w:ascii="Times New Roman" w:hAnsi="Times New Roman"/>
                <w:sz w:val="24"/>
              </w:rPr>
              <w:t>Pengumpulan data utama</w:t>
            </w:r>
          </w:p>
        </w:tc>
        <w:tc>
          <w:tcPr>
            <w:tcW w:type="dxa" w:w="882"/>
          </w:tcPr>
          <w:p>
            <w:pPr>
              <w:spacing w:after="40" w:line="240" w:lineRule="auto"/>
            </w:pPr>
          </w:p>
        </w:tc>
        <w:tc>
          <w:tcPr>
            <w:tcW w:type="dxa" w:w="882"/>
          </w:tcPr>
          <w:p>
            <w:pPr>
              <w:spacing w:after="40" w:line="240" w:lineRule="auto"/>
            </w:pPr>
          </w:p>
        </w:tc>
        <w:tc>
          <w:tcPr>
            <w:tcW w:type="dxa" w:w="882"/>
          </w:tcPr>
          <w:p>
            <w:pPr>
              <w:spacing w:after="40" w:line="240" w:lineRule="auto"/>
            </w:pPr>
          </w:p>
        </w:tc>
        <w:tc>
          <w:tcPr>
            <w:tcW w:type="dxa" w:w="882"/>
          </w:tcPr>
          <w:p>
            <w:pPr>
              <w:spacing w:after="40" w:line="240" w:lineRule="auto"/>
            </w:pPr>
            <w:r>
              <w:rPr>
                <w:rFonts w:ascii="Times New Roman" w:hAnsi="Times New Roman"/>
                <w:sz w:val="24"/>
              </w:rPr>
              <w:t>●</w:t>
            </w:r>
          </w:p>
        </w:tc>
        <w:tc>
          <w:tcPr>
            <w:tcW w:type="dxa" w:w="882"/>
          </w:tcPr>
          <w:p>
            <w:pPr>
              <w:spacing w:after="40" w:line="240" w:lineRule="auto"/>
            </w:pPr>
            <w:r>
              <w:rPr>
                <w:rFonts w:ascii="Times New Roman" w:hAnsi="Times New Roman"/>
                <w:sz w:val="24"/>
              </w:rPr>
              <w:t>●</w:t>
            </w:r>
          </w:p>
        </w:tc>
        <w:tc>
          <w:tcPr>
            <w:tcW w:type="dxa" w:w="882"/>
          </w:tcPr>
          <w:p>
            <w:pPr>
              <w:spacing w:after="40" w:line="240" w:lineRule="auto"/>
            </w:pPr>
          </w:p>
        </w:tc>
        <w:tc>
          <w:tcPr>
            <w:tcW w:type="dxa" w:w="882"/>
          </w:tcPr>
          <w:p>
            <w:pPr>
              <w:spacing w:after="40" w:line="240" w:lineRule="auto"/>
            </w:pPr>
          </w:p>
        </w:tc>
        <w:tc>
          <w:tcPr>
            <w:tcW w:type="dxa" w:w="882"/>
          </w:tcPr>
          <w:p>
            <w:pPr>
              <w:spacing w:after="40" w:line="240" w:lineRule="auto"/>
            </w:pPr>
          </w:p>
        </w:tc>
      </w:tr>
      <w:tr>
        <w:tc>
          <w:tcPr>
            <w:tcW w:type="dxa" w:w="882"/>
          </w:tcPr>
          <w:p>
            <w:pPr>
              <w:spacing w:after="40" w:line="240" w:lineRule="auto"/>
            </w:pPr>
            <w:r>
              <w:rPr>
                <w:rFonts w:ascii="Times New Roman" w:hAnsi="Times New Roman"/>
                <w:sz w:val="24"/>
              </w:rPr>
              <w:t>Pembersihan data dan analisis PLS-SEM</w:t>
            </w:r>
          </w:p>
        </w:tc>
        <w:tc>
          <w:tcPr>
            <w:tcW w:type="dxa" w:w="882"/>
          </w:tcPr>
          <w:p>
            <w:pPr>
              <w:spacing w:after="40" w:line="240" w:lineRule="auto"/>
            </w:pPr>
          </w:p>
        </w:tc>
        <w:tc>
          <w:tcPr>
            <w:tcW w:type="dxa" w:w="882"/>
          </w:tcPr>
          <w:p>
            <w:pPr>
              <w:spacing w:after="40" w:line="240" w:lineRule="auto"/>
            </w:pPr>
          </w:p>
        </w:tc>
        <w:tc>
          <w:tcPr>
            <w:tcW w:type="dxa" w:w="882"/>
          </w:tcPr>
          <w:p>
            <w:pPr>
              <w:spacing w:after="40" w:line="240" w:lineRule="auto"/>
            </w:pPr>
          </w:p>
        </w:tc>
        <w:tc>
          <w:tcPr>
            <w:tcW w:type="dxa" w:w="882"/>
          </w:tcPr>
          <w:p>
            <w:pPr>
              <w:spacing w:after="40" w:line="240" w:lineRule="auto"/>
            </w:pPr>
          </w:p>
        </w:tc>
        <w:tc>
          <w:tcPr>
            <w:tcW w:type="dxa" w:w="882"/>
          </w:tcPr>
          <w:p>
            <w:pPr>
              <w:spacing w:after="40" w:line="240" w:lineRule="auto"/>
            </w:pPr>
            <w:r>
              <w:rPr>
                <w:rFonts w:ascii="Times New Roman" w:hAnsi="Times New Roman"/>
                <w:sz w:val="24"/>
              </w:rPr>
              <w:t>●</w:t>
            </w:r>
          </w:p>
        </w:tc>
        <w:tc>
          <w:tcPr>
            <w:tcW w:type="dxa" w:w="882"/>
          </w:tcPr>
          <w:p>
            <w:pPr>
              <w:spacing w:after="40" w:line="240" w:lineRule="auto"/>
            </w:pPr>
            <w:r>
              <w:rPr>
                <w:rFonts w:ascii="Times New Roman" w:hAnsi="Times New Roman"/>
                <w:sz w:val="24"/>
              </w:rPr>
              <w:t>●</w:t>
            </w:r>
          </w:p>
        </w:tc>
        <w:tc>
          <w:tcPr>
            <w:tcW w:type="dxa" w:w="882"/>
          </w:tcPr>
          <w:p>
            <w:pPr>
              <w:spacing w:after="40" w:line="240" w:lineRule="auto"/>
            </w:pPr>
          </w:p>
        </w:tc>
        <w:tc>
          <w:tcPr>
            <w:tcW w:type="dxa" w:w="882"/>
          </w:tcPr>
          <w:p>
            <w:pPr>
              <w:spacing w:after="40" w:line="240" w:lineRule="auto"/>
            </w:pPr>
          </w:p>
        </w:tc>
      </w:tr>
      <w:tr>
        <w:tc>
          <w:tcPr>
            <w:tcW w:type="dxa" w:w="882"/>
          </w:tcPr>
          <w:p>
            <w:pPr>
              <w:spacing w:after="40" w:line="240" w:lineRule="auto"/>
            </w:pPr>
            <w:r>
              <w:rPr>
                <w:rFonts w:ascii="Times New Roman" w:hAnsi="Times New Roman"/>
                <w:sz w:val="24"/>
              </w:rPr>
              <w:t>Penulisan disertasi dan pembahasan hasil</w:t>
            </w:r>
          </w:p>
        </w:tc>
        <w:tc>
          <w:tcPr>
            <w:tcW w:type="dxa" w:w="882"/>
          </w:tcPr>
          <w:p>
            <w:pPr>
              <w:spacing w:after="40" w:line="240" w:lineRule="auto"/>
            </w:pPr>
          </w:p>
        </w:tc>
        <w:tc>
          <w:tcPr>
            <w:tcW w:type="dxa" w:w="882"/>
          </w:tcPr>
          <w:p>
            <w:pPr>
              <w:spacing w:after="40" w:line="240" w:lineRule="auto"/>
            </w:pPr>
          </w:p>
        </w:tc>
        <w:tc>
          <w:tcPr>
            <w:tcW w:type="dxa" w:w="882"/>
          </w:tcPr>
          <w:p>
            <w:pPr>
              <w:spacing w:after="40" w:line="240" w:lineRule="auto"/>
            </w:pPr>
          </w:p>
        </w:tc>
        <w:tc>
          <w:tcPr>
            <w:tcW w:type="dxa" w:w="882"/>
          </w:tcPr>
          <w:p>
            <w:pPr>
              <w:spacing w:after="40" w:line="240" w:lineRule="auto"/>
            </w:pPr>
          </w:p>
        </w:tc>
        <w:tc>
          <w:tcPr>
            <w:tcW w:type="dxa" w:w="882"/>
          </w:tcPr>
          <w:p>
            <w:pPr>
              <w:spacing w:after="40" w:line="240" w:lineRule="auto"/>
            </w:pPr>
          </w:p>
        </w:tc>
        <w:tc>
          <w:tcPr>
            <w:tcW w:type="dxa" w:w="882"/>
          </w:tcPr>
          <w:p>
            <w:pPr>
              <w:spacing w:after="40" w:line="240" w:lineRule="auto"/>
            </w:pPr>
            <w:r>
              <w:rPr>
                <w:rFonts w:ascii="Times New Roman" w:hAnsi="Times New Roman"/>
                <w:sz w:val="24"/>
              </w:rPr>
              <w:t>●</w:t>
            </w:r>
          </w:p>
        </w:tc>
        <w:tc>
          <w:tcPr>
            <w:tcW w:type="dxa" w:w="882"/>
          </w:tcPr>
          <w:p>
            <w:pPr>
              <w:spacing w:after="40" w:line="240" w:lineRule="auto"/>
            </w:pPr>
            <w:r>
              <w:rPr>
                <w:rFonts w:ascii="Times New Roman" w:hAnsi="Times New Roman"/>
                <w:sz w:val="24"/>
              </w:rPr>
              <w:t>●</w:t>
            </w:r>
          </w:p>
        </w:tc>
        <w:tc>
          <w:tcPr>
            <w:tcW w:type="dxa" w:w="882"/>
          </w:tcPr>
          <w:p>
            <w:pPr>
              <w:spacing w:after="40" w:line="240" w:lineRule="auto"/>
            </w:pPr>
          </w:p>
        </w:tc>
      </w:tr>
      <w:tr>
        <w:tc>
          <w:tcPr>
            <w:tcW w:type="dxa" w:w="882"/>
          </w:tcPr>
          <w:p>
            <w:pPr>
              <w:spacing w:after="40" w:line="240" w:lineRule="auto"/>
            </w:pPr>
            <w:r>
              <w:rPr>
                <w:rFonts w:ascii="Times New Roman" w:hAnsi="Times New Roman"/>
                <w:sz w:val="24"/>
              </w:rPr>
              <w:t>Revisi akhir dan penyiapan artikel ilmiah</w:t>
            </w:r>
          </w:p>
        </w:tc>
        <w:tc>
          <w:tcPr>
            <w:tcW w:type="dxa" w:w="882"/>
          </w:tcPr>
          <w:p>
            <w:pPr>
              <w:spacing w:after="40" w:line="240" w:lineRule="auto"/>
            </w:pPr>
          </w:p>
        </w:tc>
        <w:tc>
          <w:tcPr>
            <w:tcW w:type="dxa" w:w="882"/>
          </w:tcPr>
          <w:p>
            <w:pPr>
              <w:spacing w:after="40" w:line="240" w:lineRule="auto"/>
            </w:pPr>
          </w:p>
        </w:tc>
        <w:tc>
          <w:tcPr>
            <w:tcW w:type="dxa" w:w="882"/>
          </w:tcPr>
          <w:p>
            <w:pPr>
              <w:spacing w:after="40" w:line="240" w:lineRule="auto"/>
            </w:pPr>
          </w:p>
        </w:tc>
        <w:tc>
          <w:tcPr>
            <w:tcW w:type="dxa" w:w="882"/>
          </w:tcPr>
          <w:p>
            <w:pPr>
              <w:spacing w:after="40" w:line="240" w:lineRule="auto"/>
            </w:pPr>
          </w:p>
        </w:tc>
        <w:tc>
          <w:tcPr>
            <w:tcW w:type="dxa" w:w="882"/>
          </w:tcPr>
          <w:p>
            <w:pPr>
              <w:spacing w:after="40" w:line="240" w:lineRule="auto"/>
            </w:pPr>
          </w:p>
        </w:tc>
        <w:tc>
          <w:tcPr>
            <w:tcW w:type="dxa" w:w="882"/>
          </w:tcPr>
          <w:p>
            <w:pPr>
              <w:spacing w:after="40" w:line="240" w:lineRule="auto"/>
            </w:pPr>
          </w:p>
        </w:tc>
        <w:tc>
          <w:tcPr>
            <w:tcW w:type="dxa" w:w="882"/>
          </w:tcPr>
          <w:p>
            <w:pPr>
              <w:spacing w:after="40" w:line="240" w:lineRule="auto"/>
            </w:pPr>
            <w:r>
              <w:rPr>
                <w:rFonts w:ascii="Times New Roman" w:hAnsi="Times New Roman"/>
                <w:sz w:val="24"/>
              </w:rPr>
              <w:t>●</w:t>
            </w:r>
          </w:p>
        </w:tc>
        <w:tc>
          <w:tcPr>
            <w:tcW w:type="dxa" w:w="882"/>
          </w:tcPr>
          <w:p>
            <w:pPr>
              <w:spacing w:after="40" w:line="240" w:lineRule="auto"/>
            </w:pPr>
            <w:r>
              <w:rPr>
                <w:rFonts w:ascii="Times New Roman" w:hAnsi="Times New Roman"/>
                <w:sz w:val="24"/>
              </w:rPr>
              <w:t>●</w:t>
            </w:r>
          </w:p>
        </w:tc>
      </w:tr>
    </w:tbl>
    <w:p/>
    <w:p>
      <w:pPr>
        <w:pStyle w:val="Heading2"/>
      </w:pPr>
      <w:r>
        <w:rPr>
          <w:rFonts w:ascii="Times New Roman" w:hAnsi="Times New Roman"/>
          <w:sz w:val="24"/>
        </w:rPr>
        <w:t>Lampiran 6. Protokol Praregistrasi dan Daftar Periksa Analisis</w:t>
      </w:r>
    </w:p>
    <w:p>
      <w:r>
        <w:rPr>
          <w:rFonts w:ascii="Times New Roman" w:hAnsi="Times New Roman"/>
          <w:sz w:val="24"/>
        </w:rPr>
        <w:t>Butir-butir praregistrasi berikut diambil dari berkas PROPOSAL_DISERTASI_TANPA_MODERATOR dan disarankan dilampirkan utuh dari berkas sumbernya:</w:t>
      </w:r>
    </w:p>
    <w:p>
      <w:pPr>
        <w:pStyle w:val="ListNumber"/>
        <w:spacing w:after="40" w:line="360" w:lineRule="auto"/>
      </w:pPr>
      <w:r>
        <w:rPr>
          <w:rFonts w:ascii="Times New Roman" w:hAnsi="Times New Roman"/>
          <w:sz w:val="24"/>
        </w:rPr>
        <w:t>Penetapan definisi konstruk, dimensi, dan sumber setiap butir.</w:t>
      </w:r>
    </w:p>
    <w:p>
      <w:pPr>
        <w:pStyle w:val="ListNumber"/>
        <w:spacing w:after="40" w:line="360" w:lineRule="auto"/>
      </w:pPr>
      <w:r>
        <w:rPr>
          <w:rFonts w:ascii="Times New Roman" w:hAnsi="Times New Roman"/>
          <w:sz w:val="24"/>
        </w:rPr>
        <w:t>Penyimpanan versi kuesioner setelah terjemahan, penilaian ahli, dan wawancara kognitif.</w:t>
      </w:r>
    </w:p>
    <w:p>
      <w:pPr>
        <w:pStyle w:val="ListNumber"/>
        <w:spacing w:after="40" w:line="360" w:lineRule="auto"/>
      </w:pPr>
      <w:r>
        <w:rPr>
          <w:rFonts w:ascii="Times New Roman" w:hAnsi="Times New Roman"/>
          <w:sz w:val="24"/>
        </w:rPr>
        <w:t>Penetapan lima hipotesis, kriteria responden, ukuran sampel, serta aturan keputusan sebelum data dikumpulkan.</w:t>
      </w:r>
    </w:p>
    <w:p>
      <w:pPr>
        <w:pStyle w:val="ListNumber"/>
        <w:spacing w:after="40" w:line="360" w:lineRule="auto"/>
      </w:pPr>
      <w:r>
        <w:rPr>
          <w:rFonts w:ascii="Times New Roman" w:hAnsi="Times New Roman"/>
          <w:sz w:val="24"/>
        </w:rPr>
        <w:t>Pencatatan cara mengevaluasi kualitas pengukuran dan menguji efek tidak langsung.</w:t>
      </w:r>
    </w:p>
    <w:p>
      <w:pPr>
        <w:pStyle w:val="ListNumber"/>
        <w:spacing w:after="40" w:line="360" w:lineRule="auto"/>
      </w:pPr>
      <w:r>
        <w:rPr>
          <w:rFonts w:ascii="Times New Roman" w:hAnsi="Times New Roman"/>
          <w:sz w:val="24"/>
        </w:rPr>
        <w:t>Kelengkapan persetujuan etik, lembar informasi, dan prosedur penanganan data.</w:t>
      </w:r>
    </w:p>
    <w:p>
      <w:r>
        <w:br w:type="page"/>
      </w:r>
    </w:p>
    <w:p>
      <w:pPr>
        <w:pStyle w:val="Heading1"/>
      </w:pPr>
      <w:r>
        <w:rPr>
          <w:rFonts w:ascii="Times New Roman" w:hAnsi="Times New Roman"/>
          <w:sz w:val="28"/>
        </w:rPr>
        <w:t>CATATAN INTEGRASI DAN KEPUTUSAN EDITOR</w:t>
      </w:r>
    </w:p>
    <w:p>
      <w:r>
        <w:rPr>
          <w:rFonts w:ascii="Times New Roman" w:hAnsi="Times New Roman"/>
          <w:sz w:val="24"/>
        </w:rPr>
        <w:t xml:space="preserve">Bagian ini </w:t>
      </w:r>
      <w:r>
        <w:rPr>
          <w:rFonts w:ascii="Times New Roman" w:hAnsi="Times New Roman"/>
          <w:b/>
          <w:sz w:val="24"/>
        </w:rPr>
        <w:t>bukan bagian naskah yang diserahkan</w:t>
      </w:r>
      <w:r>
        <w:rPr>
          <w:rFonts w:ascii="Times New Roman" w:hAnsi="Times New Roman"/>
          <w:sz w:val="24"/>
        </w:rPr>
        <w:t>. Ia disediakan agar setiap penambahan dapat ditelusuri dan setiap keputusan dapat diperiksa. Hapus bagian ini sebelum penyerahan resmi.</w:t>
      </w:r>
    </w:p>
    <w:p>
      <w:pPr>
        <w:pStyle w:val="Heading2"/>
      </w:pPr>
      <w:r>
        <w:rPr>
          <w:rFonts w:ascii="Times New Roman" w:hAnsi="Times New Roman"/>
          <w:sz w:val="24"/>
        </w:rPr>
        <w:t>1. Berkas yang digabungkan</w:t>
      </w:r>
    </w:p>
    <w:p>
      <w:pPr>
        <w:pStyle w:val="ListBullet"/>
        <w:spacing w:after="40" w:line="360" w:lineRule="auto"/>
      </w:pPr>
      <w:r>
        <w:rPr>
          <w:rFonts w:ascii="Times New Roman" w:hAnsi="Times New Roman"/>
          <w:b/>
          <w:sz w:val="24"/>
        </w:rPr>
        <w:t>A — Proposal Disertasi Michael Raintung - Revisi Seminar Proposal.pdf</w:t>
      </w:r>
      <w:r>
        <w:rPr>
          <w:rFonts w:ascii="Times New Roman" w:hAnsi="Times New Roman"/>
          <w:sz w:val="24"/>
        </w:rPr>
        <w:t xml:space="preserve"> (14 Oktober 2026, 21:41 WITA) → </w:t>
      </w:r>
      <w:r>
        <w:rPr>
          <w:rFonts w:ascii="Times New Roman" w:hAnsi="Times New Roman"/>
          <w:b/>
          <w:sz w:val="24"/>
        </w:rPr>
        <w:t>dokumen induk</w:t>
      </w:r>
    </w:p>
    <w:p>
      <w:pPr>
        <w:pStyle w:val="ListBullet"/>
        <w:spacing w:after="40" w:line="360" w:lineRule="auto"/>
      </w:pPr>
      <w:r>
        <w:rPr>
          <w:rFonts w:ascii="Times New Roman" w:hAnsi="Times New Roman"/>
          <w:b/>
          <w:sz w:val="24"/>
        </w:rPr>
        <w:t>B — Proposal Disertasi Michael Raintung 14 Oktober 2026.pdf</w:t>
      </w:r>
      <w:r>
        <w:rPr>
          <w:rFonts w:ascii="Times New Roman" w:hAnsi="Times New Roman"/>
          <w:sz w:val="24"/>
        </w:rPr>
        <w:t xml:space="preserve"> (14 Oktober 2026, 11:51 WITA)</w:t>
      </w:r>
    </w:p>
    <w:p>
      <w:pPr>
        <w:pStyle w:val="ListBullet"/>
        <w:spacing w:after="40" w:line="360" w:lineRule="auto"/>
      </w:pPr>
      <w:r>
        <w:rPr>
          <w:rFonts w:ascii="Times New Roman" w:hAnsi="Times New Roman"/>
          <w:b/>
          <w:sz w:val="24"/>
        </w:rPr>
        <w:t>C — PROPOSAL_DISERTASI_TANPA_MODERATOR_80-100_HALAMAN (1).pdf</w:t>
      </w:r>
      <w:r>
        <w:rPr>
          <w:rFonts w:ascii="Times New Roman" w:hAnsi="Times New Roman"/>
          <w:sz w:val="24"/>
        </w:rPr>
        <w:t xml:space="preserve"> (4 Oktober 2026)</w:t>
      </w:r>
    </w:p>
    <w:p>
      <w:pPr>
        <w:pStyle w:val="ListBullet"/>
        <w:spacing w:after="40" w:line="360" w:lineRule="auto"/>
      </w:pPr>
      <w:r>
        <w:rPr>
          <w:rFonts w:ascii="Times New Roman" w:hAnsi="Times New Roman"/>
          <w:sz w:val="24"/>
        </w:rPr>
        <w:t>Acuan penilaian: empat laporan evaluasi LeapSpace (completeness, readiness, integration, comparison of versions)</w:t>
      </w:r>
    </w:p>
    <w:p>
      <w:r>
        <w:rPr>
          <w:rFonts w:ascii="Times New Roman" w:hAnsi="Times New Roman"/>
          <w:sz w:val="24"/>
        </w:rPr>
        <w:t xml:space="preserve">Dokumen induk dipilih </w:t>
      </w:r>
      <w:r>
        <w:rPr>
          <w:rFonts w:ascii="Times New Roman" w:hAnsi="Times New Roman"/>
          <w:b/>
          <w:sz w:val="24"/>
        </w:rPr>
        <w:t>A</w:t>
      </w:r>
      <w:r>
        <w:rPr>
          <w:rFonts w:ascii="Times New Roman" w:hAnsi="Times New Roman"/>
          <w:sz w:val="24"/>
        </w:rPr>
        <w:t xml:space="preserve"> karena paling baru dan dinilai LeapSpace paling siap untuk seminar: metodologi, validasi instrumen, dan rencana analisisnya paling operasional. Berkas B dan C diperlakukan sebagai sumber transplantasi.</w:t>
      </w:r>
    </w:p>
    <w:p>
      <w:pPr>
        <w:pStyle w:val="Heading2"/>
      </w:pPr>
      <w:r>
        <w:rPr>
          <w:rFonts w:ascii="Times New Roman" w:hAnsi="Times New Roman"/>
          <w:sz w:val="24"/>
        </w:rPr>
        <w:t>2. Tiga keputusan yang masih perlu Anda tetapkan</w:t>
      </w:r>
    </w:p>
    <w:p>
      <w:r>
        <w:rPr>
          <w:rFonts w:ascii="Times New Roman" w:hAnsi="Times New Roman"/>
          <w:b/>
          <w:sz w:val="24"/>
        </w:rPr>
        <w:t>Keputusan 1 — Ukuran sampel.</w:t>
      </w:r>
      <w:r>
        <w:rPr>
          <w:rFonts w:ascii="Times New Roman" w:hAnsi="Times New Roman"/>
          <w:sz w:val="24"/>
        </w:rPr>
        <w:t xml:space="preserve"> Berkas A dan B menyatakan target minimum </w:t>
      </w:r>
      <w:r>
        <w:rPr>
          <w:rFonts w:ascii="Times New Roman" w:hAnsi="Times New Roman"/>
          <w:b/>
          <w:sz w:val="24"/>
        </w:rPr>
        <w:t>385 respons sah</w:t>
      </w:r>
      <w:r>
        <w:rPr>
          <w:rFonts w:ascii="Times New Roman" w:hAnsi="Times New Roman"/>
          <w:sz w:val="24"/>
        </w:rPr>
        <w:t xml:space="preserve">; berkas C menyatakan sasaran </w:t>
      </w:r>
      <w:r>
        <w:rPr>
          <w:rFonts w:ascii="Times New Roman" w:hAnsi="Times New Roman"/>
          <w:b/>
          <w:sz w:val="24"/>
        </w:rPr>
        <w:t>700 jawaban sah</w:t>
      </w:r>
      <w:r>
        <w:rPr>
          <w:rFonts w:ascii="Times New Roman" w:hAnsi="Times New Roman"/>
          <w:sz w:val="24"/>
        </w:rPr>
        <w:t xml:space="preserve"> (850–900 formulir) berdasar perhitungan daya (N≈395 untuk f²=0,02; N≈787 untuk f²=0,01). Pada naskah ini pernyataan dokumen induk dipertahankan sebagai janji minimum, dan Tabel 10 (dari C) disertakan sebagai dasar perluasan. </w:t>
      </w:r>
      <w:r>
        <w:rPr>
          <w:rFonts w:ascii="Times New Roman" w:hAnsi="Times New Roman"/>
          <w:i/>
          <w:sz w:val="24"/>
        </w:rPr>
        <w:t>Pilihan:</w:t>
      </w:r>
      <w:r>
        <w:rPr>
          <w:rFonts w:ascii="Times New Roman" w:hAnsi="Times New Roman"/>
          <w:sz w:val="24"/>
        </w:rPr>
        <w:t xml:space="preserve"> (a) tetapkan 385 sebagai target final; (b) tetapkan 385 sebagai batas bawah dan 700 sebagai sasaran perluasan; (c) angka lain setelah pilot.</w:t>
      </w:r>
    </w:p>
    <w:p>
      <w:r>
        <w:rPr>
          <w:rFonts w:ascii="Times New Roman" w:hAnsi="Times New Roman"/>
          <w:b/>
          <w:sz w:val="24"/>
        </w:rPr>
        <w:t>Keputusan 2 — Jumlah butir dan domain advokasi.</w:t>
      </w:r>
      <w:r>
        <w:rPr>
          <w:rFonts w:ascii="Times New Roman" w:hAnsi="Times New Roman"/>
          <w:sz w:val="24"/>
        </w:rPr>
        <w:t xml:space="preserve"> Berkas A dan B memakai </w:t>
      </w:r>
      <w:r>
        <w:rPr>
          <w:rFonts w:ascii="Times New Roman" w:hAnsi="Times New Roman"/>
          <w:b/>
          <w:sz w:val="24"/>
        </w:rPr>
        <w:t>39 butir inti</w:t>
      </w:r>
      <w:r>
        <w:rPr>
          <w:rFonts w:ascii="Times New Roman" w:hAnsi="Times New Roman"/>
          <w:sz w:val="24"/>
        </w:rPr>
        <w:t xml:space="preserve"> dengan AMD tiga domain (rekomendasi, berbagi konten, pembelaan); berkas C memuat </w:t>
      </w:r>
      <w:r>
        <w:rPr>
          <w:rFonts w:ascii="Times New Roman" w:hAnsi="Times New Roman"/>
          <w:b/>
          <w:sz w:val="24"/>
        </w:rPr>
        <w:t>42 butir</w:t>
      </w:r>
      <w:r>
        <w:rPr>
          <w:rFonts w:ascii="Times New Roman" w:hAnsi="Times New Roman"/>
          <w:sz w:val="24"/>
        </w:rPr>
        <w:t xml:space="preserve"> dengan AMD empat domain (menambah </w:t>
      </w:r>
      <w:r>
        <w:rPr>
          <w:rFonts w:ascii="Times New Roman" w:hAnsi="Times New Roman"/>
          <w:i/>
          <w:sz w:val="24"/>
        </w:rPr>
        <w:t>partisipasi</w:t>
      </w:r>
      <w:r>
        <w:rPr>
          <w:rFonts w:ascii="Times New Roman" w:hAnsi="Times New Roman"/>
          <w:sz w:val="24"/>
        </w:rPr>
        <w:t xml:space="preserve">). Tabel 9 pada naskah ini memuat 39 butir inti + 8 butir kontrol sesuai keputusan dokumen induk; rumusan AMD10–AMD12 tetap tersimpan pada berkas sumber. </w:t>
      </w:r>
      <w:r>
        <w:rPr>
          <w:rFonts w:ascii="Times New Roman" w:hAnsi="Times New Roman"/>
          <w:i/>
          <w:sz w:val="24"/>
        </w:rPr>
        <w:t>Pilihan:</w:t>
      </w:r>
      <w:r>
        <w:rPr>
          <w:rFonts w:ascii="Times New Roman" w:hAnsi="Times New Roman"/>
          <w:sz w:val="24"/>
        </w:rPr>
        <w:t xml:space="preserve"> (a) pertahankan 39 butir dan tiga domain; (b) naikkan ke 42 butir dan perbarui seluruh penyebutan jumlah butir; (c) putuskan setelah panel ahli dan pilot.</w:t>
      </w:r>
    </w:p>
    <w:p>
      <w:r>
        <w:rPr>
          <w:rFonts w:ascii="Times New Roman" w:hAnsi="Times New Roman"/>
          <w:b/>
          <w:sz w:val="24"/>
        </w:rPr>
        <w:t>Keputusan 3 — Durasi penelitian.</w:t>
      </w:r>
      <w:r>
        <w:rPr>
          <w:rFonts w:ascii="Times New Roman" w:hAnsi="Times New Roman"/>
          <w:sz w:val="24"/>
        </w:rPr>
        <w:t xml:space="preserve"> Berkas A dan B memakai jadwal </w:t>
      </w:r>
      <w:r>
        <w:rPr>
          <w:rFonts w:ascii="Times New Roman" w:hAnsi="Times New Roman"/>
          <w:b/>
          <w:sz w:val="24"/>
        </w:rPr>
        <w:t>B1–B8 (8 bulan)</w:t>
      </w:r>
      <w:r>
        <w:rPr>
          <w:rFonts w:ascii="Times New Roman" w:hAnsi="Times New Roman"/>
          <w:sz w:val="24"/>
        </w:rPr>
        <w:t xml:space="preserve">; berkas C memakai </w:t>
      </w:r>
      <w:r>
        <w:rPr>
          <w:rFonts w:ascii="Times New Roman" w:hAnsi="Times New Roman"/>
          <w:b/>
          <w:sz w:val="24"/>
        </w:rPr>
        <w:t>15 bulan</w:t>
      </w:r>
      <w:r>
        <w:rPr>
          <w:rFonts w:ascii="Times New Roman" w:hAnsi="Times New Roman"/>
          <w:sz w:val="24"/>
        </w:rPr>
        <w:t xml:space="preserve"> (bulan 1–5 persiapan dan uji instrumen, 6–8 survei utama, 9–11 analisis, 12–15 penulisan dan diseminasi). Pada naskah ini jadwal dokumen induk dipertahankan (Tabel 15). </w:t>
      </w:r>
      <w:r>
        <w:rPr>
          <w:rFonts w:ascii="Times New Roman" w:hAnsi="Times New Roman"/>
          <w:i/>
          <w:sz w:val="24"/>
        </w:rPr>
        <w:t>Pilihan:</w:t>
      </w:r>
      <w:r>
        <w:rPr>
          <w:rFonts w:ascii="Times New Roman" w:hAnsi="Times New Roman"/>
          <w:sz w:val="24"/>
        </w:rPr>
        <w:t xml:space="preserve"> (a) 8 bulan; (b) 12 bulan sebagai jalan tengah dengan risk register; (c) 15 bulan seperti C.</w:t>
      </w:r>
    </w:p>
    <w:p>
      <w:pPr>
        <w:pStyle w:val="Heading2"/>
      </w:pPr>
      <w:r>
        <w:rPr>
          <w:rFonts w:ascii="Times New Roman" w:hAnsi="Times New Roman"/>
          <w:sz w:val="24"/>
        </w:rPr>
        <w:t>3. Apa yang diambil dari mana</w:t>
      </w:r>
    </w:p>
    <w:tbl>
      <w:tblPr>
        <w:tblStyle w:val="TableGrid"/>
        <w:tblW w:type="auto" w:w="0"/>
        <w:tblLayout w:type="autofit"/>
        <w:tblLook w:firstColumn="1" w:firstRow="1" w:lastColumn="0" w:lastRow="0" w:noHBand="0" w:noVBand="1" w:val="04A0"/>
      </w:tblPr>
      <w:tblGrid>
        <w:gridCol w:w="2646"/>
        <w:gridCol w:w="2646"/>
        <w:gridCol w:w="2646"/>
      </w:tblGrid>
      <w:tr>
        <w:tc>
          <w:tcPr>
            <w:tcW w:type="dxa" w:w="2646"/>
          </w:tcPr>
          <w:p>
            <w:pPr>
              <w:spacing w:after="40" w:line="240" w:lineRule="auto"/>
            </w:pPr>
            <w:r>
              <w:rPr>
                <w:rFonts w:ascii="Times New Roman" w:hAnsi="Times New Roman"/>
                <w:b/>
                <w:sz w:val="24"/>
              </w:rPr>
              <w:t>Bagian naskah</w:t>
            </w:r>
          </w:p>
        </w:tc>
        <w:tc>
          <w:tcPr>
            <w:tcW w:type="dxa" w:w="2646"/>
          </w:tcPr>
          <w:p>
            <w:pPr>
              <w:spacing w:after="40" w:line="240" w:lineRule="auto"/>
            </w:pPr>
            <w:r>
              <w:rPr>
                <w:rFonts w:ascii="Times New Roman" w:hAnsi="Times New Roman"/>
                <w:b/>
                <w:sz w:val="24"/>
              </w:rPr>
              <w:t>Sumber</w:t>
            </w:r>
          </w:p>
        </w:tc>
        <w:tc>
          <w:tcPr>
            <w:tcW w:type="dxa" w:w="2646"/>
          </w:tcPr>
          <w:p>
            <w:pPr>
              <w:spacing w:after="40" w:line="240" w:lineRule="auto"/>
            </w:pPr>
            <w:r>
              <w:rPr>
                <w:rFonts w:ascii="Times New Roman" w:hAnsi="Times New Roman"/>
                <w:b/>
                <w:sz w:val="24"/>
              </w:rPr>
              <w:t>Tindakan</w:t>
            </w:r>
          </w:p>
        </w:tc>
      </w:tr>
      <w:tr>
        <w:tc>
          <w:tcPr>
            <w:tcW w:type="dxa" w:w="2646"/>
          </w:tcPr>
          <w:p>
            <w:pPr>
              <w:spacing w:after="40" w:line="240" w:lineRule="auto"/>
            </w:pPr>
            <w:r>
              <w:rPr>
                <w:rFonts w:ascii="Times New Roman" w:hAnsi="Times New Roman"/>
                <w:sz w:val="24"/>
              </w:rPr>
              <w:t>Judul, identitas, kata kunci</w:t>
            </w:r>
          </w:p>
        </w:tc>
        <w:tc>
          <w:tcPr>
            <w:tcW w:type="dxa" w:w="2646"/>
          </w:tcPr>
          <w:p>
            <w:pPr>
              <w:spacing w:after="40" w:line="240" w:lineRule="auto"/>
            </w:pPr>
            <w:r>
              <w:rPr>
                <w:rFonts w:ascii="Times New Roman" w:hAnsi="Times New Roman"/>
                <w:sz w:val="24"/>
              </w:rPr>
              <w:t>A</w:t>
            </w:r>
          </w:p>
        </w:tc>
        <w:tc>
          <w:tcPr>
            <w:tcW w:type="dxa" w:w="2646"/>
          </w:tcPr>
          <w:p>
            <w:pPr>
              <w:spacing w:after="40" w:line="240" w:lineRule="auto"/>
            </w:pPr>
            <w:r>
              <w:rPr>
                <w:rFonts w:ascii="Times New Roman" w:hAnsi="Times New Roman"/>
                <w:sz w:val="24"/>
              </w:rPr>
              <w:t>Dipertahankan</w:t>
            </w:r>
          </w:p>
        </w:tc>
      </w:tr>
      <w:tr>
        <w:tc>
          <w:tcPr>
            <w:tcW w:type="dxa" w:w="2646"/>
          </w:tcPr>
          <w:p>
            <w:pPr>
              <w:spacing w:after="40" w:line="240" w:lineRule="auto"/>
            </w:pPr>
            <w:r>
              <w:rPr>
                <w:rFonts w:ascii="Times New Roman" w:hAnsi="Times New Roman"/>
                <w:sz w:val="24"/>
              </w:rPr>
              <w:t>Ringkasan Proposal</w:t>
            </w:r>
          </w:p>
        </w:tc>
        <w:tc>
          <w:tcPr>
            <w:tcW w:type="dxa" w:w="2646"/>
          </w:tcPr>
          <w:p>
            <w:pPr>
              <w:spacing w:after="40" w:line="240" w:lineRule="auto"/>
            </w:pPr>
            <w:r>
              <w:rPr>
                <w:rFonts w:ascii="Times New Roman" w:hAnsi="Times New Roman"/>
                <w:sz w:val="24"/>
              </w:rPr>
              <w:t>A</w:t>
            </w:r>
          </w:p>
        </w:tc>
        <w:tc>
          <w:tcPr>
            <w:tcW w:type="dxa" w:w="2646"/>
          </w:tcPr>
          <w:p>
            <w:pPr>
              <w:spacing w:after="40" w:line="240" w:lineRule="auto"/>
            </w:pPr>
            <w:r>
              <w:rPr>
                <w:rFonts w:ascii="Times New Roman" w:hAnsi="Times New Roman"/>
                <w:sz w:val="24"/>
              </w:rPr>
              <w:t>Dipertahankan; ditambah satu kalimat bukti validitas diskriminan berinterval</w:t>
            </w:r>
          </w:p>
        </w:tc>
      </w:tr>
      <w:tr>
        <w:tc>
          <w:tcPr>
            <w:tcW w:type="dxa" w:w="2646"/>
          </w:tcPr>
          <w:p>
            <w:pPr>
              <w:spacing w:after="40" w:line="240" w:lineRule="auto"/>
            </w:pPr>
            <w:r>
              <w:rPr>
                <w:rFonts w:ascii="Times New Roman" w:hAnsi="Times New Roman"/>
                <w:sz w:val="24"/>
              </w:rPr>
              <w:t>Bab I.A Latar Belakang (9 sub-bab)</w:t>
            </w:r>
          </w:p>
        </w:tc>
        <w:tc>
          <w:tcPr>
            <w:tcW w:type="dxa" w:w="2646"/>
          </w:tcPr>
          <w:p>
            <w:pPr>
              <w:spacing w:after="40" w:line="240" w:lineRule="auto"/>
            </w:pPr>
            <w:r>
              <w:rPr>
                <w:rFonts w:ascii="Times New Roman" w:hAnsi="Times New Roman"/>
                <w:sz w:val="24"/>
              </w:rPr>
              <w:t>A</w:t>
            </w:r>
          </w:p>
        </w:tc>
        <w:tc>
          <w:tcPr>
            <w:tcW w:type="dxa" w:w="2646"/>
          </w:tcPr>
          <w:p>
            <w:pPr>
              <w:spacing w:after="40" w:line="240" w:lineRule="auto"/>
            </w:pPr>
            <w:r>
              <w:rPr>
                <w:rFonts w:ascii="Times New Roman" w:hAnsi="Times New Roman"/>
                <w:sz w:val="24"/>
              </w:rPr>
              <w:t>Dipertahankan</w:t>
            </w:r>
          </w:p>
        </w:tc>
      </w:tr>
      <w:tr>
        <w:tc>
          <w:tcPr>
            <w:tcW w:type="dxa" w:w="2646"/>
          </w:tcPr>
          <w:p>
            <w:pPr>
              <w:spacing w:after="40" w:line="240" w:lineRule="auto"/>
            </w:pPr>
            <w:r>
              <w:rPr>
                <w:rFonts w:ascii="Times New Roman" w:hAnsi="Times New Roman"/>
                <w:sz w:val="24"/>
              </w:rPr>
              <w:t>Bab I.A.3 — gejala empiris</w:t>
            </w:r>
          </w:p>
        </w:tc>
        <w:tc>
          <w:tcPr>
            <w:tcW w:type="dxa" w:w="2646"/>
          </w:tcPr>
          <w:p>
            <w:pPr>
              <w:spacing w:after="40" w:line="240" w:lineRule="auto"/>
            </w:pPr>
            <w:r>
              <w:rPr>
                <w:rFonts w:ascii="Times New Roman" w:hAnsi="Times New Roman"/>
                <w:b/>
                <w:sz w:val="24"/>
              </w:rPr>
              <w:t>C</w:t>
            </w:r>
          </w:p>
        </w:tc>
        <w:tc>
          <w:tcPr>
            <w:tcW w:type="dxa" w:w="2646"/>
          </w:tcPr>
          <w:p>
            <w:pPr>
              <w:spacing w:after="40" w:line="240" w:lineRule="auto"/>
            </w:pPr>
            <w:r>
              <w:rPr>
                <w:rFonts w:ascii="Times New Roman" w:hAnsi="Times New Roman"/>
                <w:sz w:val="24"/>
              </w:rPr>
              <w:t>Disisipkan: data Kemp (2024) dan argumentasi kesenjangan jangkauan vs dukungan</w:t>
            </w:r>
          </w:p>
        </w:tc>
      </w:tr>
      <w:tr>
        <w:tc>
          <w:tcPr>
            <w:tcW w:type="dxa" w:w="2646"/>
          </w:tcPr>
          <w:p>
            <w:pPr>
              <w:spacing w:after="40" w:line="240" w:lineRule="auto"/>
            </w:pPr>
            <w:r>
              <w:rPr>
                <w:rFonts w:ascii="Times New Roman" w:hAnsi="Times New Roman"/>
                <w:sz w:val="24"/>
              </w:rPr>
              <w:t>Bab I.B, C, D, E</w:t>
            </w:r>
          </w:p>
        </w:tc>
        <w:tc>
          <w:tcPr>
            <w:tcW w:type="dxa" w:w="2646"/>
          </w:tcPr>
          <w:p>
            <w:pPr>
              <w:spacing w:after="40" w:line="240" w:lineRule="auto"/>
            </w:pPr>
            <w:r>
              <w:rPr>
                <w:rFonts w:ascii="Times New Roman" w:hAnsi="Times New Roman"/>
                <w:sz w:val="24"/>
              </w:rPr>
              <w:t>A</w:t>
            </w:r>
          </w:p>
        </w:tc>
        <w:tc>
          <w:tcPr>
            <w:tcW w:type="dxa" w:w="2646"/>
          </w:tcPr>
          <w:p>
            <w:pPr>
              <w:spacing w:after="40" w:line="240" w:lineRule="auto"/>
            </w:pPr>
            <w:r>
              <w:rPr>
                <w:rFonts w:ascii="Times New Roman" w:hAnsi="Times New Roman"/>
                <w:sz w:val="24"/>
              </w:rPr>
              <w:t>Dipertahankan</w:t>
            </w:r>
          </w:p>
        </w:tc>
      </w:tr>
      <w:tr>
        <w:tc>
          <w:tcPr>
            <w:tcW w:type="dxa" w:w="2646"/>
          </w:tcPr>
          <w:p>
            <w:pPr>
              <w:spacing w:after="40" w:line="240" w:lineRule="auto"/>
            </w:pPr>
            <w:r>
              <w:rPr>
                <w:rFonts w:ascii="Times New Roman" w:hAnsi="Times New Roman"/>
                <w:sz w:val="24"/>
              </w:rPr>
              <w:t>Bab II.A Tinjauan Pustaka (12 sub-bab)</w:t>
            </w:r>
          </w:p>
        </w:tc>
        <w:tc>
          <w:tcPr>
            <w:tcW w:type="dxa" w:w="2646"/>
          </w:tcPr>
          <w:p>
            <w:pPr>
              <w:spacing w:after="40" w:line="240" w:lineRule="auto"/>
            </w:pPr>
            <w:r>
              <w:rPr>
                <w:rFonts w:ascii="Times New Roman" w:hAnsi="Times New Roman"/>
                <w:sz w:val="24"/>
              </w:rPr>
              <w:t>A</w:t>
            </w:r>
          </w:p>
        </w:tc>
        <w:tc>
          <w:tcPr>
            <w:tcW w:type="dxa" w:w="2646"/>
          </w:tcPr>
          <w:p>
            <w:pPr>
              <w:spacing w:after="40" w:line="240" w:lineRule="auto"/>
            </w:pPr>
            <w:r>
              <w:rPr>
                <w:rFonts w:ascii="Times New Roman" w:hAnsi="Times New Roman"/>
                <w:sz w:val="24"/>
              </w:rPr>
              <w:t>Dipertahankan</w:t>
            </w:r>
          </w:p>
        </w:tc>
      </w:tr>
      <w:tr>
        <w:tc>
          <w:tcPr>
            <w:tcW w:type="dxa" w:w="2646"/>
          </w:tcPr>
          <w:p>
            <w:pPr>
              <w:spacing w:after="40" w:line="240" w:lineRule="auto"/>
            </w:pPr>
            <w:r>
              <w:rPr>
                <w:rFonts w:ascii="Times New Roman" w:hAnsi="Times New Roman"/>
                <w:sz w:val="24"/>
              </w:rPr>
              <w:t>Bab II.A.1 — sintesis dan batas teori</w:t>
            </w:r>
          </w:p>
        </w:tc>
        <w:tc>
          <w:tcPr>
            <w:tcW w:type="dxa" w:w="2646"/>
          </w:tcPr>
          <w:p>
            <w:pPr>
              <w:spacing w:after="40" w:line="240" w:lineRule="auto"/>
            </w:pPr>
            <w:r>
              <w:rPr>
                <w:rFonts w:ascii="Times New Roman" w:hAnsi="Times New Roman"/>
                <w:sz w:val="24"/>
              </w:rPr>
              <w:t>A</w:t>
            </w:r>
          </w:p>
        </w:tc>
        <w:tc>
          <w:tcPr>
            <w:tcW w:type="dxa" w:w="2646"/>
          </w:tcPr>
          <w:p>
            <w:pPr>
              <w:spacing w:after="40" w:line="240" w:lineRule="auto"/>
            </w:pPr>
            <w:r>
              <w:rPr>
                <w:rFonts w:ascii="Times New Roman" w:hAnsi="Times New Roman"/>
                <w:sz w:val="24"/>
              </w:rPr>
              <w:t>Dipertahankan memakai sub-bagian g dan h milik A</w:t>
            </w:r>
          </w:p>
        </w:tc>
      </w:tr>
      <w:tr>
        <w:tc>
          <w:tcPr>
            <w:tcW w:type="dxa" w:w="2646"/>
          </w:tcPr>
          <w:p>
            <w:pPr>
              <w:spacing w:after="40" w:line="240" w:lineRule="auto"/>
            </w:pPr>
            <w:r>
              <w:rPr>
                <w:rFonts w:ascii="Times New Roman" w:hAnsi="Times New Roman"/>
                <w:sz w:val="24"/>
              </w:rPr>
              <w:t>Bab II.A.1 — sub-bagian f dan g dari B</w:t>
            </w:r>
          </w:p>
        </w:tc>
        <w:tc>
          <w:tcPr>
            <w:tcW w:type="dxa" w:w="2646"/>
          </w:tcPr>
          <w:p>
            <w:pPr>
              <w:spacing w:after="40" w:line="240" w:lineRule="auto"/>
            </w:pPr>
            <w:r>
              <w:rPr>
                <w:rFonts w:ascii="Times New Roman" w:hAnsi="Times New Roman"/>
                <w:b/>
                <w:sz w:val="24"/>
              </w:rPr>
              <w:t>B</w:t>
            </w:r>
          </w:p>
        </w:tc>
        <w:tc>
          <w:tcPr>
            <w:tcW w:type="dxa" w:w="2646"/>
          </w:tcPr>
          <w:p>
            <w:pPr>
              <w:spacing w:after="40" w:line="240" w:lineRule="auto"/>
            </w:pPr>
            <w:r>
              <w:rPr>
                <w:rFonts w:ascii="Times New Roman" w:hAnsi="Times New Roman"/>
                <w:b/>
                <w:sz w:val="24"/>
              </w:rPr>
              <w:t>Tidak disisipkan</w:t>
            </w:r>
            <w:r>
              <w:rPr>
                <w:rFonts w:ascii="Times New Roman" w:hAnsi="Times New Roman"/>
                <w:sz w:val="24"/>
              </w:rPr>
              <w:t xml:space="preserve"> — isinya setara dengan sub-bagian g dan h yang sudah ada di A</w:t>
            </w:r>
          </w:p>
        </w:tc>
      </w:tr>
      <w:tr>
        <w:tc>
          <w:tcPr>
            <w:tcW w:type="dxa" w:w="2646"/>
          </w:tcPr>
          <w:p>
            <w:pPr>
              <w:spacing w:after="40" w:line="240" w:lineRule="auto"/>
            </w:pPr>
            <w:r>
              <w:rPr>
                <w:rFonts w:ascii="Times New Roman" w:hAnsi="Times New Roman"/>
                <w:sz w:val="24"/>
              </w:rPr>
              <w:t>Bab II.A.9 Kesenjangan &amp; kontribusi</w:t>
            </w:r>
          </w:p>
        </w:tc>
        <w:tc>
          <w:tcPr>
            <w:tcW w:type="dxa" w:w="2646"/>
          </w:tcPr>
          <w:p>
            <w:pPr>
              <w:spacing w:after="40" w:line="240" w:lineRule="auto"/>
            </w:pPr>
            <w:r>
              <w:rPr>
                <w:rFonts w:ascii="Times New Roman" w:hAnsi="Times New Roman"/>
                <w:b/>
                <w:sz w:val="24"/>
              </w:rPr>
              <w:t>B</w:t>
            </w:r>
          </w:p>
        </w:tc>
        <w:tc>
          <w:tcPr>
            <w:tcW w:type="dxa" w:w="2646"/>
          </w:tcPr>
          <w:p>
            <w:pPr>
              <w:spacing w:after="40" w:line="240" w:lineRule="auto"/>
            </w:pPr>
            <w:r>
              <w:rPr>
                <w:rFonts w:ascii="Times New Roman" w:hAnsi="Times New Roman"/>
                <w:sz w:val="24"/>
              </w:rPr>
              <w:t>Disisipkan Tabel 2 (kesenjangan dan keputusan desain)</w:t>
            </w:r>
          </w:p>
        </w:tc>
      </w:tr>
      <w:tr>
        <w:tc>
          <w:tcPr>
            <w:tcW w:type="dxa" w:w="2646"/>
          </w:tcPr>
          <w:p>
            <w:pPr>
              <w:spacing w:after="40" w:line="240" w:lineRule="auto"/>
            </w:pPr>
            <w:r>
              <w:rPr>
                <w:rFonts w:ascii="Times New Roman" w:hAnsi="Times New Roman"/>
                <w:sz w:val="24"/>
              </w:rPr>
              <w:t>Bab II.B.5 Dimensi &amp; pengukuran</w:t>
            </w:r>
          </w:p>
        </w:tc>
        <w:tc>
          <w:tcPr>
            <w:tcW w:type="dxa" w:w="2646"/>
          </w:tcPr>
          <w:p>
            <w:pPr>
              <w:spacing w:after="40" w:line="240" w:lineRule="auto"/>
            </w:pPr>
            <w:r>
              <w:rPr>
                <w:rFonts w:ascii="Times New Roman" w:hAnsi="Times New Roman"/>
                <w:b/>
                <w:sz w:val="24"/>
              </w:rPr>
              <w:t>C + B</w:t>
            </w:r>
          </w:p>
        </w:tc>
        <w:tc>
          <w:tcPr>
            <w:tcW w:type="dxa" w:w="2646"/>
          </w:tcPr>
          <w:p>
            <w:pPr>
              <w:spacing w:after="40" w:line="240" w:lineRule="auto"/>
            </w:pPr>
            <w:r>
              <w:rPr>
                <w:rFonts w:ascii="Times New Roman" w:hAnsi="Times New Roman"/>
                <w:sz w:val="24"/>
              </w:rPr>
              <w:t>Disisipkan Tabel 4 dan 5 (C) serta Tabel 6 (B)</w:t>
            </w:r>
          </w:p>
        </w:tc>
      </w:tr>
      <w:tr>
        <w:tc>
          <w:tcPr>
            <w:tcW w:type="dxa" w:w="2646"/>
          </w:tcPr>
          <w:p>
            <w:pPr>
              <w:spacing w:after="40" w:line="240" w:lineRule="auto"/>
            </w:pPr>
            <w:r>
              <w:rPr>
                <w:rFonts w:ascii="Times New Roman" w:hAnsi="Times New Roman"/>
                <w:sz w:val="24"/>
              </w:rPr>
              <w:t>Bab III.A.2 Subjek</w:t>
            </w:r>
          </w:p>
        </w:tc>
        <w:tc>
          <w:tcPr>
            <w:tcW w:type="dxa" w:w="2646"/>
          </w:tcPr>
          <w:p>
            <w:pPr>
              <w:spacing w:after="40" w:line="240" w:lineRule="auto"/>
            </w:pPr>
            <w:r>
              <w:rPr>
                <w:rFonts w:ascii="Times New Roman" w:hAnsi="Times New Roman"/>
                <w:b/>
                <w:sz w:val="24"/>
              </w:rPr>
              <w:t>C</w:t>
            </w:r>
          </w:p>
        </w:tc>
        <w:tc>
          <w:tcPr>
            <w:tcW w:type="dxa" w:w="2646"/>
          </w:tcPr>
          <w:p>
            <w:pPr>
              <w:spacing w:after="40" w:line="240" w:lineRule="auto"/>
            </w:pPr>
            <w:r>
              <w:rPr>
                <w:rFonts w:ascii="Times New Roman" w:hAnsi="Times New Roman"/>
                <w:sz w:val="24"/>
              </w:rPr>
              <w:t>Disisipkan kriteria kelayakan responden (satu influencer ≥ 6 bulan + satu merek)</w:t>
            </w:r>
          </w:p>
        </w:tc>
      </w:tr>
      <w:tr>
        <w:tc>
          <w:tcPr>
            <w:tcW w:type="dxa" w:w="2646"/>
          </w:tcPr>
          <w:p>
            <w:pPr>
              <w:spacing w:after="40" w:line="240" w:lineRule="auto"/>
            </w:pPr>
            <w:r>
              <w:rPr>
                <w:rFonts w:ascii="Times New Roman" w:hAnsi="Times New Roman"/>
                <w:sz w:val="24"/>
              </w:rPr>
              <w:t>Bab III.B.4 Operasionalisasi</w:t>
            </w:r>
          </w:p>
        </w:tc>
        <w:tc>
          <w:tcPr>
            <w:tcW w:type="dxa" w:w="2646"/>
          </w:tcPr>
          <w:p>
            <w:pPr>
              <w:spacing w:after="40" w:line="240" w:lineRule="auto"/>
            </w:pPr>
            <w:r>
              <w:rPr>
                <w:rFonts w:ascii="Times New Roman" w:hAnsi="Times New Roman"/>
                <w:b/>
                <w:sz w:val="24"/>
              </w:rPr>
              <w:t>C</w:t>
            </w:r>
          </w:p>
        </w:tc>
        <w:tc>
          <w:tcPr>
            <w:tcW w:type="dxa" w:w="2646"/>
          </w:tcPr>
          <w:p>
            <w:pPr>
              <w:spacing w:after="40" w:line="240" w:lineRule="auto"/>
            </w:pPr>
            <w:r>
              <w:rPr>
                <w:rFonts w:ascii="Times New Roman" w:hAnsi="Times New Roman"/>
                <w:sz w:val="24"/>
              </w:rPr>
              <w:t>Disisipkan Tabel 9 (kisi-kisi butir)</w:t>
            </w:r>
          </w:p>
        </w:tc>
      </w:tr>
      <w:tr>
        <w:tc>
          <w:tcPr>
            <w:tcW w:type="dxa" w:w="2646"/>
          </w:tcPr>
          <w:p>
            <w:pPr>
              <w:spacing w:after="40" w:line="240" w:lineRule="auto"/>
            </w:pPr>
            <w:r>
              <w:rPr>
                <w:rFonts w:ascii="Times New Roman" w:hAnsi="Times New Roman"/>
                <w:sz w:val="24"/>
              </w:rPr>
              <w:t>Bab III.B.5 Sampel</w:t>
            </w:r>
          </w:p>
        </w:tc>
        <w:tc>
          <w:tcPr>
            <w:tcW w:type="dxa" w:w="2646"/>
          </w:tcPr>
          <w:p>
            <w:pPr>
              <w:spacing w:after="40" w:line="240" w:lineRule="auto"/>
            </w:pPr>
            <w:r>
              <w:rPr>
                <w:rFonts w:ascii="Times New Roman" w:hAnsi="Times New Roman"/>
                <w:sz w:val="24"/>
              </w:rPr>
              <w:t xml:space="preserve">A + </w:t>
            </w:r>
            <w:r>
              <w:rPr>
                <w:rFonts w:ascii="Times New Roman" w:hAnsi="Times New Roman"/>
                <w:b/>
                <w:sz w:val="24"/>
              </w:rPr>
              <w:t>C</w:t>
            </w:r>
          </w:p>
        </w:tc>
        <w:tc>
          <w:tcPr>
            <w:tcW w:type="dxa" w:w="2646"/>
          </w:tcPr>
          <w:p>
            <w:pPr>
              <w:spacing w:after="40" w:line="240" w:lineRule="auto"/>
            </w:pPr>
            <w:r>
              <w:rPr>
                <w:rFonts w:ascii="Times New Roman" w:hAnsi="Times New Roman"/>
                <w:sz w:val="24"/>
              </w:rPr>
              <w:t>Pernyataan A dipertahankan; Tabel 10 (C) disertakan</w:t>
            </w:r>
          </w:p>
        </w:tc>
      </w:tr>
      <w:tr>
        <w:tc>
          <w:tcPr>
            <w:tcW w:type="dxa" w:w="2646"/>
          </w:tcPr>
          <w:p>
            <w:pPr>
              <w:spacing w:after="40" w:line="240" w:lineRule="auto"/>
            </w:pPr>
            <w:r>
              <w:rPr>
                <w:rFonts w:ascii="Times New Roman" w:hAnsi="Times New Roman"/>
                <w:sz w:val="24"/>
              </w:rPr>
              <w:t>Bab III.D.2 Model pengukuran</w:t>
            </w:r>
          </w:p>
        </w:tc>
        <w:tc>
          <w:tcPr>
            <w:tcW w:type="dxa" w:w="2646"/>
          </w:tcPr>
          <w:p>
            <w:pPr>
              <w:spacing w:after="40" w:line="240" w:lineRule="auto"/>
            </w:pPr>
            <w:r>
              <w:rPr>
                <w:rFonts w:ascii="Times New Roman" w:hAnsi="Times New Roman"/>
                <w:b/>
                <w:sz w:val="24"/>
              </w:rPr>
              <w:t>B</w:t>
            </w:r>
          </w:p>
        </w:tc>
        <w:tc>
          <w:tcPr>
            <w:tcW w:type="dxa" w:w="2646"/>
          </w:tcPr>
          <w:p>
            <w:pPr>
              <w:spacing w:after="40" w:line="240" w:lineRule="auto"/>
            </w:pPr>
            <w:r>
              <w:rPr>
                <w:rFonts w:ascii="Times New Roman" w:hAnsi="Times New Roman"/>
                <w:sz w:val="24"/>
              </w:rPr>
              <w:t>Disisipkan Tabel 12 (acuan evaluasi pengukuran)</w:t>
            </w:r>
          </w:p>
        </w:tc>
      </w:tr>
      <w:tr>
        <w:tc>
          <w:tcPr>
            <w:tcW w:type="dxa" w:w="2646"/>
          </w:tcPr>
          <w:p>
            <w:pPr>
              <w:spacing w:after="40" w:line="240" w:lineRule="auto"/>
            </w:pPr>
            <w:r>
              <w:rPr>
                <w:rFonts w:ascii="Times New Roman" w:hAnsi="Times New Roman"/>
                <w:sz w:val="24"/>
              </w:rPr>
              <w:t>Bab III.D.5 Pengujian hipotesis</w:t>
            </w:r>
          </w:p>
        </w:tc>
        <w:tc>
          <w:tcPr>
            <w:tcW w:type="dxa" w:w="2646"/>
          </w:tcPr>
          <w:p>
            <w:pPr>
              <w:spacing w:after="40" w:line="240" w:lineRule="auto"/>
            </w:pPr>
            <w:r>
              <w:rPr>
                <w:rFonts w:ascii="Times New Roman" w:hAnsi="Times New Roman"/>
                <w:b/>
                <w:sz w:val="24"/>
              </w:rPr>
              <w:t>C</w:t>
            </w:r>
          </w:p>
        </w:tc>
        <w:tc>
          <w:tcPr>
            <w:tcW w:type="dxa" w:w="2646"/>
          </w:tcPr>
          <w:p>
            <w:pPr>
              <w:spacing w:after="40" w:line="240" w:lineRule="auto"/>
            </w:pPr>
            <w:r>
              <w:rPr>
                <w:rFonts w:ascii="Times New Roman" w:hAnsi="Times New Roman"/>
                <w:sz w:val="24"/>
              </w:rPr>
              <w:t>Disisipkan Tabel 13 (aturan keputusan uji + pelaporan bila tidak didukung)</w:t>
            </w:r>
          </w:p>
        </w:tc>
      </w:tr>
      <w:tr>
        <w:tc>
          <w:tcPr>
            <w:tcW w:type="dxa" w:w="2646"/>
          </w:tcPr>
          <w:p>
            <w:pPr>
              <w:spacing w:after="40" w:line="240" w:lineRule="auto"/>
            </w:pPr>
            <w:r>
              <w:rPr>
                <w:rFonts w:ascii="Times New Roman" w:hAnsi="Times New Roman"/>
                <w:sz w:val="24"/>
              </w:rPr>
              <w:t>Bab III.D.9 Kovariat</w:t>
            </w:r>
          </w:p>
        </w:tc>
        <w:tc>
          <w:tcPr>
            <w:tcW w:type="dxa" w:w="2646"/>
          </w:tcPr>
          <w:p>
            <w:pPr>
              <w:spacing w:after="40" w:line="240" w:lineRule="auto"/>
            </w:pPr>
            <w:r>
              <w:rPr>
                <w:rFonts w:ascii="Times New Roman" w:hAnsi="Times New Roman"/>
                <w:b/>
                <w:sz w:val="24"/>
              </w:rPr>
              <w:t>C</w:t>
            </w:r>
          </w:p>
        </w:tc>
        <w:tc>
          <w:tcPr>
            <w:tcW w:type="dxa" w:w="2646"/>
          </w:tcPr>
          <w:p>
            <w:pPr>
              <w:spacing w:after="40" w:line="240" w:lineRule="auto"/>
            </w:pPr>
            <w:r>
              <w:rPr>
                <w:rFonts w:ascii="Times New Roman" w:hAnsi="Times New Roman"/>
                <w:sz w:val="24"/>
              </w:rPr>
              <w:t>Disisipkan sebagai sub-bagian baru</w:t>
            </w:r>
          </w:p>
        </w:tc>
      </w:tr>
      <w:tr>
        <w:tc>
          <w:tcPr>
            <w:tcW w:type="dxa" w:w="2646"/>
          </w:tcPr>
          <w:p>
            <w:pPr>
              <w:spacing w:after="40" w:line="240" w:lineRule="auto"/>
            </w:pPr>
            <w:r>
              <w:rPr>
                <w:rFonts w:ascii="Times New Roman" w:hAnsi="Times New Roman"/>
                <w:sz w:val="24"/>
              </w:rPr>
              <w:t>Lampiran 1–5</w:t>
            </w:r>
          </w:p>
        </w:tc>
        <w:tc>
          <w:tcPr>
            <w:tcW w:type="dxa" w:w="2646"/>
          </w:tcPr>
          <w:p>
            <w:pPr>
              <w:spacing w:after="40" w:line="240" w:lineRule="auto"/>
            </w:pPr>
            <w:r>
              <w:rPr>
                <w:rFonts w:ascii="Times New Roman" w:hAnsi="Times New Roman"/>
                <w:sz w:val="24"/>
              </w:rPr>
              <w:t>A</w:t>
            </w:r>
          </w:p>
        </w:tc>
        <w:tc>
          <w:tcPr>
            <w:tcW w:type="dxa" w:w="2646"/>
          </w:tcPr>
          <w:p>
            <w:pPr>
              <w:spacing w:after="40" w:line="240" w:lineRule="auto"/>
            </w:pPr>
            <w:r>
              <w:rPr>
                <w:rFonts w:ascii="Times New Roman" w:hAnsi="Times New Roman"/>
                <w:sz w:val="24"/>
              </w:rPr>
              <w:t>Dipertahankan</w:t>
            </w:r>
          </w:p>
        </w:tc>
      </w:tr>
      <w:tr>
        <w:tc>
          <w:tcPr>
            <w:tcW w:type="dxa" w:w="2646"/>
          </w:tcPr>
          <w:p>
            <w:pPr>
              <w:spacing w:after="40" w:line="240" w:lineRule="auto"/>
            </w:pPr>
            <w:r>
              <w:rPr>
                <w:rFonts w:ascii="Times New Roman" w:hAnsi="Times New Roman"/>
                <w:sz w:val="24"/>
              </w:rPr>
              <w:t>Lampiran 6 Protokol praregistrasi</w:t>
            </w:r>
          </w:p>
        </w:tc>
        <w:tc>
          <w:tcPr>
            <w:tcW w:type="dxa" w:w="2646"/>
          </w:tcPr>
          <w:p>
            <w:pPr>
              <w:spacing w:after="40" w:line="240" w:lineRule="auto"/>
            </w:pPr>
            <w:r>
              <w:rPr>
                <w:rFonts w:ascii="Times New Roman" w:hAnsi="Times New Roman"/>
                <w:b/>
                <w:sz w:val="24"/>
              </w:rPr>
              <w:t>C</w:t>
            </w:r>
          </w:p>
        </w:tc>
        <w:tc>
          <w:tcPr>
            <w:tcW w:type="dxa" w:w="2646"/>
          </w:tcPr>
          <w:p>
            <w:pPr>
              <w:spacing w:after="40" w:line="240" w:lineRule="auto"/>
            </w:pPr>
            <w:r>
              <w:rPr>
                <w:rFonts w:ascii="Times New Roman" w:hAnsi="Times New Roman"/>
                <w:sz w:val="24"/>
              </w:rPr>
              <w:t>Dicantumkan sebagai butir ringkas lampiran</w:t>
            </w:r>
          </w:p>
        </w:tc>
      </w:tr>
      <w:tr>
        <w:tc>
          <w:tcPr>
            <w:tcW w:type="dxa" w:w="2646"/>
          </w:tcPr>
          <w:p>
            <w:pPr>
              <w:spacing w:after="40" w:line="240" w:lineRule="auto"/>
            </w:pPr>
            <w:r>
              <w:rPr>
                <w:rFonts w:ascii="Times New Roman" w:hAnsi="Times New Roman"/>
                <w:sz w:val="24"/>
              </w:rPr>
              <w:t>Daftar pustaka</w:t>
            </w:r>
          </w:p>
        </w:tc>
        <w:tc>
          <w:tcPr>
            <w:tcW w:type="dxa" w:w="2646"/>
          </w:tcPr>
          <w:p>
            <w:pPr>
              <w:spacing w:after="40" w:line="240" w:lineRule="auto"/>
            </w:pPr>
            <w:r>
              <w:rPr>
                <w:rFonts w:ascii="Times New Roman" w:hAnsi="Times New Roman"/>
                <w:sz w:val="24"/>
              </w:rPr>
              <w:t>A + B + C</w:t>
            </w:r>
          </w:p>
        </w:tc>
        <w:tc>
          <w:tcPr>
            <w:tcW w:type="dxa" w:w="2646"/>
          </w:tcPr>
          <w:p>
            <w:pPr>
              <w:spacing w:after="40" w:line="240" w:lineRule="auto"/>
            </w:pPr>
            <w:r>
              <w:rPr>
                <w:rFonts w:ascii="Times New Roman" w:hAnsi="Times New Roman"/>
                <w:sz w:val="24"/>
              </w:rPr>
              <w:t>Digabungkan otomatis, duplikasi dibuang (lihat butir 4)</w:t>
            </w:r>
          </w:p>
        </w:tc>
      </w:tr>
    </w:tbl>
    <w:p/>
    <w:p>
      <w:pPr>
        <w:pStyle w:val="Heading2"/>
      </w:pPr>
      <w:r>
        <w:rPr>
          <w:rFonts w:ascii="Times New Roman" w:hAnsi="Times New Roman"/>
          <w:sz w:val="24"/>
        </w:rPr>
        <w:t>4. Perlakuan tabel dan daftar pustaka pada naskah gabungan</w:t>
      </w:r>
    </w:p>
    <w:p>
      <w:r>
        <w:rPr>
          <w:rFonts w:ascii="Times New Roman" w:hAnsi="Times New Roman"/>
          <w:b/>
          <w:sz w:val="24"/>
        </w:rPr>
        <w:t>Tabel (15 buah, dinomori ulang sesuai urutan kemunculan).</w:t>
      </w:r>
    </w:p>
    <w:p>
      <w:pPr>
        <w:pStyle w:val="ListNumber"/>
        <w:spacing w:after="40" w:line="360" w:lineRule="auto"/>
      </w:pPr>
      <w:r>
        <w:rPr>
          <w:rFonts w:ascii="Times New Roman" w:hAnsi="Times New Roman"/>
          <w:b/>
          <w:sz w:val="24"/>
        </w:rPr>
        <w:t>Direkonstruksi dari PDF sumber:</w:t>
      </w:r>
      <w:r>
        <w:rPr>
          <w:rFonts w:ascii="Times New Roman" w:hAnsi="Times New Roman"/>
          <w:sz w:val="24"/>
        </w:rPr>
        <w:t xml:space="preserve"> Tabel 1 (sintesis bukti empiris), 3 (ringkasan hipotesis), 7 (operasionalisasi konstruk), 8 (sumber konseptual tiap butir), 11 (tahapan penilaian instrumen), 14 (rencana biaya), dan 15 (jadwal pelaksanaan). Ketujuh tabel milik A ini pada ekspor PDF kehilangan struktur kolom sehingga tampil sebagai teks berimpit; strukturnya diambil kembali dari PDF asli memakai deteksi geometris.</w:t>
      </w:r>
    </w:p>
    <w:p>
      <w:pPr>
        <w:pStyle w:val="ListNumber"/>
        <w:spacing w:after="40" w:line="360" w:lineRule="auto"/>
      </w:pPr>
      <w:r>
        <w:rPr>
          <w:rFonts w:ascii="Times New Roman" w:hAnsi="Times New Roman"/>
          <w:b/>
          <w:sz w:val="24"/>
        </w:rPr>
        <w:t>Dibuang karena duplikat:</w:t>
      </w:r>
      <w:r>
        <w:rPr>
          <w:rFonts w:ascii="Times New Roman" w:hAnsi="Times New Roman"/>
          <w:sz w:val="24"/>
        </w:rPr>
        <w:t xml:space="preserve"> empat tabel A yang isinya sama dengan tabel transplantasi — kesenjangan penelitian (versi A sama dengan Tabel 2 dari B), pemetaan dimensi (sama dengan Tabel 6 dari B), acuan evaluasi model pengukuran (sama dengan Tabel 12 dari B), dan kriteria pengujian hipotesis (tercakup Tabel 13 dari C yang lebih lengkap: memuat estimand dan pelaporan bila hipotesis tidak didukung).</w:t>
      </w:r>
    </w:p>
    <w:p>
      <w:pPr>
        <w:pStyle w:val="ListNumber"/>
        <w:spacing w:after="40" w:line="360" w:lineRule="auto"/>
      </w:pPr>
      <w:r>
        <w:rPr>
          <w:rFonts w:ascii="Times New Roman" w:hAnsi="Times New Roman"/>
          <w:b/>
          <w:sz w:val="24"/>
        </w:rPr>
        <w:t>Nomor tabel pada catatan "Diadaptasi dari berkas …"</w:t>
      </w:r>
      <w:r>
        <w:rPr>
          <w:rFonts w:ascii="Times New Roman" w:hAnsi="Times New Roman"/>
          <w:sz w:val="24"/>
        </w:rPr>
        <w:t xml:space="preserve"> merujuk pada penomoran </w:t>
      </w:r>
      <w:r>
        <w:rPr>
          <w:rFonts w:ascii="Times New Roman" w:hAnsi="Times New Roman"/>
          <w:b/>
          <w:sz w:val="24"/>
        </w:rPr>
        <w:t>berkas sumber</w:t>
      </w:r>
      <w:r>
        <w:rPr>
          <w:rFonts w:ascii="Times New Roman" w:hAnsi="Times New Roman"/>
          <w:sz w:val="24"/>
        </w:rPr>
        <w:t>, bukan penomoran naskah gabungan. Selaraskan bila Anda mengubah urutan tabel.</w:t>
      </w:r>
    </w:p>
    <w:p>
      <w:r>
        <w:rPr>
          <w:rFonts w:ascii="Times New Roman" w:hAnsi="Times New Roman"/>
          <w:b/>
          <w:sz w:val="24"/>
        </w:rPr>
        <w:t>Daftar pustaka.</w:t>
      </w:r>
    </w:p>
    <w:p>
      <w:pPr>
        <w:pStyle w:val="ListNumber"/>
        <w:spacing w:after="40" w:line="360" w:lineRule="auto"/>
      </w:pPr>
      <w:r>
        <w:rPr>
          <w:rFonts w:ascii="Times New Roman" w:hAnsi="Times New Roman"/>
          <w:sz w:val="24"/>
        </w:rPr>
        <w:t xml:space="preserve">Daftar pustaka digabungkan dari ketiga berkas: 57 entri A + 51 entri B + 61 entri C → </w:t>
      </w:r>
      <w:r>
        <w:rPr>
          <w:rFonts w:ascii="Times New Roman" w:hAnsi="Times New Roman"/>
          <w:b/>
          <w:sz w:val="24"/>
        </w:rPr>
        <w:t>70 rujukan unik</w:t>
      </w:r>
      <w:r>
        <w:rPr>
          <w:rFonts w:ascii="Times New Roman" w:hAnsi="Times New Roman"/>
          <w:sz w:val="24"/>
        </w:rPr>
        <w:t>, urut abjad, duplikasi dibuang (51 rujukan muncul di ≥ 2 berkas; 6 rujukan hanya pada A; 13 hanya pada C). Yang masih perlu Anda kerjakan: memeriksa kesesuaian gaya selingkung (APA), memastikan setiap sitasi dalam teks ada padanannya, dan merapikan indentasi menggantung di Word.</w:t>
      </w:r>
    </w:p>
    <w:p>
      <w:pPr>
        <w:pStyle w:val="Heading2"/>
      </w:pPr>
      <w:r>
        <w:rPr>
          <w:rFonts w:ascii="Times New Roman" w:hAnsi="Times New Roman"/>
          <w:sz w:val="24"/>
        </w:rPr>
        <w:t>5. Yang belum dimasukkan dan sebaiknya Anda lengkapi</w:t>
      </w:r>
    </w:p>
    <w:p>
      <w:pPr>
        <w:pStyle w:val="ListNumber"/>
        <w:spacing w:after="40" w:line="360" w:lineRule="auto"/>
      </w:pPr>
      <w:r>
        <w:rPr>
          <w:rFonts w:ascii="Times New Roman" w:hAnsi="Times New Roman"/>
          <w:b/>
          <w:sz w:val="24"/>
        </w:rPr>
        <w:t>Gambar 1 (model mediasi berurutan)</w:t>
      </w:r>
      <w:r>
        <w:rPr>
          <w:rFonts w:ascii="Times New Roman" w:hAnsi="Times New Roman"/>
          <w:sz w:val="24"/>
        </w:rPr>
        <w:t xml:space="preserve"> dan </w:t>
      </w:r>
      <w:r>
        <w:rPr>
          <w:rFonts w:ascii="Times New Roman" w:hAnsi="Times New Roman"/>
          <w:b/>
          <w:sz w:val="24"/>
        </w:rPr>
        <w:t>Gambar 2 (alur pelaksanaan penelitian)</w:t>
      </w:r>
      <w:r>
        <w:rPr>
          <w:rFonts w:ascii="Times New Roman" w:hAnsi="Times New Roman"/>
          <w:sz w:val="24"/>
        </w:rPr>
        <w:t xml:space="preserve"> belum tercantum karena berupa gambar pada berkas sumber; tempelkan gambar aslinya pada penanda yang tersedia.</w:t>
      </w:r>
    </w:p>
    <w:p>
      <w:pPr>
        <w:pStyle w:val="ListNumber"/>
        <w:spacing w:after="40" w:line="360" w:lineRule="auto"/>
      </w:pPr>
      <w:r>
        <w:rPr>
          <w:rFonts w:ascii="Times New Roman" w:hAnsi="Times New Roman"/>
          <w:b/>
          <w:sz w:val="24"/>
        </w:rPr>
        <w:t>Protokol praregistrasi lengkap</w:t>
      </w:r>
      <w:r>
        <w:rPr>
          <w:rFonts w:ascii="Times New Roman" w:hAnsi="Times New Roman"/>
          <w:sz w:val="24"/>
        </w:rPr>
        <w:t xml:space="preserve"> dari C sebaiknya disalin utuh dari berkas sumber, bukan hanya butir ringkasannya.</w:t>
      </w:r>
    </w:p>
    <w:p>
      <w:pPr>
        <w:pStyle w:val="ListNumber"/>
        <w:spacing w:after="40" w:line="360" w:lineRule="auto"/>
      </w:pPr>
      <w:r>
        <w:rPr>
          <w:rFonts w:ascii="Times New Roman" w:hAnsi="Times New Roman"/>
          <w:b/>
          <w:sz w:val="24"/>
        </w:rPr>
        <w:t>Pemenggalan paragraf</w:t>
      </w:r>
      <w:r>
        <w:rPr>
          <w:rFonts w:ascii="Times New Roman" w:hAnsi="Times New Roman"/>
          <w:sz w:val="24"/>
        </w:rPr>
        <w:t xml:space="preserve"> hasil penggabungan ini disusun otomatis dari berkas PDF; periksa paragraf yang terpotong tidak pada tempatnya.</w:t>
      </w:r>
    </w:p>
    <w:p>
      <w:pPr>
        <w:pStyle w:val="ListNumber"/>
        <w:spacing w:after="40" w:line="360" w:lineRule="auto"/>
      </w:pPr>
      <w:r>
        <w:rPr>
          <w:rFonts w:ascii="Times New Roman" w:hAnsi="Times New Roman"/>
          <w:b/>
          <w:sz w:val="24"/>
        </w:rPr>
        <w:t>Audit bahasa kausal</w:t>
      </w:r>
      <w:r>
        <w:rPr>
          <w:rFonts w:ascii="Times New Roman" w:hAnsi="Times New Roman"/>
          <w:sz w:val="24"/>
        </w:rPr>
        <w:t xml:space="preserve"> pada judul sub-bab dan Ringkasan: ganti istilah seperti "dampak", "pengaruh", "menyebabkan" menjadi "hubungan", "keterkaitan", atau "asosiasi", sesuai disiplin yang sudah dipakai pada naskah Anda.</w:t>
      </w:r>
    </w:p>
    <w:p>
      <w:pPr>
        <w:pStyle w:val="ListNumber"/>
        <w:spacing w:after="40" w:line="360" w:lineRule="auto"/>
      </w:pPr>
      <w:r>
        <w:rPr>
          <w:rFonts w:ascii="Times New Roman" w:hAnsi="Times New Roman"/>
          <w:b/>
          <w:sz w:val="24"/>
        </w:rPr>
        <w:t>Daftar tabel, daftar gambar, dan daftar isi</w:t>
      </w:r>
      <w:r>
        <w:rPr>
          <w:rFonts w:ascii="Times New Roman" w:hAnsi="Times New Roman"/>
          <w:sz w:val="24"/>
        </w:rPr>
        <w:t xml:space="preserve"> pada naskah gabungan ini dibangkitkan otomatis oleh Word; perbarui setelah penyuntingan manual.</w:t>
      </w:r>
    </w:p>
    <w:p>
      <w:pPr>
        <w:pStyle w:val="ListNumber"/>
        <w:spacing w:after="40" w:line="360" w:lineRule="auto"/>
      </w:pPr>
      <w:r>
        <w:rPr>
          <w:rFonts w:ascii="Times New Roman" w:hAnsi="Times New Roman"/>
          <w:b/>
          <w:sz w:val="24"/>
        </w:rPr>
        <w:t>Pernyataan penggunaan AI</w:t>
      </w:r>
      <w:r>
        <w:rPr>
          <w:rFonts w:ascii="Times New Roman" w:hAnsi="Times New Roman"/>
          <w:sz w:val="24"/>
        </w:rPr>
        <w:t xml:space="preserve"> bila diwajibkan oleh program studi.</w:t>
      </w:r>
    </w:p>
    <w:p>
      <w:pPr>
        <w:pStyle w:val="Heading2"/>
      </w:pPr>
      <w:r>
        <w:rPr>
          <w:rFonts w:ascii="Times New Roman" w:hAnsi="Times New Roman"/>
          <w:sz w:val="24"/>
        </w:rPr>
        <w:t>6. Verdict LeapSpace yang menjadi dasar penggabungan</w:t>
      </w:r>
    </w:p>
    <w:p>
      <w:pPr>
        <w:pStyle w:val="ListBullet"/>
        <w:spacing w:after="40" w:line="360" w:lineRule="auto"/>
      </w:pPr>
      <w:r>
        <w:rPr>
          <w:rFonts w:ascii="Times New Roman" w:hAnsi="Times New Roman"/>
          <w:b/>
          <w:sz w:val="24"/>
        </w:rPr>
        <w:t>Completeness:</w:t>
      </w:r>
      <w:r>
        <w:rPr>
          <w:rFonts w:ascii="Times New Roman" w:hAnsi="Times New Roman"/>
          <w:sz w:val="24"/>
        </w:rPr>
        <w:t xml:space="preserve"> berkas A dinilai paling lengkap — hipotesis eksplisit (H1–H5), pembatasan interpretasi tegas, 39 butir inti + 4 butir global, PLS-SEM dua tahap, target 385 respons, konteks sampel spesifik.</w:t>
      </w:r>
    </w:p>
    <w:p>
      <w:pPr>
        <w:pStyle w:val="ListBullet"/>
        <w:spacing w:after="40" w:line="360" w:lineRule="auto"/>
      </w:pPr>
      <w:r>
        <w:rPr>
          <w:rFonts w:ascii="Times New Roman" w:hAnsi="Times New Roman"/>
          <w:b/>
          <w:sz w:val="24"/>
        </w:rPr>
        <w:t>Readiness:</w:t>
      </w:r>
      <w:r>
        <w:rPr>
          <w:rFonts w:ascii="Times New Roman" w:hAnsi="Times New Roman"/>
          <w:sz w:val="24"/>
        </w:rPr>
        <w:t xml:space="preserve"> A dinilai sedikit lebih siap untuk seminar; keduanya belum final sampai (i) batas konstruk dikunci pada tingkat item, (ii) klaim kausal dilunakkan, dan (iii) validitas diskriminan dibuktikan, bukan hanya direncanakan.</w:t>
      </w:r>
    </w:p>
    <w:p>
      <w:pPr>
        <w:pStyle w:val="ListBullet"/>
        <w:spacing w:after="40" w:line="360" w:lineRule="auto"/>
      </w:pPr>
      <w:r>
        <w:rPr>
          <w:rFonts w:ascii="Times New Roman" w:hAnsi="Times New Roman"/>
          <w:b/>
          <w:sz w:val="24"/>
        </w:rPr>
        <w:t>Integration:</w:t>
      </w:r>
      <w:r>
        <w:rPr>
          <w:rFonts w:ascii="Times New Roman" w:hAnsi="Times New Roman"/>
          <w:sz w:val="24"/>
        </w:rPr>
        <w:t xml:space="preserve"> gabungkan secara selektif — kerangka mekanisme dan definisi konstruk dari satu berkas, ketelitian metodologi dan kesiapan instrumen dari berkas lain; jangan menduplikasi hipotesis atau definisi; instrumen dan lampiran dilengkapi, termasuk pilihan respons dan penanganan jawaban "tidak dapat menilai".</w:t>
      </w:r>
    </w:p>
    <w:p>
      <w:pPr>
        <w:pStyle w:val="ListBullet"/>
        <w:spacing w:after="40" w:line="360" w:lineRule="auto"/>
      </w:pPr>
      <w:r>
        <w:rPr>
          <w:rFonts w:ascii="Times New Roman" w:hAnsi="Times New Roman"/>
          <w:b/>
          <w:sz w:val="24"/>
        </w:rPr>
        <w:t>Comparison of versions:</w:t>
      </w:r>
      <w:r>
        <w:rPr>
          <w:rFonts w:ascii="Times New Roman" w:hAnsi="Times New Roman"/>
          <w:sz w:val="24"/>
        </w:rPr>
        <w:t xml:space="preserve"> berkas C unggul pada operasionalisasi konstruk dan pemisahan objek butir (termasuk pembeda kredibilitas merek versus keterpercayaan influencer); berkas A unggul pada kesiapan metodologi dan rencana analisis.</w:t>
      </w:r>
    </w:p>
    <w:p>
      <w:pPr>
        <w:pStyle w:val="Heading2"/>
      </w:pPr>
      <w:r>
        <w:rPr>
          <w:rFonts w:ascii="Times New Roman" w:hAnsi="Times New Roman"/>
          <w:sz w:val="24"/>
        </w:rPr>
        <w:t>7. Tiga hal yang sudah dikerjakan ketiga berkas (tidak diulang lagi)</w:t>
      </w:r>
    </w:p>
    <w:p>
      <w:pPr>
        <w:pStyle w:val="ListNumber"/>
        <w:spacing w:after="40" w:line="360" w:lineRule="auto"/>
      </w:pPr>
      <w:r>
        <w:rPr>
          <w:rFonts w:ascii="Times New Roman" w:hAnsi="Times New Roman"/>
          <w:b/>
          <w:sz w:val="24"/>
        </w:rPr>
        <w:t>Pembedaan objek penilaian KI / HP / AM / AMD</w:t>
      </w:r>
      <w:r>
        <w:rPr>
          <w:rFonts w:ascii="Times New Roman" w:hAnsi="Times New Roman"/>
          <w:sz w:val="24"/>
        </w:rPr>
        <w:t xml:space="preserve"> — ada di ketiganya; C paling tegas melalui batas antarobjek pada tabel definisi operasionalnya.</w:t>
      </w:r>
    </w:p>
    <w:p>
      <w:pPr>
        <w:pStyle w:val="ListNumber"/>
        <w:spacing w:after="40" w:line="360" w:lineRule="auto"/>
      </w:pPr>
      <w:r>
        <w:rPr>
          <w:rFonts w:ascii="Times New Roman" w:hAnsi="Times New Roman"/>
          <w:b/>
          <w:sz w:val="24"/>
        </w:rPr>
        <w:t>Batas klaim kausal</w:t>
      </w:r>
      <w:r>
        <w:rPr>
          <w:rFonts w:ascii="Times New Roman" w:hAnsi="Times New Roman"/>
          <w:sz w:val="24"/>
        </w:rPr>
        <w:t xml:space="preserve"> — ketiganya menyatakan bahwa survei satu gelombang tidak membuktikan urutan kausal.</w:t>
      </w:r>
    </w:p>
    <w:p>
      <w:pPr>
        <w:pStyle w:val="ListNumber"/>
        <w:spacing w:after="40" w:line="360" w:lineRule="auto"/>
      </w:pPr>
      <w:r>
        <w:rPr>
          <w:rFonts w:ascii="Times New Roman" w:hAnsi="Times New Roman"/>
          <w:b/>
          <w:sz w:val="24"/>
        </w:rPr>
        <w:t>HTMT dengan interval bootstrap</w:t>
      </w:r>
      <w:r>
        <w:rPr>
          <w:rFonts w:ascii="Times New Roman" w:hAnsi="Times New Roman"/>
          <w:sz w:val="24"/>
        </w:rPr>
        <w:t xml:space="preserve"> — ada di ketiganya; B paling lengkap karena memuat kolom cara pengambilan keputusan.</w:t>
      </w:r>
    </w:p>
    <w:sectPr w:rsidR="00FC693F" w:rsidRPr="0006063C" w:rsidSect="00034616">
      <w:pgSz w:w="11906" w:h="16838"/>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jc w:val="left"/>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jc w:val="left"/>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240" w:lineRule="auto"/>
      <w:jc w:val="left"/>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