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4"/>
        </w:rPr>
        <w:t>PANDUAN PENULISAN LAPORAN STUDI KASUS</w:t>
      </w:r>
    </w:p>
    <w:p>
      <w:pPr>
        <w:jc w:val="center"/>
      </w:pPr>
      <w:r>
        <w:rPr>
          <w:rFonts w:ascii="Times New Roman" w:hAnsi="Times New Roman"/>
          <w:b/>
          <w:sz w:val="32"/>
        </w:rPr>
        <w:t>CASE 4: ARMADA BANYAK,</w:t>
        <w:br/>
        <w:t>PENGIRIMAN TETAP TERLAMBAT</w:t>
      </w:r>
    </w:p>
    <w:p/>
    <w:p/>
    <w:p/>
    <w:p>
      <w:pPr>
        <w:jc w:val="center"/>
      </w:pPr>
      <w:r>
        <w:t>Panduan praktis menyusun laporan secara manual</w:t>
        <w:br/>
        <w:t>berdasarkan data dan batasan dalam studi kasus</w:t>
      </w:r>
    </w:p>
    <w:p/>
    <w:p/>
    <w:p/>
    <w:p/>
    <w:p>
      <w:pPr>
        <w:jc w:val="center"/>
      </w:pPr>
      <w:r>
        <w:t>2026</w:t>
      </w:r>
    </w:p>
    <w:p>
      <w:r>
        <w:br w:type="page"/>
      </w:r>
    </w:p>
    <w:p>
      <w:pPr>
        <w:pStyle w:val="Heading1"/>
      </w:pPr>
      <w:r>
        <w:t>TUJUAN DAN CARA MENGGUNAKAN PANDUAN</w:t>
      </w:r>
    </w:p>
    <w:p>
      <w:r>
        <w:rPr>
          <w:b w:val="0"/>
        </w:rPr>
        <w:t>Panduan ini membantu menyusun laporan Case 4 secara bertahap, mulai dari ekstraksi fakta hingga daftar pustaka. Struktur laporan mengikuti format tugas: Ringkasan, Bab I–VI, dan Daftar Pustaka. Gunakan panduan sebagai kerangka; tulis isi akhir dengan bahasa dan analisis sendiri.</w:t>
      </w:r>
    </w:p>
    <w:p>
      <w:r>
        <w:rPr>
          <w:b w:val="0"/>
        </w:rPr>
        <w:t>Penting: jangan mengarang data yang tidak tersedia. Pisahkan fakta kasus, hasil perhitungan, target dalam soal, asumsi tambahan, dan data yang masih harus dikumpulkan. Target pengurangan jarak 15% adalah sasaran kasus, bukan hasil yang sudah terbukti.</w:t>
      </w:r>
    </w:p>
    <w:p>
      <w:pPr>
        <w:pStyle w:val="Heading2"/>
      </w:pPr>
      <w:r>
        <w:t>Tahap 1. Ekstrak dan kelompokkan informasi</w:t>
      </w:r>
    </w:p>
    <w:tbl>
      <w:tblPr>
        <w:tblStyle w:val="TableGrid"/>
        <w:tblW w:type="auto" w:w="0"/>
        <w:jc w:val="center"/>
        <w:tblLook w:firstColumn="1" w:firstRow="1" w:lastColumn="0" w:lastRow="0" w:noHBand="0" w:noVBand="1" w:val="04A0"/>
      </w:tblPr>
      <w:tblGrid>
        <w:gridCol w:w="4680"/>
        <w:gridCol w:w="4680"/>
      </w:tblGrid>
      <w:tr>
        <w:tc>
          <w:tcPr>
            <w:tcW w:type="dxa" w:w="2268"/>
            <w:shd w:fill="D9E2F3"/>
            <w:vAlign w:val="center"/>
          </w:tcPr>
          <w:p>
            <w:pPr>
              <w:spacing w:line="240" w:lineRule="auto" w:after="0"/>
              <w:jc w:val="center"/>
            </w:pPr>
            <w:r>
              <w:rPr>
                <w:rFonts w:ascii="Times New Roman" w:hAnsi="Times New Roman"/>
                <w:b/>
                <w:sz w:val="18"/>
              </w:rPr>
              <w:t>Jenis informasi</w:t>
            </w:r>
          </w:p>
        </w:tc>
        <w:tc>
          <w:tcPr>
            <w:tcW w:type="dxa" w:w="6520"/>
            <w:shd w:fill="D9E2F3"/>
            <w:vAlign w:val="center"/>
          </w:tcPr>
          <w:p>
            <w:pPr>
              <w:spacing w:line="240" w:lineRule="auto" w:after="0"/>
              <w:jc w:val="center"/>
            </w:pPr>
            <w:r>
              <w:rPr>
                <w:rFonts w:ascii="Times New Roman" w:hAnsi="Times New Roman"/>
                <w:b/>
                <w:sz w:val="18"/>
              </w:rPr>
              <w:t>Cara memperlakukannya</w:t>
            </w:r>
          </w:p>
        </w:tc>
      </w:tr>
      <w:tr>
        <w:tc>
          <w:tcPr>
            <w:tcW w:type="dxa" w:w="2268"/>
            <w:tcMar>
              <w:top w:w="75" w:type="dxa"/>
              <w:start w:w="80" w:type="dxa"/>
              <w:bottom w:w="75" w:type="dxa"/>
              <w:end w:w="80" w:type="dxa"/>
            </w:tcMar>
            <w:vAlign w:val="center"/>
          </w:tcPr>
          <w:p>
            <w:pPr>
              <w:spacing w:line="240" w:lineRule="auto" w:after="0"/>
              <w:jc w:val="left"/>
            </w:pPr>
            <w:r>
              <w:rPr>
                <w:rFonts w:ascii="Times New Roman" w:hAnsi="Times New Roman"/>
                <w:sz w:val="18"/>
              </w:rPr>
              <w:t>Fakta kasus</w:t>
            </w:r>
          </w:p>
        </w:tc>
        <w:tc>
          <w:tcPr>
            <w:tcW w:type="dxa" w:w="6520"/>
            <w:tcMar>
              <w:top w:w="75" w:type="dxa"/>
              <w:start w:w="80" w:type="dxa"/>
              <w:bottom w:w="75" w:type="dxa"/>
              <w:end w:w="80" w:type="dxa"/>
            </w:tcMar>
            <w:vAlign w:val="center"/>
          </w:tcPr>
          <w:p>
            <w:pPr>
              <w:spacing w:line="240" w:lineRule="auto" w:after="0"/>
              <w:jc w:val="left"/>
            </w:pPr>
            <w:r>
              <w:rPr>
                <w:rFonts w:ascii="Times New Roman" w:hAnsi="Times New Roman"/>
                <w:sz w:val="18"/>
              </w:rPr>
              <w:t>Angka atau kondisi yang tertulis langsung dalam soal.</w:t>
            </w:r>
          </w:p>
        </w:tc>
      </w:tr>
      <w:tr>
        <w:tc>
          <w:tcPr>
            <w:tcW w:type="dxa" w:w="2268"/>
            <w:tcMar>
              <w:top w:w="75" w:type="dxa"/>
              <w:start w:w="80" w:type="dxa"/>
              <w:bottom w:w="75" w:type="dxa"/>
              <w:end w:w="80" w:type="dxa"/>
            </w:tcMar>
            <w:vAlign w:val="center"/>
          </w:tcPr>
          <w:p>
            <w:pPr>
              <w:spacing w:line="240" w:lineRule="auto" w:after="0"/>
              <w:jc w:val="left"/>
            </w:pPr>
            <w:r>
              <w:rPr>
                <w:rFonts w:ascii="Times New Roman" w:hAnsi="Times New Roman"/>
                <w:sz w:val="18"/>
              </w:rPr>
              <w:t>Hasil perhitungan</w:t>
            </w:r>
          </w:p>
        </w:tc>
        <w:tc>
          <w:tcPr>
            <w:tcW w:type="dxa" w:w="6520"/>
            <w:tcMar>
              <w:top w:w="75" w:type="dxa"/>
              <w:start w:w="80" w:type="dxa"/>
              <w:bottom w:w="75" w:type="dxa"/>
              <w:end w:w="80" w:type="dxa"/>
            </w:tcMar>
            <w:vAlign w:val="center"/>
          </w:tcPr>
          <w:p>
            <w:pPr>
              <w:spacing w:line="240" w:lineRule="auto" w:after="0"/>
              <w:jc w:val="left"/>
            </w:pPr>
            <w:r>
              <w:rPr>
                <w:rFonts w:ascii="Times New Roman" w:hAnsi="Times New Roman"/>
                <w:sz w:val="18"/>
              </w:rPr>
              <w:t>Hasil rumus dari fakta; tuliskan rumus, satuan, dan periode.</w:t>
            </w:r>
          </w:p>
        </w:tc>
      </w:tr>
      <w:tr>
        <w:tc>
          <w:tcPr>
            <w:tcW w:type="dxa" w:w="2268"/>
            <w:tcMar>
              <w:top w:w="75" w:type="dxa"/>
              <w:start w:w="80" w:type="dxa"/>
              <w:bottom w:w="75" w:type="dxa"/>
              <w:end w:w="80" w:type="dxa"/>
            </w:tcMar>
            <w:vAlign w:val="center"/>
          </w:tcPr>
          <w:p>
            <w:pPr>
              <w:spacing w:line="240" w:lineRule="auto" w:after="0"/>
              <w:jc w:val="left"/>
            </w:pPr>
            <w:r>
              <w:rPr>
                <w:rFonts w:ascii="Times New Roman" w:hAnsi="Times New Roman"/>
                <w:sz w:val="18"/>
              </w:rPr>
              <w:t>Target kasus</w:t>
            </w:r>
          </w:p>
        </w:tc>
        <w:tc>
          <w:tcPr>
            <w:tcW w:type="dxa" w:w="6520"/>
            <w:tcMar>
              <w:top w:w="75" w:type="dxa"/>
              <w:start w:w="80" w:type="dxa"/>
              <w:bottom w:w="75" w:type="dxa"/>
              <w:end w:w="80" w:type="dxa"/>
            </w:tcMar>
            <w:vAlign w:val="center"/>
          </w:tcPr>
          <w:p>
            <w:pPr>
              <w:spacing w:line="240" w:lineRule="auto" w:after="0"/>
              <w:jc w:val="left"/>
            </w:pPr>
            <w:r>
              <w:rPr>
                <w:rFonts w:ascii="Times New Roman" w:hAnsi="Times New Roman"/>
                <w:sz w:val="18"/>
              </w:rPr>
              <w:t>Sasaran yang disebutkan dalam soal; jangan disebut hasil aktual.</w:t>
            </w:r>
          </w:p>
        </w:tc>
      </w:tr>
      <w:tr>
        <w:tc>
          <w:tcPr>
            <w:tcW w:type="dxa" w:w="2268"/>
            <w:tcMar>
              <w:top w:w="75" w:type="dxa"/>
              <w:start w:w="80" w:type="dxa"/>
              <w:bottom w:w="75" w:type="dxa"/>
              <w:end w:w="80" w:type="dxa"/>
            </w:tcMar>
            <w:vAlign w:val="center"/>
          </w:tcPr>
          <w:p>
            <w:pPr>
              <w:spacing w:line="240" w:lineRule="auto" w:after="0"/>
              <w:jc w:val="left"/>
            </w:pPr>
            <w:r>
              <w:rPr>
                <w:rFonts w:ascii="Times New Roman" w:hAnsi="Times New Roman"/>
                <w:sz w:val="18"/>
              </w:rPr>
              <w:t>Asumsi</w:t>
            </w:r>
          </w:p>
        </w:tc>
        <w:tc>
          <w:tcPr>
            <w:tcW w:type="dxa" w:w="6520"/>
            <w:tcMar>
              <w:top w:w="75" w:type="dxa"/>
              <w:start w:w="80" w:type="dxa"/>
              <w:bottom w:w="75" w:type="dxa"/>
              <w:end w:w="80" w:type="dxa"/>
            </w:tcMar>
            <w:vAlign w:val="center"/>
          </w:tcPr>
          <w:p>
            <w:pPr>
              <w:spacing w:line="240" w:lineRule="auto" w:after="0"/>
              <w:jc w:val="left"/>
            </w:pPr>
            <w:r>
              <w:rPr>
                <w:rFonts w:ascii="Times New Roman" w:hAnsi="Times New Roman"/>
                <w:sz w:val="18"/>
              </w:rPr>
              <w:t>Tambahan yang diperlukan untuk suatu skenario; beri label dan alasan.</w:t>
            </w:r>
          </w:p>
        </w:tc>
      </w:tr>
      <w:tr>
        <w:tc>
          <w:tcPr>
            <w:tcW w:type="dxa" w:w="2268"/>
            <w:tcMar>
              <w:top w:w="75" w:type="dxa"/>
              <w:start w:w="80" w:type="dxa"/>
              <w:bottom w:w="75" w:type="dxa"/>
              <w:end w:w="80" w:type="dxa"/>
            </w:tcMar>
            <w:vAlign w:val="center"/>
          </w:tcPr>
          <w:p>
            <w:pPr>
              <w:spacing w:line="240" w:lineRule="auto" w:after="0"/>
              <w:jc w:val="left"/>
            </w:pPr>
            <w:r>
              <w:rPr>
                <w:rFonts w:ascii="Times New Roman" w:hAnsi="Times New Roman"/>
                <w:sz w:val="18"/>
              </w:rPr>
              <w:t>Data belum tersedia</w:t>
            </w:r>
          </w:p>
        </w:tc>
        <w:tc>
          <w:tcPr>
            <w:tcW w:type="dxa" w:w="6520"/>
            <w:tcMar>
              <w:top w:w="75" w:type="dxa"/>
              <w:start w:w="80" w:type="dxa"/>
              <w:bottom w:w="75" w:type="dxa"/>
              <w:end w:w="80" w:type="dxa"/>
            </w:tcMar>
            <w:vAlign w:val="center"/>
          </w:tcPr>
          <w:p>
            <w:pPr>
              <w:spacing w:line="240" w:lineRule="auto" w:after="0"/>
              <w:jc w:val="left"/>
            </w:pPr>
            <w:r>
              <w:rPr>
                <w:rFonts w:ascii="Times New Roman" w:hAnsi="Times New Roman"/>
                <w:sz w:val="18"/>
              </w:rPr>
              <w:t>Informasi yang perlu dikumpulkan sebelum keputusan final.</w:t>
            </w:r>
          </w:p>
        </w:tc>
      </w:tr>
    </w:tbl>
    <w:p>
      <w:pPr>
        <w:spacing w:after="0"/>
      </w:pPr>
    </w:p>
    <w:p>
      <w:pPr>
        <w:pStyle w:val="Heading2"/>
      </w:pPr>
      <w:r>
        <w:t>Tahap 2. Petakan proses saat ini</w:t>
      </w:r>
    </w:p>
    <w:p>
      <w:r>
        <w:rPr>
          <w:b w:val="0"/>
        </w:rPr>
        <w:t>Tulis alur kerja dari pesanan diterima sampai pengiriman selesai. Tandai titik keputusan dispatcher, pelaksanaan rute oleh pengemudi, komunikasi keterlambatan, perubahan jadwal pelanggan, serta waktu tunggu. Diagram harus menyederhanakan proses yang benar-benar disebutkan dalam kasus, bukan proses yang diasumsikan.</w:t>
      </w:r>
    </w:p>
    <w:p>
      <w:pPr>
        <w:pStyle w:val="Heading1"/>
      </w:pPr>
      <w:r>
        <w:t>DATA CASE 4 DAN PERHITUNGAN YANG DAPAT DIGUNAKAN</w:t>
      </w:r>
    </w:p>
    <w:p>
      <w:pPr>
        <w:spacing w:line="240" w:lineRule="auto" w:after="60"/>
        <w:jc w:val="center"/>
      </w:pPr>
      <w:r>
        <w:rPr>
          <w:i/>
          <w:sz w:val="20"/>
        </w:rPr>
        <w:t>Tabel 1. Data kuantitatif dan kualitatif dari studi kasus</w:t>
      </w:r>
    </w:p>
    <w:tbl>
      <w:tblPr>
        <w:tblStyle w:val="TableGrid"/>
        <w:tblW w:type="auto" w:w="0"/>
        <w:jc w:val="center"/>
        <w:tblLook w:firstColumn="1" w:firstRow="1" w:lastColumn="0" w:lastRow="0" w:noHBand="0" w:noVBand="1" w:val="04A0"/>
      </w:tblPr>
      <w:tblGrid>
        <w:gridCol w:w="3120"/>
        <w:gridCol w:w="3120"/>
        <w:gridCol w:w="3120"/>
      </w:tblGrid>
      <w:tr>
        <w:tc>
          <w:tcPr>
            <w:tcW w:type="dxa" w:w="1928"/>
            <w:shd w:fill="D9E2F3"/>
            <w:vAlign w:val="center"/>
          </w:tcPr>
          <w:p>
            <w:pPr>
              <w:spacing w:line="240" w:lineRule="auto" w:after="0"/>
              <w:jc w:val="center"/>
            </w:pPr>
            <w:r>
              <w:rPr>
                <w:rFonts w:ascii="Times New Roman" w:hAnsi="Times New Roman"/>
                <w:b/>
                <w:sz w:val="17"/>
              </w:rPr>
              <w:t>Data</w:t>
            </w:r>
          </w:p>
        </w:tc>
        <w:tc>
          <w:tcPr>
            <w:tcW w:type="dxa" w:w="2891"/>
            <w:shd w:fill="D9E2F3"/>
            <w:vAlign w:val="center"/>
          </w:tcPr>
          <w:p>
            <w:pPr>
              <w:spacing w:line="240" w:lineRule="auto" w:after="0"/>
              <w:jc w:val="center"/>
            </w:pPr>
            <w:r>
              <w:rPr>
                <w:rFonts w:ascii="Times New Roman" w:hAnsi="Times New Roman"/>
                <w:b/>
                <w:sz w:val="17"/>
              </w:rPr>
              <w:t>Nilai/kondisi</w:t>
            </w:r>
          </w:p>
        </w:tc>
        <w:tc>
          <w:tcPr>
            <w:tcW w:type="dxa" w:w="3969"/>
            <w:shd w:fill="D9E2F3"/>
            <w:vAlign w:val="center"/>
          </w:tcPr>
          <w:p>
            <w:pPr>
              <w:spacing w:line="240" w:lineRule="auto" w:after="0"/>
              <w:jc w:val="center"/>
            </w:pPr>
            <w:r>
              <w:rPr>
                <w:rFonts w:ascii="Times New Roman" w:hAnsi="Times New Roman"/>
                <w:b/>
                <w:sz w:val="17"/>
              </w:rPr>
              <w:t>Status dan batas penggunaan</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Jumlah kendaraan</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20 kendaraan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beroperasi setiap hari menurut soal.</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Jarak rata-rata</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150 km per kendaraan per hari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kasus; belum ada variasi tiap kendaraan/rute.</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Hari operasi</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26 hari per bulan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gunakan untuk estimasi bulanan.</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Konsumsi BBM</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1 liter per 10 km</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Fakta/skenario kasus; konsumsi aktual dapat berbeda.</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Harga BBM</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Rp10.000 per liter</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Harga simulasi dalam soal, bukan harga aktual.</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Target pengurangan jarak</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15%</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Target kasus; belum merupakan hasil implementasi.</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Batas investasi</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Rp150 juta</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Plafon investasi, bukan biaya solusi yang sudah diketahui.</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Proses sekarang</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Rute manual berdasar pengalaman, peta, daftar pesanan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kualitatif.</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Kendala layanan</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Kemacetan, ETA tidak akurat, waktu tunggu, jadwal penerimaan berubah</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kualitatif; frekuensi dan biaya belum tersedia.</w:t>
            </w:r>
          </w:p>
        </w:tc>
      </w:tr>
      <w:tr>
        <w:tc>
          <w:tcPr>
            <w:tcW w:type="dxa" w:w="1928"/>
            <w:tcMar>
              <w:top w:w="75" w:type="dxa"/>
              <w:start w:w="80" w:type="dxa"/>
              <w:bottom w:w="75" w:type="dxa"/>
              <w:end w:w="80" w:type="dxa"/>
            </w:tcMar>
            <w:vAlign w:val="center"/>
          </w:tcPr>
          <w:p>
            <w:pPr>
              <w:spacing w:line="240" w:lineRule="auto" w:after="0"/>
              <w:jc w:val="left"/>
            </w:pPr>
            <w:r>
              <w:rPr>
                <w:rFonts w:ascii="Times New Roman" w:hAnsi="Times New Roman"/>
                <w:sz w:val="17"/>
              </w:rPr>
              <w:t>Kendala penerapan</w:t>
            </w:r>
          </w:p>
        </w:tc>
        <w:tc>
          <w:tcPr>
            <w:tcW w:type="dxa" w:w="2891"/>
            <w:tcMar>
              <w:top w:w="75" w:type="dxa"/>
              <w:start w:w="80" w:type="dxa"/>
              <w:bottom w:w="75" w:type="dxa"/>
              <w:end w:w="80" w:type="dxa"/>
            </w:tcMar>
            <w:vAlign w:val="center"/>
          </w:tcPr>
          <w:p>
            <w:pPr>
              <w:spacing w:line="240" w:lineRule="auto" w:after="0"/>
              <w:jc w:val="left"/>
            </w:pPr>
            <w:r>
              <w:rPr>
                <w:rFonts w:ascii="Times New Roman" w:hAnsi="Times New Roman"/>
                <w:sz w:val="17"/>
              </w:rPr>
              <w:t>Kekhawatiran pengemudi atas kondisi jalan lokal, akses toko, kebiasaan pelanggan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Fakta kualitatif yang perlu diakomodasi dalam pilot.</w:t>
            </w:r>
          </w:p>
        </w:tc>
      </w:tr>
    </w:tbl>
    <w:p>
      <w:pPr>
        <w:spacing w:after="0"/>
      </w:pPr>
    </w:p>
    <w:p>
      <w:pPr>
        <w:pStyle w:val="Heading2"/>
      </w:pPr>
      <w:r>
        <w:t>Perhitungan dasar</w:t>
      </w:r>
    </w:p>
    <w:tbl>
      <w:tblPr>
        <w:tblStyle w:val="TableGrid"/>
        <w:tblW w:type="auto" w:w="0"/>
        <w:jc w:val="center"/>
        <w:tblLook w:firstColumn="1" w:firstRow="1" w:lastColumn="0" w:lastRow="0" w:noHBand="0" w:noVBand="1" w:val="04A0"/>
      </w:tblPr>
      <w:tblGrid>
        <w:gridCol w:w="3120"/>
        <w:gridCol w:w="3120"/>
        <w:gridCol w:w="3120"/>
      </w:tblGrid>
      <w:tr>
        <w:tc>
          <w:tcPr>
            <w:tcW w:type="dxa" w:w="2381"/>
            <w:shd w:fill="D9E2F3"/>
            <w:vAlign w:val="center"/>
          </w:tcPr>
          <w:p>
            <w:pPr>
              <w:spacing w:line="240" w:lineRule="auto" w:after="0"/>
              <w:jc w:val="center"/>
            </w:pPr>
            <w:r>
              <w:rPr>
                <w:rFonts w:ascii="Times New Roman" w:hAnsi="Times New Roman"/>
                <w:b/>
                <w:sz w:val="18"/>
              </w:rPr>
              <w:t>Ukuran</w:t>
            </w:r>
          </w:p>
        </w:tc>
        <w:tc>
          <w:tcPr>
            <w:tcW w:type="dxa" w:w="3969"/>
            <w:shd w:fill="D9E2F3"/>
            <w:vAlign w:val="center"/>
          </w:tcPr>
          <w:p>
            <w:pPr>
              <w:spacing w:line="240" w:lineRule="auto" w:after="0"/>
              <w:jc w:val="center"/>
            </w:pPr>
            <w:r>
              <w:rPr>
                <w:rFonts w:ascii="Times New Roman" w:hAnsi="Times New Roman"/>
                <w:b/>
                <w:sz w:val="18"/>
              </w:rPr>
              <w:t>Rumus</w:t>
            </w:r>
          </w:p>
        </w:tc>
        <w:tc>
          <w:tcPr>
            <w:tcW w:type="dxa" w:w="2438"/>
            <w:shd w:fill="D9E2F3"/>
            <w:vAlign w:val="center"/>
          </w:tcPr>
          <w:p>
            <w:pPr>
              <w:spacing w:line="240" w:lineRule="auto" w:after="0"/>
              <w:jc w:val="center"/>
            </w:pPr>
            <w:r>
              <w:rPr>
                <w:rFonts w:ascii="Times New Roman" w:hAnsi="Times New Roman"/>
                <w:b/>
                <w:sz w:val="18"/>
              </w:rPr>
              <w:t>Hasil</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Jarak seluruh armada per hari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20 kendaraan × 150 km</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3.000 km/hari</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Jarak seluruh armada per bulan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3.000 km/hari × 26 hari</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78.000 km/bulan</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Kebutuhan BBM per hari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3.000 km ÷ 10 km/liter</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300 liter/hari</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Biaya BBM simulasi per hari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300 liter × Rp10.000</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Rp3.000.000/hari</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Kebutuhan BBM per bulan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300 liter × 26 hari</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7.800 liter/bulan</w:t>
            </w:r>
          </w:p>
        </w:tc>
      </w:tr>
      <w:tr>
        <w:tc>
          <w:tcPr>
            <w:tcW w:type="dxa" w:w="2381"/>
            <w:tcMar>
              <w:top w:w="75" w:type="dxa"/>
              <w:start w:w="80" w:type="dxa"/>
              <w:bottom w:w="75" w:type="dxa"/>
              <w:end w:w="80" w:type="dxa"/>
            </w:tcMar>
            <w:vAlign w:val="center"/>
          </w:tcPr>
          <w:p>
            <w:pPr>
              <w:spacing w:line="240" w:lineRule="auto" w:after="0"/>
              <w:jc w:val="left"/>
            </w:pPr>
            <w:r>
              <w:rPr>
                <w:rFonts w:ascii="Times New Roman" w:hAnsi="Times New Roman"/>
                <w:sz w:val="18"/>
              </w:rPr>
              <w:t>Biaya BBM simulasi per bulan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8"/>
              </w:rPr>
              <w:t>7.800 liter × Rp10.000</w:t>
            </w:r>
          </w:p>
        </w:tc>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8"/>
              </w:rPr>
              <w:t>Rp78.000.000/bulan</w:t>
            </w:r>
          </w:p>
        </w:tc>
      </w:tr>
    </w:tbl>
    <w:p>
      <w:pPr>
        <w:spacing w:after="0"/>
      </w:pPr>
    </w:p>
    <w:p>
      <w:pPr>
        <w:pStyle w:val="Heading2"/>
      </w:pPr>
      <w:r>
        <w:t>Skenario target pengurangan jarak 15%</w:t>
      </w:r>
    </w:p>
    <w:tbl>
      <w:tblPr>
        <w:tblStyle w:val="TableGrid"/>
        <w:tblW w:type="auto" w:w="0"/>
        <w:jc w:val="center"/>
        <w:tblLook w:firstColumn="1" w:firstRow="1" w:lastColumn="0" w:lastRow="0" w:noHBand="0" w:noVBand="1" w:val="04A0"/>
      </w:tblPr>
      <w:tblGrid>
        <w:gridCol w:w="3120"/>
        <w:gridCol w:w="3120"/>
        <w:gridCol w:w="3120"/>
      </w:tblGrid>
      <w:tr>
        <w:tc>
          <w:tcPr>
            <w:tcW w:type="dxa" w:w="2438"/>
            <w:shd w:fill="D9E2F3"/>
            <w:vAlign w:val="center"/>
          </w:tcPr>
          <w:p>
            <w:pPr>
              <w:spacing w:line="240" w:lineRule="auto" w:after="0"/>
              <w:jc w:val="center"/>
            </w:pPr>
            <w:r>
              <w:rPr>
                <w:rFonts w:ascii="Times New Roman" w:hAnsi="Times New Roman"/>
                <w:b/>
                <w:sz w:val="17"/>
              </w:rPr>
              <w:t>Ukuran</w:t>
            </w:r>
          </w:p>
        </w:tc>
        <w:tc>
          <w:tcPr>
            <w:tcW w:type="dxa" w:w="3798"/>
            <w:shd w:fill="D9E2F3"/>
            <w:vAlign w:val="center"/>
          </w:tcPr>
          <w:p>
            <w:pPr>
              <w:spacing w:line="240" w:lineRule="auto" w:after="0"/>
              <w:jc w:val="center"/>
            </w:pPr>
            <w:r>
              <w:rPr>
                <w:rFonts w:ascii="Times New Roman" w:hAnsi="Times New Roman"/>
                <w:b/>
                <w:sz w:val="17"/>
              </w:rPr>
              <w:t>Rumus</w:t>
            </w:r>
          </w:p>
        </w:tc>
        <w:tc>
          <w:tcPr>
            <w:tcW w:type="dxa" w:w="2551"/>
            <w:shd w:fill="D9E2F3"/>
            <w:vAlign w:val="center"/>
          </w:tcPr>
          <w:p>
            <w:pPr>
              <w:spacing w:line="240" w:lineRule="auto" w:after="0"/>
              <w:jc w:val="center"/>
            </w:pPr>
            <w:r>
              <w:rPr>
                <w:rFonts w:ascii="Times New Roman" w:hAnsi="Times New Roman"/>
                <w:b/>
                <w:sz w:val="17"/>
              </w:rPr>
              <w:t>Potensi hasil</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Jarak berkurang per hari</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3.000 km × 15%</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450 km/hari</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Jarak berkurang per bulan</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78.000 km × 15%</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11.700 km/bulan</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BBM dihemat per hari</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450 km ÷ 10 km/liter</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45 liter/hari</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BBM dihemat per bulan</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11.700 km ÷ 10 km/liter</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1.170 liter/bulan</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Penghematan BBM bruto per hari</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45 liter × Rp10.000</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Rp450.000/hari</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Penghematan BBM bruto per bulan</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1.170 liter × Rp10.000</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Rp11.700.000/bulan</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Jarak setelah skenario per bulan</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78.000 km − 11.700 km</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66.300 km/bulan</w:t>
            </w:r>
          </w:p>
        </w:tc>
      </w:tr>
      <w:tr>
        <w:tc>
          <w:tcPr>
            <w:tcW w:type="dxa" w:w="2438"/>
            <w:tcMar>
              <w:top w:w="75" w:type="dxa"/>
              <w:start w:w="80" w:type="dxa"/>
              <w:bottom w:w="75" w:type="dxa"/>
              <w:end w:w="80" w:type="dxa"/>
            </w:tcMar>
            <w:vAlign w:val="center"/>
          </w:tcPr>
          <w:p>
            <w:pPr>
              <w:spacing w:line="240" w:lineRule="auto" w:after="0"/>
              <w:jc w:val="left"/>
            </w:pPr>
            <w:r>
              <w:rPr>
                <w:rFonts w:ascii="Times New Roman" w:hAnsi="Times New Roman"/>
                <w:sz w:val="17"/>
              </w:rPr>
              <w:t>Biaya BBM simulasi setelah skenario</w:t>
            </w:r>
          </w:p>
        </w:tc>
        <w:tc>
          <w:tcPr>
            <w:tcW w:type="dxa" w:w="3798"/>
            <w:tcMar>
              <w:top w:w="75" w:type="dxa"/>
              <w:start w:w="80" w:type="dxa"/>
              <w:bottom w:w="75" w:type="dxa"/>
              <w:end w:w="80" w:type="dxa"/>
            </w:tcMar>
            <w:vAlign w:val="center"/>
          </w:tcPr>
          <w:p>
            <w:pPr>
              <w:spacing w:line="240" w:lineRule="auto" w:after="0"/>
              <w:jc w:val="left"/>
            </w:pPr>
            <w:r>
              <w:rPr>
                <w:rFonts w:ascii="Times New Roman" w:hAnsi="Times New Roman"/>
                <w:sz w:val="17"/>
              </w:rPr>
              <w:t>66.300 km ÷ 10 × Rp10.000</w:t>
            </w:r>
          </w:p>
        </w:tc>
        <w:tc>
          <w:tcPr>
            <w:tcW w:type="dxa" w:w="2551"/>
            <w:tcMar>
              <w:top w:w="75" w:type="dxa"/>
              <w:start w:w="80" w:type="dxa"/>
              <w:bottom w:w="75" w:type="dxa"/>
              <w:end w:w="80" w:type="dxa"/>
            </w:tcMar>
            <w:vAlign w:val="center"/>
          </w:tcPr>
          <w:p>
            <w:pPr>
              <w:spacing w:line="240" w:lineRule="auto" w:after="0"/>
              <w:jc w:val="left"/>
            </w:pPr>
            <w:r>
              <w:rPr>
                <w:rFonts w:ascii="Times New Roman" w:hAnsi="Times New Roman"/>
                <w:sz w:val="17"/>
              </w:rPr>
              <w:t>Rp66.300.000/bulan</w:t>
            </w:r>
          </w:p>
        </w:tc>
      </w:tr>
    </w:tbl>
    <w:p>
      <w:pPr>
        <w:spacing w:after="0"/>
      </w:pPr>
    </w:p>
    <w:p>
      <w:r>
        <w:rPr>
          <w:b w:val="0"/>
        </w:rPr>
        <w:t>Interpretasi: angka penghematan adalah skenario bruto jika target 15% tercapai, jumlah dan cakupan pengiriman tetap, konsumsi BBM tetap 1 liter/10 km, dan harga tetap Rp10.000/liter. Angka belum memperhitungkan biaya aplikasi, lisensi, perangkat, integrasi, pemeliharaan, perubahan muatan, waktu idle, atau variasi lalu lintas.</w:t>
      </w:r>
    </w:p>
    <w:p>
      <w:r>
        <w:rPr>
          <w:b w:val="0"/>
        </w:rPr>
        <w:t>Skenario tahunan opsional: jika diasumsikan 26 hari operasi setiap bulan selama 12 bulan (312 hari/tahun), biaya BBM dasar sekitar Rp936 juta/tahun dan potensi penghematan bruto sekitar Rp140,4 juta/tahun. Ini asumsi untuk ilustrasi, bukan fakta yang dinyatakan soal. Plafon Rp150 juta bukan harga aktual. Tanpa penawaran dan biaya berulang, kelayakan finansial final belum dapat dipastikan; jangan menyajikan angka tersebut sebagai ROI.</w:t>
      </w:r>
    </w:p>
    <w:p>
      <w:pPr>
        <w:pStyle w:val="Heading1"/>
      </w:pPr>
      <w:r>
        <w:t>RINGKASAN / ABSTRAK</w:t>
      </w:r>
    </w:p>
    <w:p>
      <w:r>
        <w:rPr>
          <w:b w:val="0"/>
        </w:rPr>
        <w:t>Tulis setelah seluruh analisis selesai. Ikuti istilah pada instruksi dosen; soal menggunakan bagian “Ringkasan”. Ringkas masalah utama, data/perhitungan utama, alternatif, rekomendasi awal, dan keterbatasan. Contoh pola:</w:t>
      </w:r>
    </w:p>
    <w:p>
      <w:r>
        <w:rPr>
          <w:b w:val="0"/>
        </w:rPr>
        <w:t>“Perusahaan memiliki 20 kendaraan dengan jarak rata-rata 150 km per kendaraan per hari. Rute disusun manual dan kasus melaporkan rute yang berdekatan, keterlambatan, serta ETA yang belum akurat. Berdasarkan data kasus, jarak gabungan armada adalah 3.000 km per hari dan biaya BBM simulasi sekitar Rp3 juta per hari. Jika target pengurangan jarak 15% tercapai, potensi penghematan BBM bruto sekitar Rp450 ribu per hari, dengan asumsi operasi dan konsumsi tetap. Laporan membandingkan standardisasi rute manual, pilot aplikasi optimasi dengan validasi manusia, dan sistem terintegrasi. Rekomendasi awal adalah standardisasi data dan pilot bertahap dengan keterlibatan dispatcher dan pengemudi. Perluasan menunggu hasil uji serta biaya aktual.”</w:t>
      </w:r>
    </w:p>
    <w:p>
      <w:pPr>
        <w:pStyle w:val="Heading1"/>
      </w:pPr>
      <w:r>
        <w:t>BAB I. PENDAHULUAN</w:t>
      </w:r>
    </w:p>
    <w:p>
      <w:pPr>
        <w:pStyle w:val="Heading2"/>
      </w:pPr>
      <w:r>
        <w:t>1.1 Latar Belakang</w:t>
      </w:r>
    </w:p>
    <w:p>
      <w:r>
        <w:rPr>
          <w:b w:val="0"/>
        </w:rPr>
        <w:t>Jelaskan mengapa distribusi dan ketepatan rute penting bagi biaya dan layanan. Hubungkan dengan kondisi kasus: 20 kendaraan, perencanaan manual, rute tumpang tindih/kurang optimal, kemacetan, informasi ETA, serta waktu tunggu.</w:t>
      </w:r>
    </w:p>
    <w:p>
      <w:pPr>
        <w:pStyle w:val="Heading2"/>
      </w:pPr>
      <w:r>
        <w:t>1.2 Identifikasi Masalah</w:t>
      </w:r>
    </w:p>
    <w:p>
      <w:pPr>
        <w:pStyle w:val="ListBullet"/>
        <w:spacing w:line="312" w:lineRule="auto" w:after="0"/>
      </w:pPr>
      <w:r>
        <w:t>Rute disusun manual berdasarkan pengalaman, peta, dan daftar pesanan.</w:t>
      </w:r>
    </w:p>
    <w:p>
      <w:pPr>
        <w:pStyle w:val="ListBullet"/>
        <w:spacing w:line="312" w:lineRule="auto" w:after="0"/>
      </w:pPr>
      <w:r>
        <w:t>Rute beberapa kendaraan melewati wilayah yang berdekatan dan urutan kunjungan belum selalu optimal.</w:t>
      </w:r>
    </w:p>
    <w:p>
      <w:pPr>
        <w:pStyle w:val="ListBullet"/>
        <w:spacing w:line="312" w:lineRule="auto" w:after="0"/>
      </w:pPr>
      <w:r>
        <w:t>Dispatcher mengetahui keterlambatan setelah pengemudi menghubungi kantor.</w:t>
      </w:r>
    </w:p>
    <w:p>
      <w:pPr>
        <w:pStyle w:val="ListBullet"/>
        <w:spacing w:line="312" w:lineRule="auto" w:after="0"/>
      </w:pPr>
      <w:r>
        <w:t>Pelanggan tidak memperoleh ETA yang akurat; jadwal penerimaan berubah dan dapat menambah waktu tunggu.</w:t>
      </w:r>
    </w:p>
    <w:p>
      <w:pPr>
        <w:pStyle w:val="ListBullet"/>
        <w:spacing w:line="312" w:lineRule="auto" w:after="0"/>
      </w:pPr>
      <w:r>
        <w:t>Aplikasi berpotensi membantu, tetapi kendala jalan lokal, akses toko, dan kebiasaan pelanggan harus dipertimbangkan.</w:t>
      </w:r>
    </w:p>
    <w:p>
      <w:pPr>
        <w:pStyle w:val="Heading2"/>
      </w:pPr>
      <w:r>
        <w:t>1.3 Rumusan Masalah</w:t>
      </w:r>
    </w:p>
    <w:p>
      <w:pPr>
        <w:pStyle w:val="ListNumber"/>
        <w:spacing w:line="312" w:lineRule="auto" w:after="0"/>
      </w:pPr>
      <w:r>
        <w:t>Apa penyebab perencanaan rute dan informasi keterlambatan belum optimal?</w:t>
      </w:r>
    </w:p>
    <w:p>
      <w:pPr>
        <w:pStyle w:val="ListNumber"/>
        <w:spacing w:line="312" w:lineRule="auto" w:after="0"/>
      </w:pPr>
      <w:r>
        <w:t>Berapa potensi penghematan BBM dari target pengurangan jarak 15%?</w:t>
      </w:r>
    </w:p>
    <w:p>
      <w:pPr>
        <w:pStyle w:val="ListNumber"/>
        <w:spacing w:line="312" w:lineRule="auto" w:after="0"/>
      </w:pPr>
      <w:r>
        <w:t>Alternatif apa yang sesuai dengan batas investasi Rp150 juta dan kondisi lapangan?</w:t>
      </w:r>
    </w:p>
    <w:p>
      <w:pPr>
        <w:pStyle w:val="ListNumber"/>
        <w:spacing w:line="312" w:lineRule="auto" w:after="0"/>
      </w:pPr>
      <w:r>
        <w:t>Bagaimana dispatcher dan pengemudi menangani kondisi yang berubah?</w:t>
      </w:r>
    </w:p>
    <w:p>
      <w:pPr>
        <w:pStyle w:val="ListNumber"/>
        <w:spacing w:line="312" w:lineRule="auto" w:after="0"/>
      </w:pPr>
      <w:r>
        <w:t>Bagaimana keberhasilan solusi diukur?</w:t>
      </w:r>
    </w:p>
    <w:p>
      <w:pPr>
        <w:pStyle w:val="Heading2"/>
      </w:pPr>
      <w:r>
        <w:t>1.4 Tujuan Analisis</w:t>
      </w:r>
    </w:p>
    <w:p>
      <w:r>
        <w:rPr>
          <w:b w:val="0"/>
        </w:rPr>
        <w:t>Menganalisis proses rute dan keterlambatan, menghitung potensi penghematan BBM dari data kasus, membandingkan alternatif, serta menyusun pilot, mitigasi risiko, dan KPI.</w:t>
      </w:r>
    </w:p>
    <w:p>
      <w:pPr>
        <w:pStyle w:val="Heading2"/>
      </w:pPr>
      <w:r>
        <w:t>1.5 Ruang Lingkup dan Batasan</w:t>
      </w:r>
    </w:p>
    <w:p>
      <w:r>
        <w:rPr>
          <w:b w:val="0"/>
        </w:rPr>
        <w:t>Fokus pada perencanaan rute, pemantauan perjalanan, ETA, dan koordinasi dispatcher–pengemudi. Frekuensi keterlambatan, jarak aktual per rute, waktu tunggu, jumlah titik pengiriman, konsumsi aktual, dan biaya teknologi belum diberikan. Perhitungan manfaat karena itu terbatas pada skenario BBM dari data simulasi.</w:t>
      </w:r>
    </w:p>
    <w:p>
      <w:pPr>
        <w:pStyle w:val="Heading1"/>
      </w:pPr>
      <w:r>
        <w:t>BAB II. LANDASAN TEORI DAN KERANGKA KASUS</w:t>
      </w:r>
    </w:p>
    <w:p>
      <w:pPr>
        <w:pStyle w:val="Heading2"/>
      </w:pPr>
      <w:r>
        <w:t>2.1 Landasan Teori</w:t>
      </w:r>
    </w:p>
    <w:p>
      <w:r>
        <w:rPr>
          <w:b w:val="0"/>
        </w:rPr>
        <w:t>Bahas konsep Vehicle Routing Problem (VRP), batas waktu penerimaan pelanggan, pemantauan kendaraan/ETA, serta pengambilan keputusan manusia dengan dukungan sistem. Kaitkan setiap konsep dengan fakta kasus. Aplikasi tidak otomatis menyelesaikan masalah apabila alamat, koordinat, jam penerimaan, kapasitas, dan kendala lokal tidak dimasukkan dengan benar.</w:t>
      </w:r>
    </w:p>
    <w:p>
      <w:pPr>
        <w:pStyle w:val="Heading2"/>
      </w:pPr>
      <w:r>
        <w:t>2.2 Penelitian Relevan dan Fakta Kasus</w:t>
      </w:r>
    </w:p>
    <w:p>
      <w:r>
        <w:rPr>
          <w:b w:val="0"/>
        </w:rPr>
        <w:t>Pilih literatur tentang vehicle routing dan distribusi. Untuk setiap sumber, jelaskan pertanyaan penelitian, temuan yang relevan, dan batas penerapannya. Jangan menganggap hasil studi lain membuktikan penghematan 15% pada perusahaan kasus.</w:t>
      </w:r>
    </w:p>
    <w:p>
      <w:r>
        <w:rPr>
          <w:b w:val="0"/>
        </w:rPr>
        <w:t>Masukkan Tabel 1 dan tabel perhitungan dalam bagian ini atau lampiran. Tegaskan bahwa Rp10.000/liter adalah harga simulasi dan 15% adalah target, bukan hasil aktual.</w:t>
      </w:r>
    </w:p>
    <w:p>
      <w:pPr>
        <w:pStyle w:val="Heading2"/>
      </w:pPr>
      <w:r>
        <w:t>2.3 Kerangka Proses Operasional Saat Ini</w:t>
      </w:r>
    </w:p>
    <w:p>
      <w:pPr>
        <w:spacing w:line="240" w:lineRule="auto" w:after="60"/>
        <w:jc w:val="center"/>
      </w:pPr>
      <w:r>
        <w:rPr>
          <w:i/>
          <w:sz w:val="20"/>
        </w:rPr>
        <w:t>Gambar 1. Alur kerja yang dijelaskan dalam kasus</w:t>
      </w:r>
    </w:p>
    <w:p>
      <w:pPr>
        <w:jc w:val="center"/>
      </w:pPr>
      <w:r>
        <w:rPr>
          <w:b w:val="0"/>
        </w:rPr>
        <w:t>Pesanan dan daftar pengiriman tersedia → dispatcher menyusun rute manual → pengemudi menjalankan rute → terjadi kemacetan/perubahan penerimaan → pengemudi menghubungi kantor → dispatcher mengetahui keterlambatan → pelanggan menerima informasi terlambat/tidak akurat.</w:t>
      </w:r>
    </w:p>
    <w:p>
      <w:r>
        <w:rPr>
          <w:b w:val="0"/>
        </w:rPr>
        <w:t>Tandai titik kendali pada urutan kunjungan, jam penerimaan, pemantauan aktual, komunikasi perubahan, dan waktu tunggu. Beri nomor/judul gambar dan jelaskan sumbernya sebagai ringkasan dari kasus.</w:t>
      </w:r>
    </w:p>
    <w:p>
      <w:pPr>
        <w:pStyle w:val="Heading2"/>
      </w:pPr>
      <w:r>
        <w:t>2.4 Dampak Permasalahan</w:t>
      </w:r>
    </w:p>
    <w:p>
      <w:r>
        <w:rPr>
          <w:b w:val="0"/>
        </w:rPr>
        <w:t>Jelaskan potensi jarak dan BBM berlebih, keterlambatan, ETA yang tidak akurat, waktu tunggu, serta beban koordinasi. Nilai rupiah hanya dihitung untuk BBM simulasi; nilai biaya waktu tunggu, gagal antar, atau keluhan memerlukan data tambahan.</w:t>
      </w:r>
    </w:p>
    <w:p>
      <w:pPr>
        <w:pStyle w:val="Heading1"/>
      </w:pPr>
      <w:r>
        <w:t>BAB III. ANALISIS MASALAH</w:t>
      </w:r>
    </w:p>
    <w:p>
      <w:pPr>
        <w:pStyle w:val="Heading2"/>
      </w:pPr>
      <w:r>
        <w:t>3.1 Penentuan Masalah Utama</w:t>
      </w:r>
    </w:p>
    <w:p>
      <w:r>
        <w:rPr>
          <w:b w:val="0"/>
        </w:rPr>
        <w:t>Rumusan awal yang dapat diuji: “Perencanaan dan pemantauan rute masih bergantung pada proses manual dan belum cukup mengintegrasikan lokasi, urutan kunjungan, jam penerimaan, kondisi aktual, serta komunikasi keterlambatan.” Hindari menyimpulkan bahwa masalah semata-mata karena belum ada aplikasi.</w:t>
      </w:r>
    </w:p>
    <w:p>
      <w:pPr>
        <w:pStyle w:val="Heading2"/>
      </w:pPr>
      <w:r>
        <w:t>3.2 Analisis Akar Penyebab</w:t>
      </w:r>
    </w:p>
    <w:tbl>
      <w:tblPr>
        <w:tblStyle w:val="TableGrid"/>
        <w:tblW w:type="auto" w:w="0"/>
        <w:jc w:val="center"/>
        <w:tblLook w:firstColumn="1" w:firstRow="1" w:lastColumn="0" w:lastRow="0" w:noHBand="0" w:noVBand="1" w:val="04A0"/>
      </w:tblPr>
      <w:tblGrid>
        <w:gridCol w:w="3120"/>
        <w:gridCol w:w="3120"/>
        <w:gridCol w:w="3120"/>
      </w:tblGrid>
      <w:tr>
        <w:tc>
          <w:tcPr>
            <w:tcW w:type="dxa" w:w="1361"/>
            <w:shd w:fill="D9E2F3"/>
            <w:vAlign w:val="center"/>
          </w:tcPr>
          <w:p>
            <w:pPr>
              <w:spacing w:line="240" w:lineRule="auto" w:after="0"/>
              <w:jc w:val="center"/>
            </w:pPr>
            <w:r>
              <w:rPr>
                <w:rFonts w:ascii="Times New Roman" w:hAnsi="Times New Roman"/>
                <w:b/>
                <w:sz w:val="17"/>
              </w:rPr>
              <w:t>Dimensi</w:t>
            </w:r>
          </w:p>
        </w:tc>
        <w:tc>
          <w:tcPr>
            <w:tcW w:type="dxa" w:w="3515"/>
            <w:shd w:fill="D9E2F3"/>
            <w:vAlign w:val="center"/>
          </w:tcPr>
          <w:p>
            <w:pPr>
              <w:spacing w:line="240" w:lineRule="auto" w:after="0"/>
              <w:jc w:val="center"/>
            </w:pPr>
            <w:r>
              <w:rPr>
                <w:rFonts w:ascii="Times New Roman" w:hAnsi="Times New Roman"/>
                <w:b/>
                <w:sz w:val="17"/>
              </w:rPr>
              <w:t>Bukti dalam kasus</w:t>
            </w:r>
          </w:p>
        </w:tc>
        <w:tc>
          <w:tcPr>
            <w:tcW w:type="dxa" w:w="3912"/>
            <w:shd w:fill="D9E2F3"/>
            <w:vAlign w:val="center"/>
          </w:tcPr>
          <w:p>
            <w:pPr>
              <w:spacing w:line="240" w:lineRule="auto" w:after="0"/>
              <w:jc w:val="center"/>
            </w:pPr>
            <w:r>
              <w:rPr>
                <w:rFonts w:ascii="Times New Roman" w:hAnsi="Times New Roman"/>
                <w:b/>
                <w:sz w:val="17"/>
              </w:rPr>
              <w:t>Data yang perlu diuji</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Metode</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Rute manual berdasarkan pengalaman, peta, dan daftar pesanan.</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Ada/tidaknya standar pembagian wilayah, urutan titik, dan penanganan perubahan.</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Data</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Daftar pesanan dan peta menjadi dasar penyusunan.</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Kelengkapan alamat, koordinat, jam penerimaan, waktu layanan, dan kapasitas.</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Pemantauan</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Keterlambatan baru diketahui setelah pengemudi menghubungi kantor.</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Tersedia/tidaknya waktu dan posisi aktual selama perjalanan.</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Kondisi lokal</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Pengemudi meragukan kemampuan aplikasi memahami akses/jalan lokal.</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Kendala lokal yang sering terjadi dan cara memasukkannya ke perencanaan.</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Pelanggan</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Jadwal penerimaan dapat berubah dan menyebabkan pengemudi menunggu.</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Frekuensi perubahan, durasi tunggu, dan titik yang paling terdampak.</w:t>
            </w:r>
          </w:p>
        </w:tc>
      </w:tr>
      <w:tr>
        <w:tc>
          <w:tcPr>
            <w:tcW w:type="dxa" w:w="1361"/>
            <w:tcMar>
              <w:top w:w="75" w:type="dxa"/>
              <w:start w:w="80" w:type="dxa"/>
              <w:bottom w:w="75" w:type="dxa"/>
              <w:end w:w="80" w:type="dxa"/>
            </w:tcMar>
            <w:vAlign w:val="center"/>
          </w:tcPr>
          <w:p>
            <w:pPr>
              <w:spacing w:line="240" w:lineRule="auto" w:after="0"/>
              <w:jc w:val="left"/>
            </w:pPr>
            <w:r>
              <w:rPr>
                <w:rFonts w:ascii="Times New Roman" w:hAnsi="Times New Roman"/>
                <w:sz w:val="17"/>
              </w:rPr>
              <w:t>Teknologi</w:t>
            </w:r>
          </w:p>
        </w:tc>
        <w:tc>
          <w:tcPr>
            <w:tcW w:type="dxa" w:w="3515"/>
            <w:tcMar>
              <w:top w:w="75" w:type="dxa"/>
              <w:start w:w="80" w:type="dxa"/>
              <w:bottom w:w="75" w:type="dxa"/>
              <w:end w:w="80" w:type="dxa"/>
            </w:tcMar>
            <w:vAlign w:val="center"/>
          </w:tcPr>
          <w:p>
            <w:pPr>
              <w:spacing w:line="240" w:lineRule="auto" w:after="0"/>
              <w:jc w:val="left"/>
            </w:pPr>
            <w:r>
              <w:rPr>
                <w:rFonts w:ascii="Times New Roman" w:hAnsi="Times New Roman"/>
                <w:sz w:val="17"/>
              </w:rPr>
              <w:t>Optimasi dan pelacakan masih dipertimbangkan.</w:t>
            </w:r>
          </w:p>
        </w:tc>
        <w:tc>
          <w:tcPr>
            <w:tcW w:type="dxa" w:w="3912"/>
            <w:tcMar>
              <w:top w:w="75" w:type="dxa"/>
              <w:start w:w="80" w:type="dxa"/>
              <w:bottom w:w="75" w:type="dxa"/>
              <w:end w:w="80" w:type="dxa"/>
            </w:tcMar>
            <w:vAlign w:val="center"/>
          </w:tcPr>
          <w:p>
            <w:pPr>
              <w:spacing w:line="240" w:lineRule="auto" w:after="0"/>
              <w:jc w:val="left"/>
            </w:pPr>
            <w:r>
              <w:rPr>
                <w:rFonts w:ascii="Times New Roman" w:hAnsi="Times New Roman"/>
                <w:sz w:val="17"/>
              </w:rPr>
              <w:t>Kesiapan integrasi, konektivitas, biaya, dukungan, dan penerimaan pengguna.</w:t>
            </w:r>
          </w:p>
        </w:tc>
      </w:tr>
    </w:tbl>
    <w:p>
      <w:pPr>
        <w:spacing w:after="0"/>
      </w:pPr>
    </w:p>
    <w:p>
      <w:pPr>
        <w:pStyle w:val="Heading2"/>
      </w:pPr>
      <w:r>
        <w:t>3.3 Kebutuhan Perbaikan</w:t>
      </w:r>
    </w:p>
    <w:p>
      <w:pPr>
        <w:pStyle w:val="ListBullet"/>
        <w:spacing w:line="312" w:lineRule="auto" w:after="0"/>
      </w:pPr>
      <w:r>
        <w:t>Standarkan alamat/koordinat, jam penerimaan, perkiraan waktu bongkar, dan kendala akses.</w:t>
      </w:r>
    </w:p>
    <w:p>
      <w:pPr>
        <w:pStyle w:val="ListBullet"/>
        <w:spacing w:line="312" w:lineRule="auto" w:after="0"/>
      </w:pPr>
      <w:r>
        <w:t>Catat rute rencana serta rute aktual agar penyimpangan dapat dianalisis.</w:t>
      </w:r>
    </w:p>
    <w:p>
      <w:pPr>
        <w:pStyle w:val="ListBullet"/>
        <w:spacing w:line="312" w:lineRule="auto" w:after="0"/>
      </w:pPr>
      <w:r>
        <w:t>Buat prosedur untuk perubahan akibat kemacetan, penutupan jalan, atau perubahan pelanggan.</w:t>
      </w:r>
    </w:p>
    <w:p>
      <w:pPr>
        <w:pStyle w:val="ListBullet"/>
        <w:spacing w:line="312" w:lineRule="auto" w:after="0"/>
      </w:pPr>
      <w:r>
        <w:t>Libatkan dispatcher dan pengemudi untuk menguji usulan rute dan melaporkan kondisi lokal.</w:t>
      </w:r>
    </w:p>
    <w:p>
      <w:pPr>
        <w:pStyle w:val="ListBullet"/>
        <w:spacing w:line="312" w:lineRule="auto" w:after="0"/>
      </w:pPr>
      <w:r>
        <w:t>Pertahankan opsi pengaturan manual dan prosedur darurat saat sistem tidak tersedia.</w:t>
      </w:r>
    </w:p>
    <w:p>
      <w:pPr>
        <w:pStyle w:val="Heading2"/>
      </w:pPr>
      <w:r>
        <w:t>3.4 Asumsi dan Data Tambahan</w:t>
      </w:r>
    </w:p>
    <w:p>
      <w:r>
        <w:rPr>
          <w:b w:val="0"/>
        </w:rPr>
        <w:t>Nyatakan bahwa 15% adalah target skenario, bukan hasil. Kumpulkan GPS/jarak aktual, rute rencana dan aktual, jumlah titik dan muatan, jam penerimaan, waktu layanan, waktu tunggu, keterlambatan, pengiriman gagal, konsumsi BBM aktual, kendala jalan/akses, serta penawaran biaya sistem. Gunakan periode baseline yang mewakili operasi normal dan definisi metrik yang sama saat pilot.</w:t>
      </w:r>
    </w:p>
    <w:p>
      <w:pPr>
        <w:pStyle w:val="Heading1"/>
      </w:pPr>
      <w:r>
        <w:t>BAB IV. HASIL DAN PEMBAHASAN</w:t>
      </w:r>
    </w:p>
    <w:p>
      <w:pPr>
        <w:pStyle w:val="Heading2"/>
      </w:pPr>
      <w:r>
        <w:t>4.1 Alternatif Solusi</w:t>
      </w:r>
    </w:p>
    <w:p>
      <w:r>
        <w:rPr>
          <w:b w:val="0"/>
        </w:rPr>
        <w:t>Alternatif A — Standardisasi rute manual: pembagian wilayah, urutan kunjungan, checklist jam penerimaan dan akses, serta prosedur perubahan. Cepat dimulai dan memanfaatkan pengalaman lokal, tetapi dapat terbatas dalam mengolah banyak pesanan/perubahan.</w:t>
      </w:r>
    </w:p>
    <w:p>
      <w:r>
        <w:rPr>
          <w:b w:val="0"/>
        </w:rPr>
        <w:t>Alternatif B — Pilot optimasi rute dengan validasi manusia: aplikasi menyusun rute dari alamat, jam penerimaan, dan batas kendaraan; dispatcher meninjau dan pengemudi melaporkan kondisi lokal. Perlu pilot dan penawaran biaya.</w:t>
      </w:r>
    </w:p>
    <w:p>
      <w:r>
        <w:rPr>
          <w:b w:val="0"/>
        </w:rPr>
        <w:t>Alternatif C — Sistem terintegrasi optimasi, pelacakan, dan ETA: rute, posisi, status pengiriman, dan informasi pelanggan dikelola bersama. Berpotensi memberi visibilitas lebih luas, tetapi memerlukan data, integrasi, biaya, pelatihan, dukungan, dan kontrol privasi.</w:t>
      </w:r>
    </w:p>
    <w:p>
      <w:pPr>
        <w:pStyle w:val="Heading2"/>
      </w:pPr>
      <w:r>
        <w:t>4.2 Kriteria Evaluasi</w:t>
      </w:r>
    </w:p>
    <w:p>
      <w:r>
        <w:rPr>
          <w:b w:val="0"/>
        </w:rPr>
        <w:t>Kriteria yang dapat dipakai: potensi pengurangan jarak/BBM; ketepatan waktu dan ETA; kemampuan beradaptasi dengan kondisi lokal; kesesuaian biaya dengan batas Rp150 juta; dan kemudahan penerapan tanpa mengganggu operasi. Jika memakai matriks, tetapkan bobot total 100%, skala 1–5, rumus skor, dan alasan skor. Jangan memberi skor keterjangkauan final sebelum menerima penawaran. Penilaian awal wajib diberi label sementara.</w:t>
      </w:r>
    </w:p>
    <w:p>
      <w:pPr>
        <w:pStyle w:val="Heading2"/>
      </w:pPr>
      <w:r>
        <w:t>4.3 Analisis Kuantitatif</w:t>
      </w:r>
    </w:p>
    <w:p>
      <w:r>
        <w:rPr>
          <w:b w:val="0"/>
        </w:rPr>
        <w:t>Sajikan perhitungan dasar dan skenario 15% pada bagian data. Nyatakan bahwa penghematan Rp11,7 juta/bulan adalah bruto dan bersyarat. Bandingkan dengan biaya implementasi serta pemeliharaan setelah penawaran tersedia. Plafon Rp150 juta bukan harga aktual. Hindari menyebutnya sebagai penghematan bersih atau ROI.</w:t>
      </w:r>
    </w:p>
    <w:p>
      <w:pPr>
        <w:pStyle w:val="Heading2"/>
      </w:pPr>
      <w:r>
        <w:t>4.4 Rekomendasi</w:t>
      </w:r>
    </w:p>
    <w:p>
      <w:r>
        <w:rPr>
          <w:b w:val="0"/>
        </w:rPr>
        <w:t>Rekomendasi awal: standardisasi data dan prosedur, lalu uji Alternatif B secara terbatas dengan dispatcher dan pengemudi sebagai penilai. Perluasan dilakukan hanya jika jarak/BBM dan layanan membaik, ETA lebih berguna, kondisi lokal terakomodasi, dan biaya aktual disetujui. Alternatif C dipertimbangkan bila pilot membuktikan perlunya integrasi/pelacakan yang lebih luas.</w:t>
      </w:r>
    </w:p>
    <w:p>
      <w:pPr>
        <w:pStyle w:val="Heading1"/>
      </w:pPr>
      <w:r>
        <w:t>BAB V. IMPLEMENTASI, RISIKO, DAN KPI</w:t>
      </w:r>
    </w:p>
    <w:p>
      <w:pPr>
        <w:pStyle w:val="Heading2"/>
      </w:pPr>
      <w:r>
        <w:t>5.1 Rencana Implementasi 90 Hari</w:t>
      </w:r>
    </w:p>
    <w:tbl>
      <w:tblPr>
        <w:tblStyle w:val="TableGrid"/>
        <w:tblW w:type="auto" w:w="0"/>
        <w:jc w:val="center"/>
        <w:tblLook w:firstColumn="1" w:firstRow="1" w:lastColumn="0" w:lastRow="0" w:noHBand="0" w:noVBand="1" w:val="04A0"/>
      </w:tblPr>
      <w:tblGrid>
        <w:gridCol w:w="3120"/>
        <w:gridCol w:w="3120"/>
        <w:gridCol w:w="3120"/>
      </w:tblGrid>
      <w:tr>
        <w:tc>
          <w:tcPr>
            <w:tcW w:type="dxa" w:w="1531"/>
            <w:shd w:fill="D9E2F3"/>
            <w:vAlign w:val="center"/>
          </w:tcPr>
          <w:p>
            <w:pPr>
              <w:spacing w:line="240" w:lineRule="auto" w:after="0"/>
              <w:jc w:val="center"/>
            </w:pPr>
            <w:r>
              <w:rPr>
                <w:rFonts w:ascii="Times New Roman" w:hAnsi="Times New Roman"/>
                <w:b/>
                <w:sz w:val="17"/>
              </w:rPr>
              <w:t>Periode</w:t>
            </w:r>
          </w:p>
        </w:tc>
        <w:tc>
          <w:tcPr>
            <w:tcW w:type="dxa" w:w="3969"/>
            <w:shd w:fill="D9E2F3"/>
            <w:vAlign w:val="center"/>
          </w:tcPr>
          <w:p>
            <w:pPr>
              <w:spacing w:line="240" w:lineRule="auto" w:after="0"/>
              <w:jc w:val="center"/>
            </w:pPr>
            <w:r>
              <w:rPr>
                <w:rFonts w:ascii="Times New Roman" w:hAnsi="Times New Roman"/>
                <w:b/>
                <w:sz w:val="17"/>
              </w:rPr>
              <w:t>Kegiatan utama</w:t>
            </w:r>
          </w:p>
        </w:tc>
        <w:tc>
          <w:tcPr>
            <w:tcW w:type="dxa" w:w="3288"/>
            <w:shd w:fill="D9E2F3"/>
            <w:vAlign w:val="center"/>
          </w:tcPr>
          <w:p>
            <w:pPr>
              <w:spacing w:line="240" w:lineRule="auto" w:after="0"/>
              <w:jc w:val="center"/>
            </w:pPr>
            <w:r>
              <w:rPr>
                <w:rFonts w:ascii="Times New Roman" w:hAnsi="Times New Roman"/>
                <w:b/>
                <w:sz w:val="17"/>
              </w:rPr>
              <w:t>Keluaran/penanggung jawab</w:t>
            </w:r>
          </w:p>
        </w:tc>
      </w:tr>
      <w:tr>
        <w:tc>
          <w:tcPr>
            <w:tcW w:type="dxa" w:w="1531"/>
            <w:tcMar>
              <w:top w:w="75" w:type="dxa"/>
              <w:start w:w="80" w:type="dxa"/>
              <w:bottom w:w="75" w:type="dxa"/>
              <w:end w:w="80" w:type="dxa"/>
            </w:tcMar>
            <w:vAlign w:val="center"/>
          </w:tcPr>
          <w:p>
            <w:pPr>
              <w:spacing w:line="240" w:lineRule="auto" w:after="0"/>
              <w:jc w:val="left"/>
            </w:pPr>
            <w:r>
              <w:rPr>
                <w:rFonts w:ascii="Times New Roman" w:hAnsi="Times New Roman"/>
                <w:sz w:val="17"/>
              </w:rPr>
              <w:t>Hari 1–15: Baseline</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Tetapkan definisi jarak, keterlambatan, ETA, waktu tunggu; kumpulkan data dan petakan kendala lokal.</w:t>
            </w:r>
          </w:p>
        </w:tc>
        <w:tc>
          <w:tcPr>
            <w:tcW w:type="dxa" w:w="3288"/>
            <w:tcMar>
              <w:top w:w="75" w:type="dxa"/>
              <w:start w:w="80" w:type="dxa"/>
              <w:bottom w:w="75" w:type="dxa"/>
              <w:end w:w="80" w:type="dxa"/>
            </w:tcMar>
            <w:vAlign w:val="center"/>
          </w:tcPr>
          <w:p>
            <w:pPr>
              <w:spacing w:line="240" w:lineRule="auto" w:after="0"/>
              <w:jc w:val="left"/>
            </w:pPr>
            <w:r>
              <w:rPr>
                <w:rFonts w:ascii="Times New Roman" w:hAnsi="Times New Roman"/>
                <w:sz w:val="17"/>
              </w:rPr>
              <w:t>Baseline dan peta titik; operasional/dispatcher.</w:t>
            </w:r>
          </w:p>
        </w:tc>
      </w:tr>
      <w:tr>
        <w:tc>
          <w:tcPr>
            <w:tcW w:type="dxa" w:w="1531"/>
            <w:tcMar>
              <w:top w:w="75" w:type="dxa"/>
              <w:start w:w="80" w:type="dxa"/>
              <w:bottom w:w="75" w:type="dxa"/>
              <w:end w:w="80" w:type="dxa"/>
            </w:tcMar>
            <w:vAlign w:val="center"/>
          </w:tcPr>
          <w:p>
            <w:pPr>
              <w:spacing w:line="240" w:lineRule="auto" w:after="0"/>
              <w:jc w:val="left"/>
            </w:pPr>
            <w:r>
              <w:rPr>
                <w:rFonts w:ascii="Times New Roman" w:hAnsi="Times New Roman"/>
                <w:sz w:val="17"/>
              </w:rPr>
              <w:t>Hari 16–30: Standardisasi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Validasi alamat, koordinat, jam penerimaan, akses, prosedur perubahan rute.</w:t>
            </w:r>
          </w:p>
        </w:tc>
        <w:tc>
          <w:tcPr>
            <w:tcW w:type="dxa" w:w="3288"/>
            <w:tcMar>
              <w:top w:w="75" w:type="dxa"/>
              <w:start w:w="80" w:type="dxa"/>
              <w:bottom w:w="75" w:type="dxa"/>
              <w:end w:w="80" w:type="dxa"/>
            </w:tcMar>
            <w:vAlign w:val="center"/>
          </w:tcPr>
          <w:p>
            <w:pPr>
              <w:spacing w:line="240" w:lineRule="auto" w:after="0"/>
              <w:jc w:val="left"/>
            </w:pPr>
            <w:r>
              <w:rPr>
                <w:rFonts w:ascii="Times New Roman" w:hAnsi="Times New Roman"/>
                <w:sz w:val="17"/>
              </w:rPr>
              <w:t>Master data dan SOP; dispatcher, IT, layanan pelanggan.</w:t>
            </w:r>
          </w:p>
        </w:tc>
      </w:tr>
      <w:tr>
        <w:tc>
          <w:tcPr>
            <w:tcW w:type="dxa" w:w="1531"/>
            <w:tcMar>
              <w:top w:w="75" w:type="dxa"/>
              <w:start w:w="80" w:type="dxa"/>
              <w:bottom w:w="75" w:type="dxa"/>
              <w:end w:w="80" w:type="dxa"/>
            </w:tcMar>
            <w:vAlign w:val="center"/>
          </w:tcPr>
          <w:p>
            <w:pPr>
              <w:spacing w:line="240" w:lineRule="auto" w:after="0"/>
              <w:jc w:val="left"/>
            </w:pPr>
            <w:r>
              <w:rPr>
                <w:rFonts w:ascii="Times New Roman" w:hAnsi="Times New Roman"/>
                <w:sz w:val="17"/>
              </w:rPr>
              <w:t>Hari 31–60: Pilot</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Uji rute aplikasi pada sampel yang mewakili; bandingkan rencana dengan aktual.</w:t>
            </w:r>
          </w:p>
        </w:tc>
        <w:tc>
          <w:tcPr>
            <w:tcW w:type="dxa" w:w="3288"/>
            <w:tcMar>
              <w:top w:w="75" w:type="dxa"/>
              <w:start w:w="80" w:type="dxa"/>
              <w:bottom w:w="75" w:type="dxa"/>
              <w:end w:w="80" w:type="dxa"/>
            </w:tcMar>
            <w:vAlign w:val="center"/>
          </w:tcPr>
          <w:p>
            <w:pPr>
              <w:spacing w:line="240" w:lineRule="auto" w:after="0"/>
              <w:jc w:val="left"/>
            </w:pPr>
            <w:r>
              <w:rPr>
                <w:rFonts w:ascii="Times New Roman" w:hAnsi="Times New Roman"/>
                <w:sz w:val="17"/>
              </w:rPr>
              <w:t>Catatan jarak, ETA, keterlambatan, masukan pengemudi; operasional/vendor.</w:t>
            </w:r>
          </w:p>
        </w:tc>
      </w:tr>
      <w:tr>
        <w:tc>
          <w:tcPr>
            <w:tcW w:type="dxa" w:w="1531"/>
            <w:tcMar>
              <w:top w:w="75" w:type="dxa"/>
              <w:start w:w="80" w:type="dxa"/>
              <w:bottom w:w="75" w:type="dxa"/>
              <w:end w:w="80" w:type="dxa"/>
            </w:tcMar>
            <w:vAlign w:val="center"/>
          </w:tcPr>
          <w:p>
            <w:pPr>
              <w:spacing w:line="240" w:lineRule="auto" w:after="0"/>
              <w:jc w:val="left"/>
            </w:pPr>
            <w:r>
              <w:rPr>
                <w:rFonts w:ascii="Times New Roman" w:hAnsi="Times New Roman"/>
                <w:sz w:val="17"/>
              </w:rPr>
              <w:t>Hari 61–75: Perbaikan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Perbaiki data dan batasan; uji fallback dan komunikasi.</w:t>
            </w:r>
          </w:p>
        </w:tc>
        <w:tc>
          <w:tcPr>
            <w:tcW w:type="dxa" w:w="3288"/>
            <w:tcMar>
              <w:top w:w="75" w:type="dxa"/>
              <w:start w:w="80" w:type="dxa"/>
              <w:bottom w:w="75" w:type="dxa"/>
              <w:end w:w="80" w:type="dxa"/>
            </w:tcMar>
            <w:vAlign w:val="center"/>
          </w:tcPr>
          <w:p>
            <w:pPr>
              <w:spacing w:line="240" w:lineRule="auto" w:after="0"/>
              <w:jc w:val="left"/>
            </w:pPr>
            <w:r>
              <w:rPr>
                <w:rFonts w:ascii="Times New Roman" w:hAnsi="Times New Roman"/>
                <w:sz w:val="17"/>
              </w:rPr>
              <w:t>Daftar masalah dan versi proses yang diperbaiki; IT/dispatcher.</w:t>
            </w:r>
          </w:p>
        </w:tc>
      </w:tr>
      <w:tr>
        <w:tc>
          <w:tcPr>
            <w:tcW w:type="dxa" w:w="1531"/>
            <w:tcMar>
              <w:top w:w="75" w:type="dxa"/>
              <w:start w:w="80" w:type="dxa"/>
              <w:bottom w:w="75" w:type="dxa"/>
              <w:end w:w="80" w:type="dxa"/>
            </w:tcMar>
            <w:vAlign w:val="center"/>
          </w:tcPr>
          <w:p>
            <w:pPr>
              <w:spacing w:line="240" w:lineRule="auto" w:after="0"/>
              <w:jc w:val="left"/>
            </w:pPr>
            <w:r>
              <w:rPr>
                <w:rFonts w:ascii="Times New Roman" w:hAnsi="Times New Roman"/>
                <w:sz w:val="17"/>
              </w:rPr>
              <w:t>Hari 76–90: Evaluasi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Bandingkan KPI dengan baseline; telaah biaya dan layanan; putuskan lanjut/perbaiki/berhenti.</w:t>
            </w:r>
          </w:p>
        </w:tc>
        <w:tc>
          <w:tcPr>
            <w:tcW w:type="dxa" w:w="3288"/>
            <w:tcMar>
              <w:top w:w="75" w:type="dxa"/>
              <w:start w:w="80" w:type="dxa"/>
              <w:bottom w:w="75" w:type="dxa"/>
              <w:end w:w="80" w:type="dxa"/>
            </w:tcMar>
            <w:vAlign w:val="center"/>
          </w:tcPr>
          <w:p>
            <w:pPr>
              <w:spacing w:line="240" w:lineRule="auto" w:after="0"/>
              <w:jc w:val="left"/>
            </w:pPr>
            <w:r>
              <w:rPr>
                <w:rFonts w:ascii="Times New Roman" w:hAnsi="Times New Roman"/>
                <w:sz w:val="17"/>
              </w:rPr>
              <w:t>Keputusan gerbang; manajemen, keuangan, operasional.</w:t>
            </w:r>
          </w:p>
        </w:tc>
      </w:tr>
    </w:tbl>
    <w:p>
      <w:pPr>
        <w:spacing w:after="0"/>
      </w:pPr>
    </w:p>
    <w:p>
      <w:pPr>
        <w:pStyle w:val="Heading2"/>
      </w:pPr>
      <w:r>
        <w:t>5.2 Sumber Daya dan Tanggung Jawab</w:t>
      </w:r>
    </w:p>
    <w:p>
      <w:r>
        <w:rPr>
          <w:b w:val="0"/>
        </w:rPr>
        <w:t>Cantumkan sponsor operasional, dispatcher, pengemudi perwakilan, IT/vendor, keuangan, dan layanan pelanggan. Dispatcher memvalidasi rute; pengemudi menjalankan dan melaporkan kondisi; IT/vendor menangani konfigurasi dan dukungan; keuangan menilai biaya; manajemen menyetujui gerbang keputusan.</w:t>
      </w:r>
    </w:p>
    <w:p>
      <w:pPr>
        <w:pStyle w:val="Heading2"/>
      </w:pPr>
      <w:r>
        <w:t>5.3 Risiko dan Mitigasi</w:t>
      </w:r>
    </w:p>
    <w:tbl>
      <w:tblPr>
        <w:tblStyle w:val="TableGrid"/>
        <w:tblW w:type="auto" w:w="0"/>
        <w:jc w:val="center"/>
        <w:tblLook w:firstColumn="1" w:firstRow="1" w:lastColumn="0" w:lastRow="0" w:noHBand="0" w:noVBand="1" w:val="04A0"/>
      </w:tblPr>
      <w:tblGrid>
        <w:gridCol w:w="3120"/>
        <w:gridCol w:w="3120"/>
        <w:gridCol w:w="3120"/>
      </w:tblGrid>
      <w:tr>
        <w:tc>
          <w:tcPr>
            <w:tcW w:type="dxa" w:w="2324"/>
            <w:shd w:fill="D9E2F3"/>
            <w:vAlign w:val="center"/>
          </w:tcPr>
          <w:p>
            <w:pPr>
              <w:spacing w:line="240" w:lineRule="auto" w:after="0"/>
              <w:jc w:val="center"/>
            </w:pPr>
            <w:r>
              <w:rPr>
                <w:rFonts w:ascii="Times New Roman" w:hAnsi="Times New Roman"/>
                <w:b/>
                <w:sz w:val="17"/>
              </w:rPr>
              <w:t>Risiko</w:t>
            </w:r>
          </w:p>
        </w:tc>
        <w:tc>
          <w:tcPr>
            <w:tcW w:type="dxa" w:w="2494"/>
            <w:shd w:fill="D9E2F3"/>
            <w:vAlign w:val="center"/>
          </w:tcPr>
          <w:p>
            <w:pPr>
              <w:spacing w:line="240" w:lineRule="auto" w:after="0"/>
              <w:jc w:val="center"/>
            </w:pPr>
            <w:r>
              <w:rPr>
                <w:rFonts w:ascii="Times New Roman" w:hAnsi="Times New Roman"/>
                <w:b/>
                <w:sz w:val="17"/>
              </w:rPr>
              <w:t>Dampak</w:t>
            </w:r>
          </w:p>
        </w:tc>
        <w:tc>
          <w:tcPr>
            <w:tcW w:type="dxa" w:w="3969"/>
            <w:shd w:fill="D9E2F3"/>
            <w:vAlign w:val="center"/>
          </w:tcPr>
          <w:p>
            <w:pPr>
              <w:spacing w:line="240" w:lineRule="auto" w:after="0"/>
              <w:jc w:val="center"/>
            </w:pPr>
            <w:r>
              <w:rPr>
                <w:rFonts w:ascii="Times New Roman" w:hAnsi="Times New Roman"/>
                <w:b/>
                <w:sz w:val="17"/>
              </w:rPr>
              <w:t>Mitigasi</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Alamat/jam penerimaan salah</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Rute tidak realistis atau terlambat.</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Validasi dengan dispatcher, pengemudi, dan pelanggan.</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Aplikasi tidak mengenali kendala lokal</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Akses sulit atau rute tidak dapat dilalui.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Sediakan override, pelaporan kondisi, dan pembaruan data kendala.</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Sistem/jaringan gagal</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Visibilitas perjalanan hilang.</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Siapkan rute manual, kontak darurat, dan prosedur sinkronisasi.</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Resistensi pengguna</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Aplikasi tidak digunakan atau data tak lengkap.</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Libatkan pengguna sejak pilot, latih, dan tindak lanjuti umpan balik.</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Biaya melebihi batas/manfaat tidak tercapai</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Investasi tidak sesuai.</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Minta biaya lengkap, pilot terbatas, tetapkan kriteria lanjut/berhenti.</w:t>
            </w:r>
          </w:p>
        </w:tc>
      </w:tr>
      <w:tr>
        <w:tc>
          <w:tcPr>
            <w:tcW w:type="dxa" w:w="2324"/>
            <w:tcMar>
              <w:top w:w="75" w:type="dxa"/>
              <w:start w:w="80" w:type="dxa"/>
              <w:bottom w:w="75" w:type="dxa"/>
              <w:end w:w="80" w:type="dxa"/>
            </w:tcMar>
            <w:vAlign w:val="center"/>
          </w:tcPr>
          <w:p>
            <w:pPr>
              <w:spacing w:line="240" w:lineRule="auto" w:after="0"/>
              <w:jc w:val="left"/>
            </w:pPr>
            <w:r>
              <w:rPr>
                <w:rFonts w:ascii="Times New Roman" w:hAnsi="Times New Roman"/>
                <w:sz w:val="17"/>
              </w:rPr>
              <w:t>Penyalahgunaan data lokasi</w:t>
            </w:r>
          </w:p>
        </w:tc>
        <w:tc>
          <w:tcPr>
            <w:tcW w:type="dxa" w:w="2494"/>
            <w:tcMar>
              <w:top w:w="75" w:type="dxa"/>
              <w:start w:w="80" w:type="dxa"/>
              <w:bottom w:w="75" w:type="dxa"/>
              <w:end w:w="80" w:type="dxa"/>
            </w:tcMar>
            <w:vAlign w:val="center"/>
          </w:tcPr>
          <w:p>
            <w:pPr>
              <w:spacing w:line="240" w:lineRule="auto" w:after="0"/>
              <w:jc w:val="left"/>
            </w:pPr>
            <w:r>
              <w:rPr>
                <w:rFonts w:ascii="Times New Roman" w:hAnsi="Times New Roman"/>
                <w:sz w:val="17"/>
              </w:rPr>
              <w:t>Risiko privasi/keamanan.</w:t>
            </w:r>
          </w:p>
        </w:tc>
        <w:tc>
          <w:tcPr>
            <w:tcW w:type="dxa" w:w="3969"/>
            <w:tcMar>
              <w:top w:w="75" w:type="dxa"/>
              <w:start w:w="80" w:type="dxa"/>
              <w:bottom w:w="75" w:type="dxa"/>
              <w:end w:w="80" w:type="dxa"/>
            </w:tcMar>
            <w:vAlign w:val="center"/>
          </w:tcPr>
          <w:p>
            <w:pPr>
              <w:spacing w:line="240" w:lineRule="auto" w:after="0"/>
              <w:jc w:val="left"/>
            </w:pPr>
            <w:r>
              <w:rPr>
                <w:rFonts w:ascii="Times New Roman" w:hAnsi="Times New Roman"/>
                <w:sz w:val="17"/>
              </w:rPr>
              <w:t>Batasi akses, akun individual, tujuan penggunaan yang jelas, dan aturan retensi.</w:t>
            </w:r>
          </w:p>
        </w:tc>
      </w:tr>
    </w:tbl>
    <w:p>
      <w:pPr>
        <w:spacing w:after="0"/>
      </w:pPr>
    </w:p>
    <w:p>
      <w:pPr>
        <w:pStyle w:val="Heading2"/>
      </w:pPr>
      <w:r>
        <w:t>5.4 KPI</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D9E2F3"/>
            <w:vAlign w:val="center"/>
          </w:tcPr>
          <w:p>
            <w:pPr>
              <w:spacing w:line="240" w:lineRule="auto" w:after="0"/>
              <w:jc w:val="center"/>
            </w:pPr>
            <w:r>
              <w:rPr>
                <w:rFonts w:ascii="Times New Roman" w:hAnsi="Times New Roman"/>
                <w:b/>
                <w:sz w:val="16"/>
              </w:rPr>
              <w:t>KPI/definisi</w:t>
            </w:r>
          </w:p>
        </w:tc>
        <w:tc>
          <w:tcPr>
            <w:tcW w:type="dxa" w:w="2608"/>
            <w:shd w:fill="D9E2F3"/>
            <w:vAlign w:val="center"/>
          </w:tcPr>
          <w:p>
            <w:pPr>
              <w:spacing w:line="240" w:lineRule="auto" w:after="0"/>
              <w:jc w:val="center"/>
            </w:pPr>
            <w:r>
              <w:rPr>
                <w:rFonts w:ascii="Times New Roman" w:hAnsi="Times New Roman"/>
                <w:b/>
                <w:sz w:val="16"/>
              </w:rPr>
              <w:t>Baseline</w:t>
            </w:r>
          </w:p>
        </w:tc>
        <w:tc>
          <w:tcPr>
            <w:tcW w:type="dxa" w:w="3345"/>
            <w:shd w:fill="D9E2F3"/>
            <w:vAlign w:val="center"/>
          </w:tcPr>
          <w:p>
            <w:pPr>
              <w:spacing w:line="240" w:lineRule="auto" w:after="0"/>
              <w:jc w:val="center"/>
            </w:pPr>
            <w:r>
              <w:rPr>
                <w:rFonts w:ascii="Times New Roman" w:hAnsi="Times New Roman"/>
                <w:b/>
                <w:sz w:val="16"/>
              </w:rPr>
              <w:t>Target atau cara ukur</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Jarak tempuh total armada per hari/bulan</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3.000 km/hari dan 78.000 km/bulan dari rata-rata kasus; validasi dengan catatan aktual.</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Target soal: turun 15%; uji, bukan klaim hasil.</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Biaya BBM</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Estimasi simulasi Rp3 juta/hari, Rp78 juta/bulan.</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Ukur dengan liter dan harga aktual; bandingkan periode setara.</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Ketepatan waktu = kiriman tepat dalam jendela waktu ÷ total kiriman</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Belum tersedia.</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Ukur baseline; pastikan tidak memburuk saat pilot.</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Akurasi ETA = selisih ETA dengan waktu tiba aktual</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Belum tersedia.</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Catat per perjalanan; tetapkan target setelah baseline.</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Waktu tunggu di pelanggan</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Belum tersedia.</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Catat waktu tiba, mulai/selesai layanan; pantau mingguan.</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Pengiriman berhasil pada upaya pertama ÷ seluruh pengiriman</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Belum tersedia.</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Ukur baseline dan pilot dengan cakupan sama.</w:t>
            </w:r>
          </w:p>
        </w:tc>
      </w:tr>
      <w:tr>
        <w:tc>
          <w:tcPr>
            <w:tcW w:type="dxa" w:w="2835"/>
            <w:tcMar>
              <w:top w:w="75" w:type="dxa"/>
              <w:start w:w="80" w:type="dxa"/>
              <w:bottom w:w="75" w:type="dxa"/>
              <w:end w:w="80" w:type="dxa"/>
            </w:tcMar>
            <w:vAlign w:val="center"/>
          </w:tcPr>
          <w:p>
            <w:pPr>
              <w:spacing w:line="240" w:lineRule="auto" w:after="0"/>
              <w:jc w:val="left"/>
            </w:pPr>
            <w:r>
              <w:rPr>
                <w:rFonts w:ascii="Times New Roman" w:hAnsi="Times New Roman"/>
                <w:sz w:val="16"/>
              </w:rPr>
              <w:t>Kelengkapan pencatatan rute/status</w:t>
            </w:r>
          </w:p>
        </w:tc>
        <w:tc>
          <w:tcPr>
            <w:tcW w:type="dxa" w:w="2608"/>
            <w:tcMar>
              <w:top w:w="75" w:type="dxa"/>
              <w:start w:w="80" w:type="dxa"/>
              <w:bottom w:w="75" w:type="dxa"/>
              <w:end w:w="80" w:type="dxa"/>
            </w:tcMar>
            <w:vAlign w:val="center"/>
          </w:tcPr>
          <w:p>
            <w:pPr>
              <w:spacing w:line="240" w:lineRule="auto" w:after="0"/>
              <w:jc w:val="left"/>
            </w:pPr>
            <w:r>
              <w:rPr>
                <w:rFonts w:ascii="Times New Roman" w:hAnsi="Times New Roman"/>
                <w:sz w:val="16"/>
              </w:rPr>
              <w:t>Belum tersedia.</w:t>
            </w:r>
          </w:p>
        </w:tc>
        <w:tc>
          <w:tcPr>
            <w:tcW w:type="dxa" w:w="3345"/>
            <w:tcMar>
              <w:top w:w="75" w:type="dxa"/>
              <w:start w:w="80" w:type="dxa"/>
              <w:bottom w:w="75" w:type="dxa"/>
              <w:end w:w="80" w:type="dxa"/>
            </w:tcMar>
            <w:vAlign w:val="center"/>
          </w:tcPr>
          <w:p>
            <w:pPr>
              <w:spacing w:line="240" w:lineRule="auto" w:after="0"/>
              <w:jc w:val="left"/>
            </w:pPr>
            <w:r>
              <w:rPr>
                <w:rFonts w:ascii="Times New Roman" w:hAnsi="Times New Roman"/>
                <w:sz w:val="16"/>
              </w:rPr>
              <w:t>Tetapkan target setelah definisi transaksi dan pilot disepakati.</w:t>
            </w:r>
          </w:p>
        </w:tc>
      </w:tr>
    </w:tbl>
    <w:p>
      <w:pPr>
        <w:spacing w:after="0"/>
      </w:pPr>
    </w:p>
    <w:p>
      <w:r>
        <w:rPr>
          <w:b w:val="0"/>
        </w:rPr>
        <w:t>Jika jumlah pesanan, muatan, titik pengiriman, atau kondisi hari berbeda, catat atau normalisasi perbandingan agar hasil tidak menyesatkan. Tetapkan target numerik KPI yang belum punya baseline setelah pengukuran awal.</w:t>
      </w:r>
    </w:p>
    <w:p>
      <w:pPr>
        <w:pStyle w:val="Heading1"/>
      </w:pPr>
      <w:r>
        <w:t>DAFTAR PUSTAKA</w:t>
      </w:r>
    </w:p>
    <w:p>
      <w:r>
        <w:rPr>
          <w:b w:val="0"/>
        </w:rPr>
        <w:t>Gunakan sumber yang benar-benar dibaca dan dikutip. Verifikasi metadata, DOI, dan tautan sebelum menyerahkan laporan. Referensi berikut dapat menjadi titik awal untuk konsep perutean kendaraan:</w:t>
      </w:r>
    </w:p>
    <w:p>
      <w:pPr>
        <w:spacing w:line="276" w:lineRule="auto" w:after="80"/>
        <w:ind w:left="567" w:hanging="567"/>
      </w:pPr>
      <w:r>
        <w:t>Dantzig, G. B., &amp; Ramser, J. H. (1959). The truck dispatching problem. Management Science, 6(1), 80–91. https://doi.org/10.1287/mnsc.6.1.80</w:t>
      </w:r>
    </w:p>
    <w:p>
      <w:pPr>
        <w:spacing w:line="276" w:lineRule="auto" w:after="80"/>
        <w:ind w:left="567" w:hanging="567"/>
      </w:pPr>
      <w:r>
        <w:t>Laporte, G. (2009). Fifty years of vehicle routing. Transportation Science, 43(4), 408–416. https://doi.org/10.1287/trsc.1090.0301</w:t>
      </w:r>
    </w:p>
    <w:p>
      <w:pPr>
        <w:pStyle w:val="Heading2"/>
      </w:pPr>
      <w:r>
        <w:t>Pemeriksaan akhir</w:t>
      </w:r>
    </w:p>
    <w:p>
      <w:pPr>
        <w:pStyle w:val="ListBullet"/>
        <w:spacing w:line="312" w:lineRule="auto" w:after="0"/>
      </w:pPr>
      <w:r>
        <w:t>Pastikan fakta, hasil hitung, target, dan asumsi dibedakan.</w:t>
      </w:r>
    </w:p>
    <w:p>
      <w:pPr>
        <w:pStyle w:val="ListBullet"/>
        <w:spacing w:line="312" w:lineRule="auto" w:after="0"/>
      </w:pPr>
      <w:r>
        <w:t>Tulis rumus, periode, dan satuan setiap perhitungan.</w:t>
      </w:r>
    </w:p>
    <w:p>
      <w:pPr>
        <w:pStyle w:val="ListBullet"/>
        <w:spacing w:line="312" w:lineRule="auto" w:after="0"/>
      </w:pPr>
      <w:r>
        <w:t>Jangan mengklaim target 15% sudah tercapai sebelum pilot.</w:t>
      </w:r>
    </w:p>
    <w:p>
      <w:pPr>
        <w:pStyle w:val="ListBullet"/>
        <w:spacing w:line="312" w:lineRule="auto" w:after="0"/>
      </w:pPr>
      <w:r>
        <w:t>Bandingkan minimal tiga alternatif dan jelaskan dasar evaluasinya.</w:t>
      </w:r>
    </w:p>
    <w:p>
      <w:pPr>
        <w:pStyle w:val="ListBullet"/>
        <w:spacing w:line="312" w:lineRule="auto" w:after="0"/>
      </w:pPr>
      <w:r>
        <w:t>Berikan nomor/judul pada tabel dan gambar serta jelaskan maknanya.</w:t>
      </w:r>
    </w:p>
    <w:p>
      <w:pPr>
        <w:pStyle w:val="ListBullet"/>
        <w:spacing w:line="312" w:lineRule="auto" w:after="0"/>
      </w:pPr>
      <w:r>
        <w:t>Pastikan sitasi dalam teks cocok dengan daftar pustaka dan ikuti format tugas.</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PANDUAN PENULISAN LAPORAN — CASE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Penulisan Laporan Case 4: Armada Banyak, Pengiriman Tetap Terlambat</dc:title>
  <dc:subject>Panduan manual penyusunan laporan studi kasus Case 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