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BLOK REVISI V2 — KOREKSI BERBASIS TEKS PENUH</w:t>
      </w:r>
    </w:p>
    <w:p>
      <w:pPr>
        <w:jc w:val="center"/>
      </w:pPr>
      <w:r>
        <w:rPr>
          <w:rFonts w:ascii="Times New Roman" w:hAnsi="Times New Roman"/>
          <w:sz w:val="24"/>
        </w:rPr>
        <w:t>Michael Ch. Raintung — menuju naskah proposal final</w:t>
      </w:r>
    </w:p>
    <w:p>
      <w:pPr>
        <w:pStyle w:val="Heading1"/>
      </w:pPr>
      <w:r>
        <w:rPr>
          <w:rFonts w:ascii="Times New Roman" w:hAnsi="Times New Roman"/>
          <w:sz w:val="28"/>
        </w:rPr>
        <w:t>Blok Revisi v2 — Koreksi Berbasis Teks Penuh</w:t>
      </w:r>
    </w:p>
    <w:p>
      <w:pPr>
        <w:pStyle w:val="Heading2"/>
      </w:pPr>
      <w:r>
        <w:rPr>
          <w:rFonts w:ascii="Times New Roman" w:hAnsi="Times New Roman"/>
          <w:sz w:val="24"/>
        </w:rPr>
        <w:t>Pelengkap dan pengganti sebagian `patch-proposal-final.md` (v1)</w:t>
      </w:r>
    </w:p>
    <w:p>
      <w:r>
        <w:rPr>
          <w:rFonts w:ascii="Times New Roman" w:hAnsi="Times New Roman"/>
          <w:b/>
          <w:sz w:val="24"/>
        </w:rPr>
        <w:t>Mengapa ada v2.</w:t>
      </w:r>
      <w:r>
        <w:rPr>
          <w:rFonts w:ascii="Times New Roman" w:hAnsi="Times New Roman"/>
          <w:sz w:val="24"/>
        </w:rPr>
        <w:t xml:space="preserve"> Versi 1 disusun saat teks kedua berkas baru terbaca sebagian. Setelah kedua berkas berhasil ditarik </w:t>
      </w:r>
      <w:r>
        <w:rPr>
          <w:rFonts w:ascii="Times New Roman" w:hAnsi="Times New Roman"/>
          <w:b/>
          <w:sz w:val="24"/>
        </w:rPr>
        <w:t>utuh</w:t>
      </w:r>
      <w:r>
        <w:rPr>
          <w:rFonts w:ascii="Times New Roman" w:hAnsi="Times New Roman"/>
          <w:sz w:val="24"/>
        </w:rPr>
        <w:t xml:space="preserve">, ditemukan bahwa sebagian saran v1 </w:t>
      </w:r>
      <w:r>
        <w:rPr>
          <w:rFonts w:ascii="Times New Roman" w:hAnsi="Times New Roman"/>
          <w:b/>
          <w:sz w:val="24"/>
        </w:rPr>
        <w:t>sudah ada di berkas Anda</w:t>
      </w:r>
      <w:r>
        <w:rPr>
          <w:rFonts w:ascii="Times New Roman" w:hAnsi="Times New Roman"/>
          <w:sz w:val="24"/>
        </w:rPr>
        <w:t xml:space="preserve"> — dan bentuknya lebih baik daripada usulan saya. Dokumen ini menggantikan blok yang keliru dan menambahkan blok yang baru perlu.</w:t>
      </w:r>
    </w:p>
    <w:p>
      <w:r>
        <w:rPr>
          <w:rFonts w:ascii="Times New Roman" w:hAnsi="Times New Roman"/>
          <w:b/>
          <w:sz w:val="24"/>
        </w:rPr>
        <w:t>Ringkasan perubahan:</w:t>
      </w:r>
    </w:p>
    <w:tbl>
      <w:tblPr>
        <w:tblStyle w:val="TableGrid"/>
        <w:tblW w:type="auto" w:w="0"/>
        <w:tblLayout w:type="autofit"/>
        <w:tblLook w:firstColumn="1" w:firstRow="1" w:lastColumn="0" w:lastRow="0" w:noHBand="0" w:noVBand="1" w:val="04A0"/>
      </w:tblPr>
      <w:tblGrid>
        <w:gridCol w:w="2646"/>
        <w:gridCol w:w="2646"/>
        <w:gridCol w:w="2646"/>
      </w:tblGrid>
      <w:tr>
        <w:tc>
          <w:tcPr>
            <w:tcW w:type="dxa" w:w="2646"/>
          </w:tcPr>
          <w:p>
            <w:pPr>
              <w:spacing w:after="40" w:line="240" w:lineRule="auto"/>
            </w:pPr>
            <w:r>
              <w:rPr>
                <w:rFonts w:ascii="Times New Roman" w:hAnsi="Times New Roman"/>
                <w:b/>
                <w:sz w:val="24"/>
              </w:rPr>
              <w:t>Blok v1</w:t>
            </w:r>
          </w:p>
        </w:tc>
        <w:tc>
          <w:tcPr>
            <w:tcW w:type="dxa" w:w="2646"/>
          </w:tcPr>
          <w:p>
            <w:pPr>
              <w:spacing w:after="40" w:line="240" w:lineRule="auto"/>
            </w:pPr>
            <w:r>
              <w:rPr>
                <w:rFonts w:ascii="Times New Roman" w:hAnsi="Times New Roman"/>
                <w:b/>
                <w:sz w:val="24"/>
              </w:rPr>
              <w:t>Status</w:t>
            </w:r>
          </w:p>
        </w:tc>
        <w:tc>
          <w:tcPr>
            <w:tcW w:type="dxa" w:w="2646"/>
          </w:tcPr>
          <w:p>
            <w:pPr>
              <w:spacing w:after="40" w:line="240" w:lineRule="auto"/>
            </w:pPr>
            <w:r>
              <w:rPr>
                <w:rFonts w:ascii="Times New Roman" w:hAnsi="Times New Roman"/>
                <w:b/>
                <w:sz w:val="24"/>
              </w:rPr>
              <w:t>Keterangan</w:t>
            </w:r>
          </w:p>
        </w:tc>
      </w:tr>
      <w:tr>
        <w:tc>
          <w:tcPr>
            <w:tcW w:type="dxa" w:w="2646"/>
          </w:tcPr>
          <w:p>
            <w:pPr>
              <w:spacing w:after="40" w:line="240" w:lineRule="auto"/>
            </w:pPr>
            <w:r>
              <w:rPr>
                <w:rFonts w:ascii="Times New Roman" w:hAnsi="Times New Roman"/>
                <w:sz w:val="24"/>
              </w:rPr>
              <w:t>Blok 1 (Ringkasan), 2 (Hipotesis), 3 (Batasan), 6 (Kriteria inklusi), 7 (Uji instrumen 5 tahap), 8 (Kualitas data), 10 (Asumsi &amp; keterbatasan), 11 (Struktur instrumen), 12 (Aturan keputusan), 13 (Glosarium)</w:t>
            </w:r>
          </w:p>
        </w:tc>
        <w:tc>
          <w:tcPr>
            <w:tcW w:type="dxa" w:w="2646"/>
          </w:tcPr>
          <w:p>
            <w:pPr>
              <w:spacing w:after="40" w:line="240" w:lineRule="auto"/>
            </w:pPr>
            <w:r>
              <w:rPr>
                <w:rFonts w:ascii="Times New Roman" w:hAnsi="Times New Roman"/>
                <w:b/>
                <w:sz w:val="24"/>
              </w:rPr>
              <w:t>berlaku</w:t>
            </w:r>
          </w:p>
        </w:tc>
        <w:tc>
          <w:tcPr>
            <w:tcW w:type="dxa" w:w="2646"/>
          </w:tcPr>
          <w:p>
            <w:pPr>
              <w:spacing w:after="40" w:line="240" w:lineRule="auto"/>
            </w:pPr>
            <w:r>
              <w:rPr>
                <w:rFonts w:ascii="Times New Roman" w:hAnsi="Times New Roman"/>
                <w:sz w:val="24"/>
              </w:rPr>
              <w:t>Tetap dipakai seperti pada v1</w:t>
            </w:r>
          </w:p>
        </w:tc>
      </w:tr>
      <w:tr>
        <w:tc>
          <w:tcPr>
            <w:tcW w:type="dxa" w:w="2646"/>
          </w:tcPr>
          <w:p>
            <w:pPr>
              <w:spacing w:after="40" w:line="240" w:lineRule="auto"/>
            </w:pPr>
            <w:r>
              <w:rPr>
                <w:rFonts w:ascii="Times New Roman" w:hAnsi="Times New Roman"/>
                <w:b/>
                <w:sz w:val="24"/>
              </w:rPr>
              <w:t>Blok 4</w:t>
            </w:r>
            <w:r>
              <w:rPr>
                <w:rFonts w:ascii="Times New Roman" w:hAnsi="Times New Roman"/>
                <w:sz w:val="24"/>
              </w:rPr>
              <w:t xml:space="preserve"> (tabel objek penilaian)</w:t>
            </w:r>
          </w:p>
        </w:tc>
        <w:tc>
          <w:tcPr>
            <w:tcW w:type="dxa" w:w="2646"/>
          </w:tcPr>
          <w:p>
            <w:pPr>
              <w:spacing w:after="40" w:line="240" w:lineRule="auto"/>
            </w:pPr>
            <w:r>
              <w:rPr>
                <w:rFonts w:ascii="Times New Roman" w:hAnsi="Times New Roman"/>
                <w:b/>
                <w:sz w:val="24"/>
              </w:rPr>
              <w:t>DIGANTI</w:t>
            </w:r>
          </w:p>
        </w:tc>
        <w:tc>
          <w:tcPr>
            <w:tcW w:type="dxa" w:w="2646"/>
          </w:tcPr>
          <w:p>
            <w:pPr>
              <w:spacing w:after="40" w:line="240" w:lineRule="auto"/>
            </w:pPr>
            <w:r>
              <w:rPr>
                <w:rFonts w:ascii="Times New Roman" w:hAnsi="Times New Roman"/>
                <w:sz w:val="24"/>
              </w:rPr>
              <w:t xml:space="preserve">Sudah ada di berkas B sebagai </w:t>
            </w:r>
            <w:r>
              <w:rPr>
                <w:rFonts w:ascii="Times New Roman" w:hAnsi="Times New Roman"/>
                <w:b/>
                <w:sz w:val="24"/>
              </w:rPr>
              <w:t>Tabel 5</w:t>
            </w:r>
            <w:r>
              <w:rPr>
                <w:rFonts w:ascii="Times New Roman" w:hAnsi="Times New Roman"/>
                <w:sz w:val="24"/>
              </w:rPr>
              <w:t xml:space="preserve"> — pakai tabel B, bukan tabel saya</w:t>
            </w:r>
          </w:p>
        </w:tc>
      </w:tr>
      <w:tr>
        <w:tc>
          <w:tcPr>
            <w:tcW w:type="dxa" w:w="2646"/>
          </w:tcPr>
          <w:p>
            <w:pPr>
              <w:spacing w:after="40" w:line="240" w:lineRule="auto"/>
            </w:pPr>
            <w:r>
              <w:rPr>
                <w:rFonts w:ascii="Times New Roman" w:hAnsi="Times New Roman"/>
                <w:b/>
                <w:sz w:val="24"/>
              </w:rPr>
              <w:t>Blok 5</w:t>
            </w:r>
            <w:r>
              <w:rPr>
                <w:rFonts w:ascii="Times New Roman" w:hAnsi="Times New Roman"/>
                <w:sz w:val="24"/>
              </w:rPr>
              <w:t xml:space="preserve"> (peran &amp; batas tiap teori)</w:t>
            </w:r>
          </w:p>
        </w:tc>
        <w:tc>
          <w:tcPr>
            <w:tcW w:type="dxa" w:w="2646"/>
          </w:tcPr>
          <w:p>
            <w:pPr>
              <w:spacing w:after="40" w:line="240" w:lineRule="auto"/>
            </w:pPr>
            <w:r>
              <w:rPr>
                <w:rFonts w:ascii="Times New Roman" w:hAnsi="Times New Roman"/>
                <w:b/>
                <w:sz w:val="24"/>
              </w:rPr>
              <w:t>DIGANTI</w:t>
            </w:r>
          </w:p>
        </w:tc>
        <w:tc>
          <w:tcPr>
            <w:tcW w:type="dxa" w:w="2646"/>
          </w:tcPr>
          <w:p>
            <w:pPr>
              <w:spacing w:after="40" w:line="240" w:lineRule="auto"/>
            </w:pPr>
            <w:r>
              <w:rPr>
                <w:rFonts w:ascii="Times New Roman" w:hAnsi="Times New Roman"/>
                <w:sz w:val="24"/>
              </w:rPr>
              <w:t xml:space="preserve">Sudah ada di berkas B sebagai sub-bagian </w:t>
            </w:r>
            <w:r>
              <w:rPr>
                <w:rFonts w:ascii="Times New Roman" w:hAnsi="Times New Roman"/>
                <w:b/>
                <w:sz w:val="24"/>
              </w:rPr>
              <w:t>f &amp; g</w:t>
            </w:r>
            <w:r>
              <w:rPr>
                <w:rFonts w:ascii="Times New Roman" w:hAnsi="Times New Roman"/>
                <w:sz w:val="24"/>
              </w:rPr>
              <w:t xml:space="preserve"> — pakai versi B, tambahkan kolom "yang tidak dijelaskan" bila perlu</w:t>
            </w:r>
          </w:p>
        </w:tc>
      </w:tr>
      <w:tr>
        <w:tc>
          <w:tcPr>
            <w:tcW w:type="dxa" w:w="2646"/>
          </w:tcPr>
          <w:p>
            <w:pPr>
              <w:spacing w:after="40" w:line="240" w:lineRule="auto"/>
            </w:pPr>
            <w:r>
              <w:rPr>
                <w:rFonts w:ascii="Times New Roman" w:hAnsi="Times New Roman"/>
                <w:b/>
                <w:sz w:val="24"/>
              </w:rPr>
              <w:t>Blok 9</w:t>
            </w:r>
            <w:r>
              <w:rPr>
                <w:rFonts w:ascii="Times New Roman" w:hAnsi="Times New Roman"/>
                <w:sz w:val="24"/>
              </w:rPr>
              <w:t xml:space="preserve"> (aturan keputusan HTMT bertingkat)</w:t>
            </w:r>
          </w:p>
        </w:tc>
        <w:tc>
          <w:tcPr>
            <w:tcW w:type="dxa" w:w="2646"/>
          </w:tcPr>
          <w:p>
            <w:pPr>
              <w:spacing w:after="40" w:line="240" w:lineRule="auto"/>
            </w:pPr>
            <w:r>
              <w:rPr>
                <w:rFonts w:ascii="Times New Roman" w:hAnsi="Times New Roman"/>
                <w:b/>
                <w:sz w:val="24"/>
              </w:rPr>
              <w:t>DIGANTI</w:t>
            </w:r>
            <w:r>
              <w:rPr>
                <w:rFonts w:ascii="Times New Roman" w:hAnsi="Times New Roman"/>
                <w:sz w:val="24"/>
              </w:rPr>
              <w:t xml:space="preserve"> oleh Blok 9-v2</w:t>
            </w:r>
          </w:p>
        </w:tc>
        <w:tc>
          <w:tcPr>
            <w:tcW w:type="dxa" w:w="2646"/>
          </w:tcPr>
          <w:p>
            <w:pPr>
              <w:spacing w:after="40" w:line="240" w:lineRule="auto"/>
            </w:pPr>
            <w:r>
              <w:rPr>
                <w:rFonts w:ascii="Times New Roman" w:hAnsi="Times New Roman"/>
                <w:sz w:val="24"/>
              </w:rPr>
              <w:t xml:space="preserve">Berkas B </w:t>
            </w:r>
            <w:r>
              <w:rPr>
                <w:rFonts w:ascii="Times New Roman" w:hAnsi="Times New Roman"/>
                <w:b/>
                <w:sz w:val="24"/>
              </w:rPr>
              <w:t>sudah</w:t>
            </w:r>
            <w:r>
              <w:rPr>
                <w:rFonts w:ascii="Times New Roman" w:hAnsi="Times New Roman"/>
                <w:sz w:val="24"/>
              </w:rPr>
              <w:t xml:space="preserve"> memuat HTMT &lt; 0,85 dengan interval bootstrap dan menegaskan ambang </w:t>
            </w:r>
            <w:r>
              <w:rPr>
                <w:rFonts w:ascii="Times New Roman" w:hAnsi="Times New Roman"/>
                <w:b/>
                <w:sz w:val="24"/>
              </w:rPr>
              <w:t>bukan</w:t>
            </w:r>
            <w:r>
              <w:rPr>
                <w:rFonts w:ascii="Times New Roman" w:hAnsi="Times New Roman"/>
                <w:sz w:val="24"/>
              </w:rPr>
              <w:t xml:space="preserve"> aturan otomatis. Yang belum: rencana pelaporan bila acuan tidak tercapai</w:t>
            </w:r>
          </w:p>
        </w:tc>
      </w:tr>
    </w:tbl>
    <w:p/>
    <w:p>
      <w:pPr>
        <w:pStyle w:val="Heading2"/>
      </w:pPr>
      <w:r>
        <w:rPr>
          <w:rFonts w:ascii="Times New Roman" w:hAnsi="Times New Roman"/>
          <w:sz w:val="24"/>
        </w:rPr>
        <w:t>Blok 4-v2 — [PERTAHANKAN, JANGAN DIGANTI] Tabel 5 sudah benar; tambahkan catatan tindakan KI–AM</w:t>
      </w:r>
    </w:p>
    <w:p>
      <w:r>
        <w:rPr>
          <w:rFonts w:ascii="Times New Roman" w:hAnsi="Times New Roman"/>
          <w:sz w:val="24"/>
        </w:rPr>
        <w:t xml:space="preserve">Tabel 5 pada berkas B sudah memuat kode butir (KI1–KI9, HP1–HP9, AM1–AM12, AMD1–AMD9), fokus isi butir, dan kolom </w:t>
      </w:r>
      <w:r>
        <w:rPr>
          <w:rFonts w:ascii="Times New Roman" w:hAnsi="Times New Roman"/>
          <w:b/>
          <w:sz w:val="24"/>
        </w:rPr>
        <w:t>"Objek yang dinilai"</w:t>
      </w:r>
      <w:r>
        <w:rPr>
          <w:rFonts w:ascii="Times New Roman" w:hAnsi="Times New Roman"/>
          <w:sz w:val="24"/>
        </w:rPr>
        <w:t>. Jangan diganti. Yang perlu ditambahkan: satu paragraf di bawah tabel untuk pasangan yang paling rawan tumpang-tindih.</w:t>
      </w:r>
    </w:p>
    <w:p>
      <w:pPr>
        <w:ind w:left="567" w:right="283"/>
      </w:pPr>
      <w:r>
        <w:rPr>
          <w:rFonts w:ascii="Times New Roman" w:hAnsi="Times New Roman"/>
          <w:b/>
          <w:i/>
          <w:sz w:val="24"/>
        </w:rPr>
        <w:t>Tambahan paragraf (sisipkan setelah Tabel 5):</w:t>
      </w:r>
    </w:p>
    <w:p>
      <w:pPr>
        <w:ind w:left="567" w:right="283"/>
      </w:pPr>
    </w:p>
    <w:p>
      <w:pPr>
        <w:ind w:left="567" w:right="283"/>
      </w:pPr>
      <w:r>
        <w:rPr>
          <w:rFonts w:ascii="Times New Roman" w:hAnsi="Times New Roman"/>
          <w:i/>
          <w:sz w:val="24"/>
        </w:rPr>
        <w:t>Pasangan KI–AM dan HP–AM merupakan pasangan yang paling berdekatan secara konseptual, karena KI menilai kelayakan sumber informasi sementara AM menilai merek, dan HP menggambarkan ikatan dengan figur sementara AM menggambarkan penilaian atas janji serta tindakan merek. Ketiga hal itu dibedakan pada tingkat butir sebagaimana tercantum dalam tabel: butir KI seluruhnya menilai influencer, butir HP seluruhnya menilai hubungan responden dengan influencer, butir AM seluruhnya menilai merek acuan, dan butir AMD merupakan pernyataan tentang tindakan responden terhadap merek. Kesesuaian objek penilaian ini diverifikasi pada tahap audit butir dan panel ahli sebelum pengumpulan data, dan hasilnya diuji secara empiris melalui HTMT, Fornell–Larcker, serta cross-loading. Bila salah satu butir terbukti menilai objek yang berbeda dari kolom "Objek yang dinilai", butir tersebut ditulis ulang dan perubahan itu dicatat.</w:t>
      </w:r>
    </w:p>
    <w:p>
      <w:pPr>
        <w:pStyle w:val="Heading2"/>
      </w:pPr>
      <w:r>
        <w:rPr>
          <w:rFonts w:ascii="Times New Roman" w:hAnsi="Times New Roman"/>
          <w:sz w:val="24"/>
        </w:rPr>
        <w:t>Blok 5-v2 — [PERTAHANKAN] Sub-bagian f &amp; g dari berkas B adalah versi terbaik</w:t>
      </w:r>
    </w:p>
    <w:p>
      <w:r>
        <w:rPr>
          <w:rFonts w:ascii="Times New Roman" w:hAnsi="Times New Roman"/>
          <w:sz w:val="24"/>
        </w:rPr>
        <w:t xml:space="preserve">Berkas B sudah merumuskan sintesis peran teori (f) dan batas penggunaan teori (g) — termasuk penegasan bahwa susunan teori bersifat </w:t>
      </w:r>
      <w:r>
        <w:rPr>
          <w:rFonts w:ascii="Times New Roman" w:hAnsi="Times New Roman"/>
          <w:b/>
          <w:sz w:val="24"/>
        </w:rPr>
        <w:t>komplementer, bukan penjumlahan</w:t>
      </w:r>
      <w:r>
        <w:rPr>
          <w:rFonts w:ascii="Times New Roman" w:hAnsi="Times New Roman"/>
          <w:sz w:val="24"/>
        </w:rPr>
        <w:t>, serta bahwa urutan argumentasi ≠ urutan waktu yang diamati. Gunakan versi B apa adanya. Satu tambahan opsi, bila ingin lebih mudah dibaca penguji — ubah sub-bagian f menjadi tabel:</w:t>
      </w:r>
    </w:p>
    <w:tbl>
      <w:tblPr>
        <w:tblStyle w:val="TableGrid"/>
        <w:tblW w:type="auto" w:w="0"/>
        <w:tblLayout w:type="autofit"/>
        <w:tblLook w:firstColumn="1" w:firstRow="1" w:lastColumn="0" w:lastRow="0" w:noHBand="0" w:noVBand="1" w:val="04A0"/>
      </w:tblPr>
      <w:tblGrid>
        <w:gridCol w:w="2646"/>
        <w:gridCol w:w="2646"/>
        <w:gridCol w:w="2646"/>
      </w:tblGrid>
      <w:tr>
        <w:tc>
          <w:tcPr>
            <w:tcW w:type="dxa" w:w="2646"/>
          </w:tcPr>
          <w:p>
            <w:pPr>
              <w:spacing w:after="40" w:line="240" w:lineRule="auto"/>
            </w:pPr>
            <w:r>
              <w:rPr>
                <w:rFonts w:ascii="Times New Roman" w:hAnsi="Times New Roman"/>
                <w:b/>
                <w:sz w:val="24"/>
              </w:rPr>
              <w:t>Kerangka</w:t>
            </w:r>
          </w:p>
        </w:tc>
        <w:tc>
          <w:tcPr>
            <w:tcW w:type="dxa" w:w="2646"/>
          </w:tcPr>
          <w:p>
            <w:pPr>
              <w:spacing w:after="40" w:line="240" w:lineRule="auto"/>
            </w:pPr>
            <w:r>
              <w:rPr>
                <w:rFonts w:ascii="Times New Roman" w:hAnsi="Times New Roman"/>
                <w:b/>
                <w:sz w:val="24"/>
              </w:rPr>
              <w:t>Fungsi dalam model</w:t>
            </w:r>
          </w:p>
        </w:tc>
        <w:tc>
          <w:tcPr>
            <w:tcW w:type="dxa" w:w="2646"/>
          </w:tcPr>
          <w:p>
            <w:pPr>
              <w:spacing w:after="40" w:line="240" w:lineRule="auto"/>
            </w:pPr>
            <w:r>
              <w:rPr>
                <w:rFonts w:ascii="Times New Roman" w:hAnsi="Times New Roman"/>
                <w:b/>
                <w:sz w:val="24"/>
              </w:rPr>
              <w:t xml:space="preserve">Yang </w:t>
            </w:r>
            <w:r>
              <w:rPr>
                <w:rFonts w:ascii="Times New Roman" w:hAnsi="Times New Roman"/>
                <w:b/>
                <w:sz w:val="24"/>
              </w:rPr>
              <w:t>tidak</w:t>
            </w:r>
            <w:r>
              <w:rPr>
                <w:rFonts w:ascii="Times New Roman" w:hAnsi="Times New Roman"/>
                <w:b/>
                <w:sz w:val="24"/>
              </w:rPr>
              <w:t xml:space="preserve"> dijelaskan</w:t>
            </w:r>
          </w:p>
        </w:tc>
      </w:tr>
      <w:tr>
        <w:tc>
          <w:tcPr>
            <w:tcW w:type="dxa" w:w="2646"/>
          </w:tcPr>
          <w:p>
            <w:pPr>
              <w:spacing w:after="40" w:line="240" w:lineRule="auto"/>
            </w:pPr>
            <w:r>
              <w:rPr>
                <w:rFonts w:ascii="Times New Roman" w:hAnsi="Times New Roman"/>
                <w:sz w:val="24"/>
              </w:rPr>
              <w:t>Teori kredibilitas sumber</w:t>
            </w:r>
          </w:p>
        </w:tc>
        <w:tc>
          <w:tcPr>
            <w:tcW w:type="dxa" w:w="2646"/>
          </w:tcPr>
          <w:p>
            <w:pPr>
              <w:spacing w:after="40" w:line="240" w:lineRule="auto"/>
            </w:pPr>
            <w:r>
              <w:rPr>
                <w:rFonts w:ascii="Times New Roman" w:hAnsi="Times New Roman"/>
                <w:sz w:val="24"/>
              </w:rPr>
              <w:t>Menjelaskan penilaian awal terhadap influencer sebagai sumber pesan</w:t>
            </w:r>
          </w:p>
        </w:tc>
        <w:tc>
          <w:tcPr>
            <w:tcW w:type="dxa" w:w="2646"/>
          </w:tcPr>
          <w:p>
            <w:pPr>
              <w:spacing w:after="40" w:line="240" w:lineRule="auto"/>
            </w:pPr>
            <w:r>
              <w:rPr>
                <w:rFonts w:ascii="Times New Roman" w:hAnsi="Times New Roman"/>
                <w:sz w:val="24"/>
              </w:rPr>
              <w:t>Tidak memprediksi perpindahan penilaian dari figur ke merek</w:t>
            </w:r>
          </w:p>
        </w:tc>
      </w:tr>
      <w:tr>
        <w:tc>
          <w:tcPr>
            <w:tcW w:type="dxa" w:w="2646"/>
          </w:tcPr>
          <w:p>
            <w:pPr>
              <w:spacing w:after="40" w:line="240" w:lineRule="auto"/>
            </w:pPr>
            <w:r>
              <w:rPr>
                <w:rFonts w:ascii="Times New Roman" w:hAnsi="Times New Roman"/>
                <w:sz w:val="24"/>
              </w:rPr>
              <w:t>Teori hubungan parasosial</w:t>
            </w:r>
          </w:p>
        </w:tc>
        <w:tc>
          <w:tcPr>
            <w:tcW w:type="dxa" w:w="2646"/>
          </w:tcPr>
          <w:p>
            <w:pPr>
              <w:spacing w:after="40" w:line="240" w:lineRule="auto"/>
            </w:pPr>
            <w:r>
              <w:rPr>
                <w:rFonts w:ascii="Times New Roman" w:hAnsi="Times New Roman"/>
                <w:sz w:val="24"/>
              </w:rPr>
              <w:t>Menjelaskan rasa kedekatan yang relatif berkelanjutan terhadap figur</w:t>
            </w:r>
          </w:p>
        </w:tc>
        <w:tc>
          <w:tcPr>
            <w:tcW w:type="dxa" w:w="2646"/>
          </w:tcPr>
          <w:p>
            <w:pPr>
              <w:spacing w:after="40" w:line="240" w:lineRule="auto"/>
            </w:pPr>
            <w:r>
              <w:rPr>
                <w:rFonts w:ascii="Times New Roman" w:hAnsi="Times New Roman"/>
                <w:sz w:val="24"/>
              </w:rPr>
              <w:t>Tidak menjamin penerimaan seluruh klaim influencer</w:t>
            </w:r>
          </w:p>
        </w:tc>
      </w:tr>
      <w:tr>
        <w:tc>
          <w:tcPr>
            <w:tcW w:type="dxa" w:w="2646"/>
          </w:tcPr>
          <w:p>
            <w:pPr>
              <w:spacing w:after="40" w:line="240" w:lineRule="auto"/>
            </w:pPr>
            <w:r>
              <w:rPr>
                <w:rFonts w:ascii="Times New Roman" w:hAnsi="Times New Roman"/>
                <w:sz w:val="24"/>
              </w:rPr>
              <w:t>Transfer makna</w:t>
            </w:r>
          </w:p>
        </w:tc>
        <w:tc>
          <w:tcPr>
            <w:tcW w:type="dxa" w:w="2646"/>
          </w:tcPr>
          <w:p>
            <w:pPr>
              <w:spacing w:after="40" w:line="240" w:lineRule="auto"/>
            </w:pPr>
            <w:r>
              <w:rPr>
                <w:rFonts w:ascii="Times New Roman" w:hAnsi="Times New Roman"/>
                <w:sz w:val="24"/>
              </w:rPr>
              <w:t>Memberi alasan mengapa asosiasi figur dapat menjadi petunjuk ketika merek dinilai</w:t>
            </w:r>
          </w:p>
        </w:tc>
        <w:tc>
          <w:tcPr>
            <w:tcW w:type="dxa" w:w="2646"/>
          </w:tcPr>
          <w:p>
            <w:pPr>
              <w:spacing w:after="40" w:line="240" w:lineRule="auto"/>
            </w:pPr>
            <w:r>
              <w:rPr>
                <w:rFonts w:ascii="Times New Roman" w:hAnsi="Times New Roman"/>
                <w:sz w:val="24"/>
              </w:rPr>
              <w:t>Tidak menentukan arah pasti maupun besarnya keterkaitan</w:t>
            </w:r>
          </w:p>
        </w:tc>
      </w:tr>
      <w:tr>
        <w:tc>
          <w:tcPr>
            <w:tcW w:type="dxa" w:w="2646"/>
          </w:tcPr>
          <w:p>
            <w:pPr>
              <w:spacing w:after="40" w:line="240" w:lineRule="auto"/>
            </w:pPr>
            <w:r>
              <w:rPr>
                <w:rFonts w:ascii="Times New Roman" w:hAnsi="Times New Roman"/>
                <w:sz w:val="24"/>
              </w:rPr>
              <w:t>Kerangka autentisitas merek</w:t>
            </w:r>
          </w:p>
        </w:tc>
        <w:tc>
          <w:tcPr>
            <w:tcW w:type="dxa" w:w="2646"/>
          </w:tcPr>
          <w:p>
            <w:pPr>
              <w:spacing w:after="40" w:line="240" w:lineRule="auto"/>
            </w:pPr>
            <w:r>
              <w:rPr>
                <w:rFonts w:ascii="Times New Roman" w:hAnsi="Times New Roman"/>
                <w:sz w:val="24"/>
              </w:rPr>
              <w:t>Menentukan sifat evaluasi merek yang diukur</w:t>
            </w:r>
          </w:p>
        </w:tc>
        <w:tc>
          <w:tcPr>
            <w:tcW w:type="dxa" w:w="2646"/>
          </w:tcPr>
          <w:p>
            <w:pPr>
              <w:spacing w:after="40" w:line="240" w:lineRule="auto"/>
            </w:pPr>
            <w:r>
              <w:rPr>
                <w:rFonts w:ascii="Times New Roman" w:hAnsi="Times New Roman"/>
                <w:sz w:val="24"/>
              </w:rPr>
              <w:t>Tidak menjelaskan penilaian atas figur</w:t>
            </w:r>
          </w:p>
        </w:tc>
      </w:tr>
      <w:tr>
        <w:tc>
          <w:tcPr>
            <w:tcW w:type="dxa" w:w="2646"/>
          </w:tcPr>
          <w:p>
            <w:pPr>
              <w:spacing w:after="40" w:line="240" w:lineRule="auto"/>
            </w:pPr>
            <w:r>
              <w:rPr>
                <w:rFonts w:ascii="Times New Roman" w:hAnsi="Times New Roman"/>
                <w:sz w:val="24"/>
              </w:rPr>
              <w:t>Service-dominant logic</w:t>
            </w:r>
          </w:p>
        </w:tc>
        <w:tc>
          <w:tcPr>
            <w:tcW w:type="dxa" w:w="2646"/>
          </w:tcPr>
          <w:p>
            <w:pPr>
              <w:spacing w:after="40" w:line="240" w:lineRule="auto"/>
            </w:pPr>
            <w:r>
              <w:rPr>
                <w:rFonts w:ascii="Times New Roman" w:hAnsi="Times New Roman"/>
                <w:sz w:val="24"/>
              </w:rPr>
              <w:t>Memberi konteks mengapa kontribusi konsumen melalui advokasi digital bernilai</w:t>
            </w:r>
          </w:p>
        </w:tc>
        <w:tc>
          <w:tcPr>
            <w:tcW w:type="dxa" w:w="2646"/>
          </w:tcPr>
          <w:p>
            <w:pPr>
              <w:spacing w:after="40" w:line="240" w:lineRule="auto"/>
            </w:pPr>
            <w:r>
              <w:rPr>
                <w:rFonts w:ascii="Times New Roman" w:hAnsi="Times New Roman"/>
                <w:sz w:val="24"/>
              </w:rPr>
              <w:t>Tidak memprediksi setiap jalur dalam persamaan model</w:t>
            </w:r>
          </w:p>
        </w:tc>
      </w:tr>
    </w:tbl>
    <w:p/>
    <w:p>
      <w:pPr>
        <w:pStyle w:val="Heading2"/>
      </w:pPr>
      <w:r>
        <w:rPr>
          <w:rFonts w:ascii="Times New Roman" w:hAnsi="Times New Roman"/>
          <w:sz w:val="24"/>
        </w:rPr>
        <w:t>Blok 9-v2 — [GANTI] Rencana Pelaporan Validitas Diskriminan</w:t>
      </w:r>
    </w:p>
    <w:p>
      <w:r>
        <w:rPr>
          <w:rFonts w:ascii="Times New Roman" w:hAnsi="Times New Roman"/>
          <w:sz w:val="24"/>
        </w:rPr>
        <w:t xml:space="preserve">Menggantikan Blok 9 pada v1. Berkas B sudah menetapkan acuan (HTMT &lt; 0,85 dengan interval bootstrap; Fornell–Larcker sebagai pemeriksaan tambahan) dan dengan tepat menegaskan bahwa acuan itu </w:t>
      </w:r>
      <w:r>
        <w:rPr>
          <w:rFonts w:ascii="Times New Roman" w:hAnsi="Times New Roman"/>
          <w:b/>
          <w:sz w:val="24"/>
        </w:rPr>
        <w:t>bukan aturan otomatis untuk menghapus butir</w:t>
      </w:r>
      <w:r>
        <w:rPr>
          <w:rFonts w:ascii="Times New Roman" w:hAnsi="Times New Roman"/>
          <w:sz w:val="24"/>
        </w:rPr>
        <w:t xml:space="preserve">. Blok ini tidak mengubah sikap tersebut; yang ditambahkan hanyalah </w:t>
      </w:r>
      <w:r>
        <w:rPr>
          <w:rFonts w:ascii="Times New Roman" w:hAnsi="Times New Roman"/>
          <w:b/>
          <w:sz w:val="24"/>
        </w:rPr>
        <w:t>apa yang dilaporkan dan dilakukan</w:t>
      </w:r>
      <w:r>
        <w:rPr>
          <w:rFonts w:ascii="Times New Roman" w:hAnsi="Times New Roman"/>
          <w:sz w:val="24"/>
        </w:rPr>
        <w:t xml:space="preserve"> sehingga keputusan dapat diaudit.</w:t>
      </w:r>
    </w:p>
    <w:p>
      <w:r>
        <w:rPr>
          <w:rFonts w:ascii="Times New Roman" w:hAnsi="Times New Roman"/>
          <w:b/>
          <w:sz w:val="24"/>
        </w:rPr>
        <w:t>A. Yang dilaporkan (tanpa kecuali).</w:t>
      </w:r>
    </w:p>
    <w:p>
      <w:pPr>
        <w:pStyle w:val="ListNumber"/>
        <w:spacing w:after="40" w:line="360" w:lineRule="auto"/>
      </w:pPr>
      <w:r>
        <w:rPr>
          <w:rFonts w:ascii="Times New Roman" w:hAnsi="Times New Roman"/>
          <w:sz w:val="24"/>
        </w:rPr>
        <w:t xml:space="preserve">Tabel HTMT untuk seluruh pasangan konstruk reflektif, </w:t>
      </w:r>
      <w:r>
        <w:rPr>
          <w:rFonts w:ascii="Times New Roman" w:hAnsi="Times New Roman"/>
          <w:b/>
          <w:sz w:val="24"/>
        </w:rPr>
        <w:t>beserta interval kepercayaan bootstrap</w:t>
      </w:r>
      <w:r>
        <w:rPr>
          <w:rFonts w:ascii="Times New Roman" w:hAnsi="Times New Roman"/>
          <w:sz w:val="24"/>
        </w:rPr>
        <w:t xml:space="preserve"> — bukan pernyataan "telah memenuhi syarat".</w:t>
      </w:r>
    </w:p>
    <w:p>
      <w:pPr>
        <w:pStyle w:val="ListNumber"/>
        <w:spacing w:after="40" w:line="360" w:lineRule="auto"/>
      </w:pPr>
      <w:r>
        <w:rPr>
          <w:rFonts w:ascii="Times New Roman" w:hAnsi="Times New Roman"/>
          <w:sz w:val="24"/>
        </w:rPr>
        <w:t>Matriks Fornell–Larcker sebagai pemeriksaan tambahan.</w:t>
      </w:r>
    </w:p>
    <w:p>
      <w:pPr>
        <w:pStyle w:val="ListNumber"/>
        <w:spacing w:after="40" w:line="360" w:lineRule="auto"/>
      </w:pPr>
      <w:r>
        <w:rPr>
          <w:rFonts w:ascii="Times New Roman" w:hAnsi="Times New Roman"/>
          <w:sz w:val="24"/>
        </w:rPr>
        <w:t>Cross-loading butir, dengan perhatian pada pasangan KI–AM dan HP–AM.</w:t>
      </w:r>
    </w:p>
    <w:p>
      <w:pPr>
        <w:pStyle w:val="ListNumber"/>
        <w:spacing w:after="40" w:line="360" w:lineRule="auto"/>
      </w:pPr>
      <w:r>
        <w:rPr>
          <w:rFonts w:ascii="Times New Roman" w:hAnsi="Times New Roman"/>
          <w:sz w:val="24"/>
        </w:rPr>
        <w:t>Nilai loading setiap butir yang berada di bawah 0,708, disertai alasan mempertahankannya (isi, cakupan dimensi, hasil panel/pilot) — sesuai acuan Tabel 7 pada berkas B.</w:t>
      </w:r>
    </w:p>
    <w:p>
      <w:pPr>
        <w:pStyle w:val="ListNumber"/>
        <w:spacing w:after="40" w:line="360" w:lineRule="auto"/>
      </w:pPr>
      <w:r>
        <w:rPr>
          <w:rFonts w:ascii="Times New Roman" w:hAnsi="Times New Roman"/>
          <w:sz w:val="24"/>
        </w:rPr>
        <w:t>Hasil pemeriksaan redundansi melalui empat butir global.</w:t>
      </w:r>
    </w:p>
    <w:p>
      <w:r>
        <w:rPr>
          <w:rFonts w:ascii="Times New Roman" w:hAnsi="Times New Roman"/>
          <w:b/>
          <w:sz w:val="24"/>
        </w:rPr>
        <w:t>B. Tindak lanjut yang terdokumentasi.</w:t>
      </w:r>
    </w:p>
    <w:tbl>
      <w:tblPr>
        <w:tblStyle w:val="TableGrid"/>
        <w:tblW w:type="auto" w:w="0"/>
        <w:tblLayout w:type="autofit"/>
        <w:tblLook w:firstColumn="1" w:firstRow="1" w:lastColumn="0" w:lastRow="0" w:noHBand="0" w:noVBand="1" w:val="04A0"/>
      </w:tblPr>
      <w:tblGrid>
        <w:gridCol w:w="3968"/>
        <w:gridCol w:w="3968"/>
      </w:tblGrid>
      <w:tr>
        <w:tc>
          <w:tcPr>
            <w:tcW w:type="dxa" w:w="3968"/>
          </w:tcPr>
          <w:p>
            <w:pPr>
              <w:spacing w:after="40" w:line="240" w:lineRule="auto"/>
            </w:pPr>
            <w:r>
              <w:rPr>
                <w:rFonts w:ascii="Times New Roman" w:hAnsi="Times New Roman"/>
                <w:b/>
                <w:sz w:val="24"/>
              </w:rPr>
              <w:t>Keadaan</w:t>
            </w:r>
          </w:p>
        </w:tc>
        <w:tc>
          <w:tcPr>
            <w:tcW w:type="dxa" w:w="3968"/>
          </w:tcPr>
          <w:p>
            <w:pPr>
              <w:spacing w:after="40" w:line="240" w:lineRule="auto"/>
            </w:pPr>
            <w:r>
              <w:rPr>
                <w:rFonts w:ascii="Times New Roman" w:hAnsi="Times New Roman"/>
                <w:b/>
                <w:sz w:val="24"/>
              </w:rPr>
              <w:t>Tindakan yang dicatat</w:t>
            </w:r>
          </w:p>
        </w:tc>
      </w:tr>
      <w:tr>
        <w:tc>
          <w:tcPr>
            <w:tcW w:type="dxa" w:w="3968"/>
          </w:tcPr>
          <w:p>
            <w:pPr>
              <w:spacing w:after="40" w:line="240" w:lineRule="auto"/>
            </w:pPr>
            <w:r>
              <w:rPr>
                <w:rFonts w:ascii="Times New Roman" w:hAnsi="Times New Roman"/>
                <w:sz w:val="24"/>
              </w:rPr>
              <w:t>HTMT pasangan berdekatan &lt; 0,85</w:t>
            </w:r>
          </w:p>
        </w:tc>
        <w:tc>
          <w:tcPr>
            <w:tcW w:type="dxa" w:w="3968"/>
          </w:tcPr>
          <w:p>
            <w:pPr>
              <w:spacing w:after="40" w:line="240" w:lineRule="auto"/>
            </w:pPr>
            <w:r>
              <w:rPr>
                <w:rFonts w:ascii="Times New Roman" w:hAnsi="Times New Roman"/>
                <w:sz w:val="24"/>
              </w:rPr>
              <w:t>Lanjutkan; laporkan nilai dan intervalnya</w:t>
            </w:r>
          </w:p>
        </w:tc>
      </w:tr>
      <w:tr>
        <w:tc>
          <w:tcPr>
            <w:tcW w:type="dxa" w:w="3968"/>
          </w:tcPr>
          <w:p>
            <w:pPr>
              <w:spacing w:after="40" w:line="240" w:lineRule="auto"/>
            </w:pPr>
            <w:r>
              <w:rPr>
                <w:rFonts w:ascii="Times New Roman" w:hAnsi="Times New Roman"/>
                <w:sz w:val="24"/>
              </w:rPr>
              <w:t>HTMT 0,85–0,90</w:t>
            </w:r>
          </w:p>
        </w:tc>
        <w:tc>
          <w:tcPr>
            <w:tcW w:type="dxa" w:w="3968"/>
          </w:tcPr>
          <w:p>
            <w:pPr>
              <w:spacing w:after="40" w:line="240" w:lineRule="auto"/>
            </w:pPr>
            <w:r>
              <w:rPr>
                <w:rFonts w:ascii="Times New Roman" w:hAnsi="Times New Roman"/>
                <w:sz w:val="24"/>
              </w:rPr>
              <w:t xml:space="preserve">Telusuri butir penyebab; laporkan sebagai keterbatasan; jalankan uji sensitivitas </w:t>
            </w:r>
            <w:r>
              <w:rPr>
                <w:rFonts w:ascii="Times New Roman" w:hAnsi="Times New Roman"/>
                <w:b/>
                <w:sz w:val="24"/>
              </w:rPr>
              <w:t>tanpa</w:t>
            </w:r>
            <w:r>
              <w:rPr>
                <w:rFonts w:ascii="Times New Roman" w:hAnsi="Times New Roman"/>
                <w:sz w:val="24"/>
              </w:rPr>
              <w:t xml:space="preserve"> mengubah model utama; cantumkan dampaknya pada tafsir hipotesis</w:t>
            </w:r>
          </w:p>
        </w:tc>
      </w:tr>
      <w:tr>
        <w:tc>
          <w:tcPr>
            <w:tcW w:type="dxa" w:w="3968"/>
          </w:tcPr>
          <w:p>
            <w:pPr>
              <w:spacing w:after="40" w:line="240" w:lineRule="auto"/>
            </w:pPr>
            <w:r>
              <w:rPr>
                <w:rFonts w:ascii="Times New Roman" w:hAnsi="Times New Roman"/>
                <w:sz w:val="24"/>
              </w:rPr>
              <w:t>HTMT &gt; 0,90</w:t>
            </w:r>
          </w:p>
        </w:tc>
        <w:tc>
          <w:tcPr>
            <w:tcW w:type="dxa" w:w="3968"/>
          </w:tcPr>
          <w:p>
            <w:pPr>
              <w:spacing w:after="40" w:line="240" w:lineRule="auto"/>
            </w:pPr>
            <w:r>
              <w:rPr>
                <w:rFonts w:ascii="Times New Roman" w:hAnsi="Times New Roman"/>
                <w:sz w:val="24"/>
              </w:rPr>
              <w:t xml:space="preserve">Laporkan apa adanya; sajikan analisis sensitivitas; nyatakan secara eksplisit batas tafsir untuk konstruk tersebut. </w:t>
            </w:r>
            <w:r>
              <w:rPr>
                <w:rFonts w:ascii="Times New Roman" w:hAnsi="Times New Roman"/>
                <w:b/>
                <w:sz w:val="24"/>
              </w:rPr>
              <w:t>Perubahan butir tidak dilakukan setelah data utama dianalisis</w:t>
            </w:r>
            <w:r>
              <w:rPr>
                <w:rFonts w:ascii="Times New Roman" w:hAnsi="Times New Roman"/>
                <w:sz w:val="24"/>
              </w:rPr>
              <w:t xml:space="preserve"> — bila diperlukan revisi butir, revisi dilakukan melalui pengumpulan data tambahan pada gelombang terpisah dan dilaporkan sebagai prosedur tersendiri</w:t>
            </w:r>
          </w:p>
        </w:tc>
      </w:tr>
    </w:tbl>
    <w:p/>
    <w:p>
      <w:r>
        <w:rPr>
          <w:rFonts w:ascii="Times New Roman" w:hAnsi="Times New Roman"/>
          <w:b/>
          <w:sz w:val="24"/>
        </w:rPr>
        <w:t>C. Kalimat baku untuk Bab III (sisipkan sebelum tabel acuan).</w:t>
      </w:r>
    </w:p>
    <w:p>
      <w:pPr>
        <w:ind w:left="567" w:right="283"/>
      </w:pPr>
      <w:r>
        <w:rPr>
          <w:rFonts w:ascii="Times New Roman" w:hAnsi="Times New Roman"/>
          <w:i/>
          <w:sz w:val="24"/>
        </w:rPr>
        <w:t>Acuan evaluasi pada tabel berikut digunakan sebagai pedoman penilaian, bukan sebagai mesin penentu keputusan. Butir tidak dihapus secara otomatis karena nilainya berada di kisaran menengah, dan model tidak diubah demi memenuhi ambang. Seluruh nilai yang diperoleh dilaporkan apa adanya bersama interval kepercayaannya; bila suatu acuan tidak tercapai, temuan dilaporkan dengan batas tafsir yang jelas dan langkah yang diambil diuraikan pada bagian hasil.</w:t>
      </w:r>
    </w:p>
    <w:p>
      <w:pPr>
        <w:pStyle w:val="Heading2"/>
      </w:pPr>
      <w:r>
        <w:rPr>
          <w:rFonts w:ascii="Times New Roman" w:hAnsi="Times New Roman"/>
          <w:sz w:val="24"/>
        </w:rPr>
        <w:t>Blok 14 — [SISIP] Bab II.A.1: Kerangka Utama S-O-R dan Teori Pendukung (pindah dari berkas A)</w:t>
      </w:r>
    </w:p>
    <w:p>
      <w:r>
        <w:rPr>
          <w:rFonts w:ascii="Times New Roman" w:hAnsi="Times New Roman"/>
          <w:sz w:val="24"/>
        </w:rPr>
        <w:t xml:space="preserve">Berkas A memuat sub-bab ini secara eksplisit dan berkas B tidak. Karena S-O-R adalah kerangka utama studi, sub-bab ini </w:t>
      </w:r>
      <w:r>
        <w:rPr>
          <w:rFonts w:ascii="Times New Roman" w:hAnsi="Times New Roman"/>
          <w:b/>
          <w:sz w:val="24"/>
        </w:rPr>
        <w:t>wajib</w:t>
      </w:r>
      <w:r>
        <w:rPr>
          <w:rFonts w:ascii="Times New Roman" w:hAnsi="Times New Roman"/>
          <w:sz w:val="24"/>
        </w:rPr>
        <w:t xml:space="preserve"> ada di naskah gabungan. Susun kembali dari berkas A dengan urutan:</w:t>
      </w:r>
    </w:p>
    <w:p>
      <w:pPr>
        <w:pStyle w:val="ListNumber"/>
        <w:spacing w:after="40" w:line="360" w:lineRule="auto"/>
      </w:pPr>
      <w:r>
        <w:rPr>
          <w:rFonts w:ascii="Times New Roman" w:hAnsi="Times New Roman"/>
          <w:sz w:val="24"/>
        </w:rPr>
        <w:t>Definisi dan fungsi S-O-R (Jacoby, 2002): memberi struktur untuk menelaah respons konsumen dengan memperhitungkan proses internal, bukan mengasumsikan hubungan stimulus–perilaku selalu langsung.</w:t>
      </w:r>
    </w:p>
    <w:p>
      <w:pPr>
        <w:pStyle w:val="ListNumber"/>
        <w:spacing w:after="40" w:line="360" w:lineRule="auto"/>
      </w:pPr>
      <w:r>
        <w:rPr>
          <w:rFonts w:ascii="Times New Roman" w:hAnsi="Times New Roman"/>
          <w:sz w:val="24"/>
        </w:rPr>
        <w:t xml:space="preserve">Pemetaan peran: </w:t>
      </w:r>
      <w:r>
        <w:rPr>
          <w:rFonts w:ascii="Times New Roman" w:hAnsi="Times New Roman"/>
          <w:b/>
          <w:sz w:val="24"/>
        </w:rPr>
        <w:t>KI = stimulus; HP = respons relasional internal; AM = evaluasi internal berikutnya terhadap merek; AMD = kesediaan perilaku pro-merek di ranah digital.</w:t>
      </w:r>
    </w:p>
    <w:p>
      <w:pPr>
        <w:pStyle w:val="ListNumber"/>
        <w:spacing w:after="40" w:line="360" w:lineRule="auto"/>
      </w:pPr>
      <w:r>
        <w:rPr>
          <w:rFonts w:ascii="Times New Roman" w:hAnsi="Times New Roman"/>
          <w:sz w:val="24"/>
        </w:rPr>
        <w:t xml:space="preserve">Penegasan pembeda: HP dan AM diperlakukan sebagai </w:t>
      </w:r>
      <w:r>
        <w:rPr>
          <w:rFonts w:ascii="Times New Roman" w:hAnsi="Times New Roman"/>
          <w:b/>
          <w:sz w:val="24"/>
        </w:rPr>
        <w:t>dua mekanisme organism yang berbeda, bukan satu variabel psikologis yang digabungkan.</w:t>
      </w:r>
    </w:p>
    <w:p>
      <w:pPr>
        <w:pStyle w:val="ListNumber"/>
        <w:spacing w:after="40" w:line="360" w:lineRule="auto"/>
      </w:pPr>
      <w:r>
        <w:rPr>
          <w:rFonts w:ascii="Times New Roman" w:hAnsi="Times New Roman"/>
          <w:sz w:val="24"/>
        </w:rPr>
        <w:t>Batas kerangka: S-O-R tidak menetapkan bahwa kredibilitas harus membentuk hubungan parasosial, bahwa hubungan parasosial pasti mengubah autentisitas merek, maupun bahwa autentisitas pasti menghasilkan advokasi — hubungan mekanistik itu dibangun oleh teori pada sub-bagian berikut, lalu diuji dengan data.</w:t>
      </w:r>
    </w:p>
    <w:p>
      <w:pPr>
        <w:pStyle w:val="ListNumber"/>
        <w:spacing w:after="40" w:line="360" w:lineRule="auto"/>
      </w:pPr>
      <w:r>
        <w:rPr>
          <w:rFonts w:ascii="Times New Roman" w:hAnsi="Times New Roman"/>
          <w:sz w:val="24"/>
        </w:rPr>
        <w:t>Bukti pendukung dan batasnya: penggunaan S-O-R pada riset influencer mendukung relevansi kerangka, tetapi konstruk mediator dan luaran tiap studi berbeda (Luarn et al., 2025; Sahu et al., 2026).</w:t>
      </w:r>
    </w:p>
    <w:p>
      <w:pPr>
        <w:pStyle w:val="ListNumber"/>
        <w:spacing w:after="40" w:line="360" w:lineRule="auto"/>
      </w:pPr>
      <w:r>
        <w:rPr>
          <w:rFonts w:ascii="Times New Roman" w:hAnsi="Times New Roman"/>
          <w:sz w:val="24"/>
        </w:rPr>
        <w:t xml:space="preserve">Penempatan SDL: sebagai </w:t>
      </w:r>
      <w:r>
        <w:rPr>
          <w:rFonts w:ascii="Times New Roman" w:hAnsi="Times New Roman"/>
          <w:b/>
          <w:sz w:val="24"/>
        </w:rPr>
        <w:t>perspektif pendamping</w:t>
      </w:r>
      <w:r>
        <w:rPr>
          <w:rFonts w:ascii="Times New Roman" w:hAnsi="Times New Roman"/>
          <w:sz w:val="24"/>
        </w:rPr>
        <w:t xml:space="preserve"> tentang penciptaan nilai (Vargo &amp; Lusch, 2004, 2008), </w:t>
      </w:r>
      <w:r>
        <w:rPr>
          <w:rFonts w:ascii="Times New Roman" w:hAnsi="Times New Roman"/>
          <w:b/>
          <w:sz w:val="24"/>
        </w:rPr>
        <w:t>bukan teori mekanisme kedua</w:t>
      </w:r>
      <w:r>
        <w:rPr>
          <w:rFonts w:ascii="Times New Roman" w:hAnsi="Times New Roman"/>
          <w:sz w:val="24"/>
        </w:rPr>
        <w:t xml:space="preserve"> yang bersaing dengan S-O-R.</w:t>
      </w:r>
    </w:p>
    <w:p>
      <w:pPr>
        <w:pStyle w:val="Heading2"/>
      </w:pPr>
      <w:r>
        <w:rPr>
          <w:rFonts w:ascii="Times New Roman" w:hAnsi="Times New Roman"/>
          <w:sz w:val="24"/>
        </w:rPr>
        <w:t>Blok 15 — [SISIP] Bab I.A.8: Kesenjangan — gabungkan tiga lapisan A dengan disiplin penelusuran B</w:t>
      </w:r>
    </w:p>
    <w:p>
      <w:r>
        <w:rPr>
          <w:rFonts w:ascii="Times New Roman" w:hAnsi="Times New Roman"/>
          <w:sz w:val="24"/>
        </w:rPr>
        <w:t xml:space="preserve">Struktur yang dipakai: </w:t>
      </w:r>
      <w:r>
        <w:rPr>
          <w:rFonts w:ascii="Times New Roman" w:hAnsi="Times New Roman"/>
          <w:b/>
          <w:sz w:val="24"/>
        </w:rPr>
        <w:t>tiga lapisan dari berkas A</w:t>
      </w:r>
      <w:r>
        <w:rPr>
          <w:rFonts w:ascii="Times New Roman" w:hAnsi="Times New Roman"/>
          <w:sz w:val="24"/>
        </w:rPr>
        <w:t xml:space="preserve"> (yang lebih spesifik dan bersitasi 2025–2026), lalu </w:t>
      </w:r>
      <w:r>
        <w:rPr>
          <w:rFonts w:ascii="Times New Roman" w:hAnsi="Times New Roman"/>
          <w:b/>
          <w:sz w:val="24"/>
        </w:rPr>
        <w:t>dua kalimat pengendali dari berkas B</w:t>
      </w:r>
      <w:r>
        <w:rPr>
          <w:rFonts w:ascii="Times New Roman" w:hAnsi="Times New Roman"/>
          <w:sz w:val="24"/>
        </w:rPr>
        <w:t>. Tabel 2 dari berkas B dipindahkan ke Bab II.A.9 (kesenjangan penelitian dan kontribusi yang diharapkan).</w:t>
      </w:r>
    </w:p>
    <w:p>
      <w:r>
        <w:rPr>
          <w:rFonts w:ascii="Times New Roman" w:hAnsi="Times New Roman"/>
          <w:b/>
          <w:sz w:val="24"/>
        </w:rPr>
        <w:t>Susunan yang disarankan:</w:t>
      </w:r>
    </w:p>
    <w:p>
      <w:pPr>
        <w:pStyle w:val="ListNumber"/>
        <w:spacing w:after="40" w:line="360" w:lineRule="auto"/>
      </w:pPr>
      <w:r>
        <w:rPr>
          <w:rFonts w:ascii="Times New Roman" w:hAnsi="Times New Roman"/>
          <w:sz w:val="24"/>
        </w:rPr>
        <w:t>Paragraf pembuka versi A: kesenjangan dirumuskan dalam tiga lapisan inti, dengan batas konseptual sebagai perhatian lintas-lapisan.</w:t>
      </w:r>
    </w:p>
    <w:p>
      <w:pPr>
        <w:pStyle w:val="ListNumber"/>
        <w:spacing w:after="40" w:line="360" w:lineRule="auto"/>
      </w:pPr>
      <w:r>
        <w:rPr>
          <w:rFonts w:ascii="Times New Roman" w:hAnsi="Times New Roman"/>
          <w:b/>
          <w:sz w:val="24"/>
        </w:rPr>
        <w:t>Lapisan 1 — mekanisme:</w:t>
      </w:r>
      <w:r>
        <w:rPr>
          <w:rFonts w:ascii="Times New Roman" w:hAnsi="Times New Roman"/>
          <w:sz w:val="24"/>
        </w:rPr>
        <w:t xml:space="preserve"> penelitian terdahulu telah menguji hubungan kredibilitas influencer, hubungan parasosial, autentisitas, keterlibatan, serta advokasi, termasuk dengan kerangka S-O-R; namun mediator, urutan jalur, luaran, dan konteks yang digunakan beragam (Luarn et al., 2025; Sahu et al., 2026). Sejumlah studi menelaah autentisitas influencer dan advokasi, tetapi </w:t>
      </w:r>
      <w:r>
        <w:rPr>
          <w:rFonts w:ascii="Times New Roman" w:hAnsi="Times New Roman"/>
          <w:b/>
          <w:sz w:val="24"/>
        </w:rPr>
        <w:t>autentisitas influencer tidak sama dengan autentisitas merek</w:t>
      </w:r>
      <w:r>
        <w:rPr>
          <w:rFonts w:ascii="Times New Roman" w:hAnsi="Times New Roman"/>
          <w:sz w:val="24"/>
        </w:rPr>
        <w:t xml:space="preserve"> (Banerjee et al., 2025). Kalimat posisi: </w:t>
      </w:r>
      <w:r>
        <w:rPr>
          <w:rFonts w:ascii="Times New Roman" w:hAnsi="Times New Roman"/>
          <w:i/>
          <w:sz w:val="24"/>
        </w:rPr>
        <w:t>"penelitian ini menguji model serial terintegrasi tersebut, bukan mengklaim bahwa seluruh hubungan terkait belum pernah diteliti."</w:t>
      </w:r>
    </w:p>
    <w:p>
      <w:pPr>
        <w:pStyle w:val="ListNumber"/>
        <w:spacing w:after="40" w:line="360" w:lineRule="auto"/>
      </w:pPr>
      <w:r>
        <w:rPr>
          <w:rFonts w:ascii="Times New Roman" w:hAnsi="Times New Roman"/>
          <w:b/>
          <w:sz w:val="24"/>
        </w:rPr>
        <w:t>Lapisan 2 — luaran:</w:t>
      </w:r>
      <w:r>
        <w:rPr>
          <w:rFonts w:ascii="Times New Roman" w:hAnsi="Times New Roman"/>
          <w:sz w:val="24"/>
        </w:rPr>
        <w:t xml:space="preserve"> niat beli, sikap, dan loyalitas masih dominan, sedangkan advokasi digital merupakan keluaran dukungan sukarela yang berbeda dan telah menjadi fokus telaah serta pengukuran tersendiri (Babu et al., 2026; Shimul et al., 2025; Wilk et al., 2020).</w:t>
      </w:r>
    </w:p>
    <w:p>
      <w:pPr>
        <w:pStyle w:val="ListNumber"/>
        <w:spacing w:after="40" w:line="360" w:lineRule="auto"/>
      </w:pPr>
      <w:r>
        <w:rPr>
          <w:rFonts w:ascii="Times New Roman" w:hAnsi="Times New Roman"/>
          <w:b/>
          <w:sz w:val="24"/>
        </w:rPr>
        <w:t>Lapisan 3 — konteks:</w:t>
      </w:r>
      <w:r>
        <w:rPr>
          <w:rFonts w:ascii="Times New Roman" w:hAnsi="Times New Roman"/>
          <w:sz w:val="24"/>
        </w:rPr>
        <w:t xml:space="preserve"> bukti pada Gen Z di wilayah lain tidak otomatis berlaku bagi responden 18–27 tahun yang berdomisili di Sulawesi Utara.</w:t>
      </w:r>
    </w:p>
    <w:p>
      <w:pPr>
        <w:pStyle w:val="ListNumber"/>
        <w:spacing w:after="40" w:line="360" w:lineRule="auto"/>
      </w:pPr>
      <w:r>
        <w:rPr>
          <w:rFonts w:ascii="Times New Roman" w:hAnsi="Times New Roman"/>
          <w:b/>
          <w:sz w:val="24"/>
        </w:rPr>
        <w:t>Penutup (dari berkas B):</w:t>
      </w:r>
      <w:r>
        <w:rPr>
          <w:rFonts w:ascii="Times New Roman" w:hAnsi="Times New Roman"/>
          <w:sz w:val="24"/>
        </w:rPr>
        <w:t xml:space="preserve"> posisi penelitian diperiksa melalui penelusuran literatur pada Lampiran 3 — basis data, tanggal, kata kunci, batas tahun, jenis dokumen, dan kriteria pemilihan dicatat agar pencarian dapat ditelusuri; artikel empiris, tinjauan, dan karya teoretis dibedakan sesuai relevansinya. Tambahkan kalimat pengendali klaim: </w:t>
      </w:r>
      <w:r>
        <w:rPr>
          <w:rFonts w:ascii="Times New Roman" w:hAnsi="Times New Roman"/>
          <w:i/>
          <w:sz w:val="24"/>
        </w:rPr>
        <w:t>"Penelitian tidak menyatakan bahwa model 'belum pernah diteliti' hanya karena suatu kombinasi kata kunci menghasilkan sedikit dokumen."</w:t>
      </w:r>
    </w:p>
    <w:p>
      <w:pPr>
        <w:pStyle w:val="ListNumber"/>
        <w:spacing w:after="40" w:line="360" w:lineRule="auto"/>
      </w:pPr>
      <w:r>
        <w:rPr>
          <w:rFonts w:ascii="Times New Roman" w:hAnsi="Times New Roman"/>
          <w:sz w:val="24"/>
        </w:rPr>
        <w:t xml:space="preserve">Cantumkan rujukan silang ke </w:t>
      </w:r>
      <w:r>
        <w:rPr>
          <w:rFonts w:ascii="Times New Roman" w:hAnsi="Times New Roman"/>
          <w:b/>
          <w:sz w:val="24"/>
        </w:rPr>
        <w:t>Tabel 2</w:t>
      </w:r>
      <w:r>
        <w:rPr>
          <w:rFonts w:ascii="Times New Roman" w:hAnsi="Times New Roman"/>
          <w:sz w:val="24"/>
        </w:rPr>
        <w:t xml:space="preserve"> (kesenjangan dan keputusan desain) pada Bab II.</w:t>
      </w:r>
    </w:p>
    <w:p>
      <w:pPr>
        <w:pStyle w:val="Heading2"/>
      </w:pPr>
      <w:r>
        <w:rPr>
          <w:rFonts w:ascii="Times New Roman" w:hAnsi="Times New Roman"/>
          <w:sz w:val="24"/>
        </w:rPr>
        <w:t>Blok 16 — [PUTUSKAN] Dua konflik yang harus diselesaikan sebelum naskah digabung</w:t>
      </w:r>
    </w:p>
    <w:p>
      <w:r>
        <w:rPr>
          <w:rFonts w:ascii="Times New Roman" w:hAnsi="Times New Roman"/>
          <w:b/>
          <w:sz w:val="24"/>
        </w:rPr>
        <w:t>16.1 Jumlah butir.</w:t>
      </w:r>
      <w:r>
        <w:rPr>
          <w:rFonts w:ascii="Times New Roman" w:hAnsi="Times New Roman"/>
          <w:sz w:val="24"/>
        </w:rPr>
        <w:t xml:space="preserve"> Nyatakan satu kali saja, konsisten di semua tempat: </w:t>
      </w:r>
      <w:r>
        <w:rPr>
          <w:rFonts w:ascii="Times New Roman" w:hAnsi="Times New Roman"/>
          <w:b/>
          <w:sz w:val="24"/>
        </w:rPr>
        <w:t>39 butir inti = KI 9 (KI1–KI9) + HP 9 (HP1–HP9) + AM 12 (AM1–AM12) + AMD 9 (AMD1–AMD9)</w:t>
      </w:r>
      <w:r>
        <w:rPr>
          <w:rFonts w:ascii="Times New Roman" w:hAnsi="Times New Roman"/>
          <w:sz w:val="24"/>
        </w:rPr>
        <w:t xml:space="preserve">, ditambah </w:t>
      </w:r>
      <w:r>
        <w:rPr>
          <w:rFonts w:ascii="Times New Roman" w:hAnsi="Times New Roman"/>
          <w:b/>
          <w:sz w:val="24"/>
        </w:rPr>
        <w:t>4 butir global</w:t>
      </w:r>
      <w:r>
        <w:rPr>
          <w:rFonts w:ascii="Times New Roman" w:hAnsi="Times New Roman"/>
          <w:sz w:val="24"/>
        </w:rPr>
        <w:t xml:space="preserve"> untuk pemeriksaan redundansi. Periksa Ringkasan, Bab III.B.4, Tabel 5, Lampiran 1, dan Lampiran 2 — jangan ada penyebutan total yang berbeda.</w:t>
      </w:r>
    </w:p>
    <w:p>
      <w:r>
        <w:rPr>
          <w:rFonts w:ascii="Times New Roman" w:hAnsi="Times New Roman"/>
          <w:b/>
          <w:sz w:val="24"/>
        </w:rPr>
        <w:t>16.2 Durasi penelitian.</w:t>
      </w:r>
      <w:r>
        <w:rPr>
          <w:rFonts w:ascii="Times New Roman" w:hAnsi="Times New Roman"/>
          <w:sz w:val="24"/>
        </w:rPr>
        <w:t xml:space="preserve"> Berkas A dan B menyebut durasi berbeda (8 bulan vs 12 bulan bertahap 3+4+3+2). Gunakan </w:t>
      </w:r>
      <w:r>
        <w:rPr>
          <w:rFonts w:ascii="Times New Roman" w:hAnsi="Times New Roman"/>
          <w:b/>
          <w:sz w:val="24"/>
        </w:rPr>
        <w:t>jadwal 12 bulan yang lebih rinci</w:t>
      </w:r>
      <w:r>
        <w:rPr>
          <w:rFonts w:ascii="Times New Roman" w:hAnsi="Times New Roman"/>
          <w:sz w:val="24"/>
        </w:rPr>
        <w:t>, karena tahap panel ahli, wawancara kognitif, dan pilot memerlukan waktu tersendiri. Setelah dipilih, selaraskan setiap penyebutan durasi — termasuk pada Ringkasan, Bab III.A.4 (tempat dan waktu penelitian), dan Lampiran 5.</w:t>
      </w:r>
    </w:p>
    <w:p>
      <w:pPr>
        <w:pStyle w:val="Heading2"/>
      </w:pPr>
      <w:r>
        <w:rPr>
          <w:rFonts w:ascii="Times New Roman" w:hAnsi="Times New Roman"/>
          <w:sz w:val="24"/>
        </w:rPr>
        <w:t>Lampiran — Urutan pemasangan yang disarankan</w:t>
      </w:r>
    </w:p>
    <w:p>
      <w:pPr>
        <w:pStyle w:val="ListNumber"/>
        <w:spacing w:after="40" w:line="360" w:lineRule="auto"/>
      </w:pPr>
      <w:r>
        <w:rPr>
          <w:rFonts w:ascii="Times New Roman" w:hAnsi="Times New Roman"/>
          <w:sz w:val="24"/>
        </w:rPr>
        <w:t xml:space="preserve">Mulai dari berkas </w:t>
      </w:r>
      <w:r>
        <w:rPr>
          <w:rFonts w:ascii="Times New Roman" w:hAnsi="Times New Roman"/>
          <w:b/>
          <w:sz w:val="24"/>
        </w:rPr>
        <w:t>B (14 Oktober 2026)</w:t>
      </w:r>
      <w:r>
        <w:rPr>
          <w:rFonts w:ascii="Times New Roman" w:hAnsi="Times New Roman"/>
          <w:sz w:val="24"/>
        </w:rPr>
        <w:t xml:space="preserve"> sebagai kerangka utama — berkas ini memuat Tabel 2, Tabel 5, dan Tabel 7 yang menjadi tulang metodologis.</w:t>
      </w:r>
    </w:p>
    <w:p>
      <w:pPr>
        <w:pStyle w:val="ListNumber"/>
        <w:spacing w:after="40" w:line="360" w:lineRule="auto"/>
      </w:pPr>
      <w:r>
        <w:rPr>
          <w:rFonts w:ascii="Times New Roman" w:hAnsi="Times New Roman"/>
          <w:sz w:val="24"/>
        </w:rPr>
        <w:t xml:space="preserve">Jalankan </w:t>
      </w:r>
      <w:r>
        <w:rPr>
          <w:rFonts w:ascii="Times New Roman" w:hAnsi="Times New Roman"/>
          <w:b/>
          <w:sz w:val="24"/>
        </w:rPr>
        <w:t>Blok 13 (glosarium, v1)</w:t>
      </w:r>
      <w:r>
        <w:rPr>
          <w:rFonts w:ascii="Times New Roman" w:hAnsi="Times New Roman"/>
          <w:sz w:val="24"/>
        </w:rPr>
        <w:t xml:space="preserve"> lebih dahulu.</w:t>
      </w:r>
    </w:p>
    <w:p>
      <w:pPr>
        <w:pStyle w:val="ListNumber"/>
        <w:spacing w:after="40" w:line="360" w:lineRule="auto"/>
      </w:pPr>
      <w:r>
        <w:rPr>
          <w:rFonts w:ascii="Times New Roman" w:hAnsi="Times New Roman"/>
          <w:sz w:val="24"/>
        </w:rPr>
        <w:t xml:space="preserve">Sisipkan </w:t>
      </w:r>
      <w:r>
        <w:rPr>
          <w:rFonts w:ascii="Times New Roman" w:hAnsi="Times New Roman"/>
          <w:b/>
          <w:sz w:val="24"/>
        </w:rPr>
        <w:t>Blok 14</w:t>
      </w:r>
      <w:r>
        <w:rPr>
          <w:rFonts w:ascii="Times New Roman" w:hAnsi="Times New Roman"/>
          <w:sz w:val="24"/>
        </w:rPr>
        <w:t xml:space="preserve"> (S-O-R dari A) ke Bab II.A.1.</w:t>
      </w:r>
    </w:p>
    <w:p>
      <w:pPr>
        <w:pStyle w:val="ListNumber"/>
        <w:spacing w:after="40" w:line="360" w:lineRule="auto"/>
      </w:pPr>
      <w:r>
        <w:rPr>
          <w:rFonts w:ascii="Times New Roman" w:hAnsi="Times New Roman"/>
          <w:sz w:val="24"/>
        </w:rPr>
        <w:t xml:space="preserve">Ganti narasi kesenjangan dengan </w:t>
      </w:r>
      <w:r>
        <w:rPr>
          <w:rFonts w:ascii="Times New Roman" w:hAnsi="Times New Roman"/>
          <w:b/>
          <w:sz w:val="24"/>
        </w:rPr>
        <w:t>Blok 15</w:t>
      </w:r>
      <w:r>
        <w:rPr>
          <w:rFonts w:ascii="Times New Roman" w:hAnsi="Times New Roman"/>
          <w:sz w:val="24"/>
        </w:rPr>
        <w:t xml:space="preserve"> (tiga lapisan A + disiplin B).</w:t>
      </w:r>
    </w:p>
    <w:p>
      <w:pPr>
        <w:pStyle w:val="ListNumber"/>
        <w:spacing w:after="40" w:line="360" w:lineRule="auto"/>
      </w:pPr>
      <w:r>
        <w:rPr>
          <w:rFonts w:ascii="Times New Roman" w:hAnsi="Times New Roman"/>
          <w:sz w:val="24"/>
        </w:rPr>
        <w:t xml:space="preserve">Pindahkan </w:t>
      </w:r>
      <w:r>
        <w:rPr>
          <w:rFonts w:ascii="Times New Roman" w:hAnsi="Times New Roman"/>
          <w:b/>
          <w:sz w:val="24"/>
        </w:rPr>
        <w:t>Lampiran 1 bagian lembar informasi &amp; pertanyaan penyaringan dari A</w:t>
      </w:r>
      <w:r>
        <w:rPr>
          <w:rFonts w:ascii="Times New Roman" w:hAnsi="Times New Roman"/>
          <w:sz w:val="24"/>
        </w:rPr>
        <w:t xml:space="preserve"> (blok etika A paling lengkap).</w:t>
      </w:r>
    </w:p>
    <w:p>
      <w:pPr>
        <w:pStyle w:val="ListNumber"/>
        <w:spacing w:after="40" w:line="360" w:lineRule="auto"/>
      </w:pPr>
      <w:r>
        <w:rPr>
          <w:rFonts w:ascii="Times New Roman" w:hAnsi="Times New Roman"/>
          <w:sz w:val="24"/>
        </w:rPr>
        <w:t xml:space="preserve">Terapkan </w:t>
      </w:r>
      <w:r>
        <w:rPr>
          <w:rFonts w:ascii="Times New Roman" w:hAnsi="Times New Roman"/>
          <w:b/>
          <w:sz w:val="24"/>
        </w:rPr>
        <w:t>Blok 4-v2, 5-v2, 9-v2</w:t>
      </w:r>
      <w:r>
        <w:rPr>
          <w:rFonts w:ascii="Times New Roman" w:hAnsi="Times New Roman"/>
          <w:sz w:val="24"/>
        </w:rPr>
        <w:t xml:space="preserve"> pada Bab II.B.5 dan Bab III.D.</w:t>
      </w:r>
    </w:p>
    <w:p>
      <w:pPr>
        <w:pStyle w:val="ListNumber"/>
        <w:spacing w:after="40" w:line="360" w:lineRule="auto"/>
      </w:pPr>
      <w:r>
        <w:rPr>
          <w:rFonts w:ascii="Times New Roman" w:hAnsi="Times New Roman"/>
          <w:sz w:val="24"/>
        </w:rPr>
        <w:t>Terapkan blok v1 yang masih berlaku: 1, 2, 3, 6, 7, 8, 10, 11, 12.</w:t>
      </w:r>
    </w:p>
    <w:p>
      <w:pPr>
        <w:pStyle w:val="ListNumber"/>
        <w:spacing w:after="40" w:line="360" w:lineRule="auto"/>
      </w:pPr>
      <w:r>
        <w:rPr>
          <w:rFonts w:ascii="Times New Roman" w:hAnsi="Times New Roman"/>
          <w:sz w:val="24"/>
        </w:rPr>
        <w:t xml:space="preserve">Selesaikan </w:t>
      </w:r>
      <w:r>
        <w:rPr>
          <w:rFonts w:ascii="Times New Roman" w:hAnsi="Times New Roman"/>
          <w:b/>
          <w:sz w:val="24"/>
        </w:rPr>
        <w:t>Blok 16</w:t>
      </w:r>
      <w:r>
        <w:rPr>
          <w:rFonts w:ascii="Times New Roman" w:hAnsi="Times New Roman"/>
          <w:sz w:val="24"/>
        </w:rPr>
        <w:t xml:space="preserve"> (dua konflik) lalu periksa silang penomoran, jumlah butir, durasi, dan daftar pustaka.</w:t>
      </w:r>
    </w:p>
    <w:p>
      <w:pPr>
        <w:pStyle w:val="ListNumber"/>
        <w:spacing w:after="40" w:line="360" w:lineRule="auto"/>
      </w:pPr>
      <w:r>
        <w:rPr>
          <w:rFonts w:ascii="Times New Roman" w:hAnsi="Times New Roman"/>
          <w:sz w:val="24"/>
        </w:rPr>
        <w:t xml:space="preserve">Jalankan checklist pada </w:t>
      </w:r>
      <w:r>
        <w:rPr>
          <w:rFonts w:ascii="Times New Roman" w:hAnsi="Times New Roman"/>
          <w:sz w:val="20"/>
        </w:rPr>
        <w:t>laporan-integrasi-proposal.md</w:t>
      </w:r>
      <w:r>
        <w:rPr>
          <w:rFonts w:ascii="Times New Roman" w:hAnsi="Times New Roman"/>
          <w:sz w:val="24"/>
        </w:rPr>
        <w:t xml:space="preserve"> Bagian 7 dan periksa ulang dengan </w:t>
      </w:r>
      <w:r>
        <w:rPr>
          <w:rFonts w:ascii="Times New Roman" w:hAnsi="Times New Roman"/>
          <w:sz w:val="20"/>
        </w:rPr>
        <w:t>perbandingan-versi-rinci.md</w:t>
      </w:r>
      <w:r>
        <w:rPr>
          <w:rFonts w:ascii="Times New Roman" w:hAnsi="Times New Roman"/>
          <w:sz w:val="24"/>
        </w:rPr>
        <w:t xml:space="preserve"> Bagian 6.</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