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PERBANDINGAN RINCI DUA VERSI PROPOSAL</w:t>
      </w:r>
    </w:p>
    <w:p>
      <w:pPr>
        <w:jc w:val="center"/>
      </w:pPr>
      <w:r>
        <w:rPr>
          <w:rFonts w:ascii="Times New Roman" w:hAnsi="Times New Roman"/>
          <w:sz w:val="24"/>
        </w:rPr>
        <w:t>Michael Ch. Raintung — Doktor Ilmu Manajemen, Universitas Sam Ratulangi</w:t>
      </w:r>
    </w:p>
    <w:p>
      <w:pPr>
        <w:pStyle w:val="Heading1"/>
      </w:pPr>
      <w:r>
        <w:rPr>
          <w:rFonts w:ascii="Times New Roman" w:hAnsi="Times New Roman"/>
          <w:sz w:val="28"/>
        </w:rPr>
        <w:t>Perbandingan Rinci Dua Versi Proposal — Berbasis Teks Penuh</w:t>
      </w:r>
    </w:p>
    <w:p>
      <w:pPr>
        <w:pStyle w:val="Heading2"/>
      </w:pPr>
      <w:r>
        <w:rPr>
          <w:rFonts w:ascii="Times New Roman" w:hAnsi="Times New Roman"/>
          <w:sz w:val="24"/>
        </w:rPr>
        <w:t>Model Pembentukan Advokasi Merek Digital melalui Kredibilitas Influencer pada Generasi Z di Sulawesi Utara</w:t>
      </w:r>
    </w:p>
    <w:p>
      <w:r>
        <w:rPr>
          <w:rFonts w:ascii="Times New Roman" w:hAnsi="Times New Roman"/>
          <w:b/>
          <w:sz w:val="24"/>
        </w:rPr>
        <w:t>Kandidat:</w:t>
      </w:r>
      <w:r>
        <w:rPr>
          <w:rFonts w:ascii="Times New Roman" w:hAnsi="Times New Roman"/>
          <w:sz w:val="24"/>
        </w:rPr>
        <w:t xml:space="preserve"> Michael Ch. Raintung (NIM 252031130016) — Doktor Ilmu Manajemen, Pascasarjana Universitas Sam Ratulangi </w:t>
      </w:r>
      <w:r>
        <w:rPr>
          <w:rFonts w:ascii="Times New Roman" w:hAnsi="Times New Roman"/>
          <w:b/>
          <w:sz w:val="24"/>
        </w:rPr>
        <w:t>Disusun:</w:t>
      </w:r>
      <w:r>
        <w:rPr>
          <w:rFonts w:ascii="Times New Roman" w:hAnsi="Times New Roman"/>
          <w:sz w:val="24"/>
        </w:rPr>
        <w:t xml:space="preserve"> 15 Oktober 2026, dari </w:t>
      </w:r>
      <w:r>
        <w:rPr>
          <w:rFonts w:ascii="Times New Roman" w:hAnsi="Times New Roman"/>
          <w:b/>
          <w:sz w:val="24"/>
        </w:rPr>
        <w:t>teks penuh kedua berkas</w:t>
      </w:r>
      <w:r>
        <w:rPr>
          <w:rFonts w:ascii="Times New Roman" w:hAnsi="Times New Roman"/>
          <w:sz w:val="24"/>
        </w:rPr>
        <w:t xml:space="preserve"> (A ≈ 22.263 kata / 174.000 karakter; B ≈ 21.912 kata / 178.000 karakter) </w:t>
      </w:r>
      <w:r>
        <w:rPr>
          <w:rFonts w:ascii="Times New Roman" w:hAnsi="Times New Roman"/>
          <w:b/>
          <w:sz w:val="24"/>
        </w:rPr>
        <w:t>Sifat dokumen:</w:t>
      </w:r>
      <w:r>
        <w:rPr>
          <w:rFonts w:ascii="Times New Roman" w:hAnsi="Times New Roman"/>
          <w:sz w:val="24"/>
        </w:rPr>
        <w:t xml:space="preserve"> laporan kerja internal — bukan bagian naskah yang diserahkan</w:t>
      </w:r>
    </w:p>
    <w:p>
      <w:pPr>
        <w:ind w:left="567" w:right="283"/>
      </w:pPr>
      <w:r>
        <w:rPr>
          <w:rFonts w:ascii="Times New Roman" w:hAnsi="Times New Roman"/>
          <w:b/>
          <w:i/>
          <w:sz w:val="24"/>
        </w:rPr>
        <w:t>Catatan penting:</w:t>
      </w:r>
      <w:r>
        <w:rPr>
          <w:rFonts w:ascii="Times New Roman" w:hAnsi="Times New Roman"/>
          <w:i/>
          <w:sz w:val="24"/>
        </w:rPr>
        <w:t xml:space="preserve"> laporan ini disusun setelah kedua berkas proposal berhasil ditarik utuh ke lingkungan kerja saya. Karena itu isinya </w:t>
      </w:r>
      <w:r>
        <w:rPr>
          <w:rFonts w:ascii="Times New Roman" w:hAnsi="Times New Roman"/>
          <w:b/>
          <w:i/>
          <w:sz w:val="24"/>
        </w:rPr>
        <w:t>mengoreksi</w:t>
      </w:r>
      <w:r>
        <w:rPr>
          <w:rFonts w:ascii="Times New Roman" w:hAnsi="Times New Roman"/>
          <w:i/>
          <w:sz w:val="24"/>
        </w:rPr>
        <w:t xml:space="preserve"> beberapa saran pada laporan pertama, yang waktu itu disusun dari pembacaan sebagian (terpotong). Bagian yang dikoreksi ditandai </w:t>
      </w:r>
      <w:r>
        <w:rPr>
          <w:rFonts w:ascii="Times New Roman" w:hAnsi="Times New Roman"/>
          <w:b/>
          <w:i/>
          <w:sz w:val="24"/>
        </w:rPr>
        <w:t>[KOREKSI]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2"/>
      </w:pPr>
      <w:r>
        <w:rPr>
          <w:rFonts w:ascii="Times New Roman" w:hAnsi="Times New Roman"/>
          <w:sz w:val="24"/>
        </w:rPr>
        <w:t>1. Hasil pembandingan kuantitatif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39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4"/>
              </w:rPr>
              <w:t>Ukuran</w:t>
            </w:r>
          </w:p>
        </w:tc>
        <w:tc>
          <w:tcPr>
            <w:tcW w:type="dxa" w:w="39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4"/>
              </w:rPr>
              <w:t>Nilai</w:t>
            </w:r>
          </w:p>
        </w:tc>
      </w:tr>
      <w:tr>
        <w:tc>
          <w:tcPr>
            <w:tcW w:type="dxa" w:w="39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Segmen teks dibandingkan</w:t>
            </w:r>
          </w:p>
        </w:tc>
        <w:tc>
          <w:tcPr>
            <w:tcW w:type="dxa" w:w="39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500 (A) vs 479 (B)</w:t>
            </w:r>
          </w:p>
        </w:tc>
      </w:tr>
      <w:tr>
        <w:tc>
          <w:tcPr>
            <w:tcW w:type="dxa" w:w="39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Pasangan paragraf mirip (≥0,45)</w:t>
            </w:r>
          </w:p>
        </w:tc>
        <w:tc>
          <w:tcPr>
            <w:tcW w:type="dxa" w:w="39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4"/>
              </w:rPr>
              <w:t>448</w:t>
            </w:r>
          </w:p>
        </w:tc>
      </w:tr>
      <w:tr>
        <w:tc>
          <w:tcPr>
            <w:tcW w:type="dxa" w:w="39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Pasangan nyaris identik (≥0,85)</w:t>
            </w:r>
          </w:p>
        </w:tc>
        <w:tc>
          <w:tcPr>
            <w:tcW w:type="dxa" w:w="39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4"/>
              </w:rPr>
              <w:t>182</w:t>
            </w:r>
          </w:p>
        </w:tc>
      </w:tr>
      <w:tr>
        <w:tc>
          <w:tcPr>
            <w:tcW w:type="dxa" w:w="39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4"/>
              </w:rPr>
              <w:t>Segmen tidak ada padanannya di berkas lain</w:t>
            </w:r>
          </w:p>
        </w:tc>
        <w:tc>
          <w:tcPr>
            <w:tcW w:type="dxa" w:w="39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4"/>
              </w:rPr>
              <w:t>A: 73 segmen · B: 55 segmen</w:t>
            </w:r>
          </w:p>
        </w:tc>
      </w:tr>
      <w:tr>
        <w:tc>
          <w:tcPr>
            <w:tcW w:type="dxa" w:w="39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Topik konflik angka terdeteksi</w:t>
            </w:r>
          </w:p>
        </w:tc>
        <w:tc>
          <w:tcPr>
            <w:tcW w:type="dxa" w:w="396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2 (jumlah item instrumen, durasi)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Tafsir:</w:t>
      </w:r>
      <w:r>
        <w:rPr>
          <w:rFonts w:ascii="Times New Roman" w:hAnsi="Times New Roman"/>
          <w:sz w:val="24"/>
        </w:rPr>
        <w:t xml:space="preserve"> kedua berkas adalah </w:t>
      </w:r>
      <w:r>
        <w:rPr>
          <w:rFonts w:ascii="Times New Roman" w:hAnsi="Times New Roman"/>
          <w:b/>
          <w:sz w:val="24"/>
        </w:rPr>
        <w:t>revisi dari naskah yang sama</w:t>
      </w:r>
      <w:r>
        <w:rPr>
          <w:rFonts w:ascii="Times New Roman" w:hAnsi="Times New Roman"/>
          <w:sz w:val="24"/>
        </w:rPr>
        <w:t xml:space="preserve">. Sekitar 85% isinya sama. Yang menentukan pilihan bukan "versi mana lebih lengkap secara keseluruhan", melainkan </w:t>
      </w:r>
      <w:r>
        <w:rPr>
          <w:rFonts w:ascii="Times New Roman" w:hAnsi="Times New Roman"/>
          <w:b/>
          <w:sz w:val="24"/>
        </w:rPr>
        <w:t>segmen kunci</w:t>
      </w:r>
      <w:r>
        <w:rPr>
          <w:rFonts w:ascii="Times New Roman" w:hAnsi="Times New Roman"/>
          <w:sz w:val="24"/>
        </w:rPr>
        <w:t xml:space="preserve"> yang hanya ada di salah satu versi (73 di A, 55 di B). Daftar itu di bawah.</w:t>
      </w:r>
    </w:p>
    <w:p>
      <w:pPr>
        <w:pStyle w:val="Heading2"/>
      </w:pPr>
      <w:r>
        <w:rPr>
          <w:rFonts w:ascii="Times New Roman" w:hAnsi="Times New Roman"/>
          <w:sz w:val="24"/>
        </w:rPr>
        <w:t>2. Temuan yang hanya ada di **A — Revisi Seminar Proposal**</w:t>
      </w:r>
    </w:p>
    <w:p>
      <w:pPr>
        <w:pStyle w:val="Heading3"/>
      </w:pPr>
      <w:r>
        <w:rPr>
          <w:rFonts w:ascii="Times New Roman" w:hAnsi="Times New Roman"/>
          <w:sz w:val="24"/>
        </w:rPr>
        <w:t>2.1 Kerangka stimulus–organism–response dibahas sebagai sub-bab tersendiri (2 sub-bagian)</w:t>
      </w:r>
    </w:p>
    <w:p>
      <w:r>
        <w:rPr>
          <w:rFonts w:ascii="Times New Roman" w:hAnsi="Times New Roman"/>
          <w:sz w:val="24"/>
        </w:rPr>
        <w:t xml:space="preserve">A memuat </w:t>
      </w:r>
      <w:r>
        <w:rPr>
          <w:rFonts w:ascii="Times New Roman" w:hAnsi="Times New Roman"/>
          <w:b/>
          <w:sz w:val="24"/>
        </w:rPr>
        <w:t>Bab II.A.1 "Kerangka utama S-O-R dan teori pendukung"</w:t>
      </w:r>
      <w:r>
        <w:rPr>
          <w:rFonts w:ascii="Times New Roman" w:hAnsi="Times New Roman"/>
          <w:sz w:val="24"/>
        </w:rPr>
        <w:t xml:space="preserve"> dengan dua sub-bagian eksplisit:</w:t>
      </w:r>
    </w:p>
    <w:p>
      <w:pPr>
        <w:pStyle w:val="ListBullet"/>
        <w:spacing w:after="40" w:line="360" w:lineRule="auto"/>
      </w:pPr>
      <w:r>
        <w:rPr>
          <w:rFonts w:ascii="Times New Roman" w:hAnsi="Times New Roman"/>
          <w:b/>
          <w:sz w:val="24"/>
        </w:rPr>
        <w:t>a. Kerangka stimulus-organism-response</w:t>
      </w:r>
      <w:r>
        <w:rPr>
          <w:rFonts w:ascii="Times New Roman" w:hAnsi="Times New Roman"/>
          <w:sz w:val="24"/>
        </w:rPr>
        <w:t xml:space="preserve"> — menyatakan KI = stimulus, HP = respons relasional internal, AM = evaluasi internal berikutnya, AMD = kesediaan perilaku pro-merek; menegaskan HP dan AM "diperlakukan sebagai dua mekanisme organism yang berbeda, bukan satu variabel psikologis yang digabungkan"; dan menyatakan batas S-O-R secara jujur: </w:t>
      </w:r>
      <w:r>
        <w:rPr>
          <w:rFonts w:ascii="Times New Roman" w:hAnsi="Times New Roman"/>
          <w:i/>
          <w:sz w:val="24"/>
        </w:rPr>
        <w:t>"S-O-R sendiri tidak menetapkan bahwa kredibilitas harus membentuk hubungan parasosial…"</w:t>
      </w:r>
    </w:p>
    <w:p>
      <w:pPr>
        <w:pStyle w:val="ListBullet"/>
        <w:spacing w:after="40" w:line="360" w:lineRule="auto"/>
      </w:pPr>
      <w:r>
        <w:rPr>
          <w:rFonts w:ascii="Times New Roman" w:hAnsi="Times New Roman"/>
          <w:b/>
          <w:sz w:val="24"/>
        </w:rPr>
        <w:t>b. Service-dominant logic sebagai perspektif penciptaan nilai</w:t>
      </w:r>
    </w:p>
    <w:p>
      <w:r>
        <w:rPr>
          <w:rFonts w:ascii="Times New Roman" w:hAnsi="Times New Roman"/>
          <w:sz w:val="24"/>
        </w:rPr>
        <w:t>B tidak memuat sub-bagian ini; B menempatkan S-O-R di dalam "Landasan teoretis dan susunan penjelasan".</w:t>
      </w:r>
    </w:p>
    <w:p>
      <w:pPr>
        <w:ind w:left="567" w:right="283"/>
      </w:pPr>
      <w:r>
        <w:rPr>
          <w:rFonts w:ascii="Times New Roman" w:hAnsi="Times New Roman"/>
          <w:b/>
          <w:i/>
          <w:sz w:val="24"/>
        </w:rPr>
        <w:t>Putusan: pindahkan ke naskah gabungan sebagai Bab II.A.1.</w:t>
      </w:r>
      <w:r>
        <w:rPr>
          <w:rFonts w:ascii="Times New Roman" w:hAnsi="Times New Roman"/>
          <w:i/>
          <w:sz w:val="24"/>
        </w:rPr>
        <w:t xml:space="preserve"> Ini kerangka utama studi Anda, dan A-lah yang menyatakannya paling tegas — sejalan dengan penilaian LeapSpace bahwa A "lebih lengkap" pada penajaman kerangka konsep.</w:t>
      </w:r>
    </w:p>
    <w:p>
      <w:pPr>
        <w:pStyle w:val="Heading3"/>
      </w:pPr>
      <w:r>
        <w:rPr>
          <w:rFonts w:ascii="Times New Roman" w:hAnsi="Times New Roman"/>
          <w:sz w:val="24"/>
        </w:rPr>
        <w:t>2.2 Rumusan kesenjangan tiga lapisan + disiplin klaim</w:t>
      </w:r>
    </w:p>
    <w:p>
      <w:r>
        <w:rPr>
          <w:rFonts w:ascii="Times New Roman" w:hAnsi="Times New Roman"/>
          <w:sz w:val="24"/>
        </w:rPr>
        <w:t xml:space="preserve">A merumuskan kesenjangan dalam </w:t>
      </w:r>
      <w:r>
        <w:rPr>
          <w:rFonts w:ascii="Times New Roman" w:hAnsi="Times New Roman"/>
          <w:b/>
          <w:sz w:val="24"/>
        </w:rPr>
        <w:t>tiga lapisan inti</w:t>
      </w:r>
      <w:r>
        <w:rPr>
          <w:rFonts w:ascii="Times New Roman" w:hAnsi="Times New Roman"/>
          <w:sz w:val="24"/>
        </w:rPr>
        <w:t xml:space="preserve"> (mekanisme, luaran, konteks) dengan batas konseptual sebagai perhatian lintas-lapisan, dan memuat kalimat pengendali klaim:</w:t>
      </w:r>
    </w:p>
    <w:p>
      <w:pPr>
        <w:ind w:left="567" w:right="283"/>
      </w:pPr>
      <w:r>
        <w:rPr>
          <w:rFonts w:ascii="Times New Roman" w:hAnsi="Times New Roman"/>
          <w:i/>
          <w:sz w:val="24"/>
        </w:rPr>
        <w:t xml:space="preserve">*"Karena itu, posisi penelitian adalah menguji model serial terintegrasi tersebut, </w:t>
      </w:r>
      <w:r>
        <w:rPr>
          <w:rFonts w:ascii="Times New Roman" w:hAnsi="Times New Roman"/>
          <w:b/>
          <w:i/>
          <w:sz w:val="24"/>
        </w:rPr>
        <w:t>bukan mengklaim bahwa seluruh hubungan terkait belum pernah diteliti</w:t>
      </w:r>
      <w:r>
        <w:rPr>
          <w:rFonts w:ascii="Times New Roman" w:hAnsi="Times New Roman"/>
          <w:i/>
          <w:sz w:val="24"/>
        </w:rPr>
        <w:t>."*</w:t>
      </w:r>
    </w:p>
    <w:p>
      <w:r>
        <w:rPr>
          <w:rFonts w:ascii="Times New Roman" w:hAnsi="Times New Roman"/>
          <w:sz w:val="24"/>
        </w:rPr>
        <w:t>Sitasi yang dipakai A juga lebih spesifik dan lebih baru: Luarn et al. (2025), Sahu et al. (2026), Banerjee et al. (2025), Babu et al. (2026), Shimul et al. (2025), Wilk et al. (2020).</w:t>
      </w:r>
    </w:p>
    <w:p>
      <w:pPr>
        <w:pStyle w:val="Heading3"/>
      </w:pPr>
      <w:r>
        <w:rPr>
          <w:rFonts w:ascii="Times New Roman" w:hAnsi="Times New Roman"/>
          <w:sz w:val="24"/>
        </w:rPr>
        <w:t>2.3 Rumusan H5 yang paling tegas</w:t>
      </w:r>
    </w:p>
    <w:p>
      <w:pPr>
        <w:ind w:left="567" w:right="283"/>
      </w:pPr>
      <w:r>
        <w:rPr>
          <w:rFonts w:ascii="Times New Roman" w:hAnsi="Times New Roman"/>
          <w:i/>
          <w:sz w:val="24"/>
        </w:rPr>
        <w:t>"H5. Hubungan parasosial dan autentisitas merek secara berurutan memediasi hubungan kredibilitas influencer dengan kesediaan advokasi merek digital."</w:t>
      </w:r>
    </w:p>
    <w:p>
      <w:pPr>
        <w:pStyle w:val="Heading3"/>
      </w:pPr>
      <w:r>
        <w:rPr>
          <w:rFonts w:ascii="Times New Roman" w:hAnsi="Times New Roman"/>
          <w:sz w:val="24"/>
        </w:rPr>
        <w:t>2.4 Rincian etika &amp; persetujuan partisipan</w:t>
      </w:r>
    </w:p>
    <w:p>
      <w:r>
        <w:rPr>
          <w:rFonts w:ascii="Times New Roman" w:hAnsi="Times New Roman"/>
          <w:sz w:val="24"/>
        </w:rPr>
        <w:t>Blok rinci tentang kesukarelaan, larangan meminta kata sandi/akses akun/pesan pribadi, pelaporan agregat, serta rincian yang harus ada di lembar informasi (perkiraan waktu pengisian, kontak resmi, informasi persetujuan etik, masa penyimpanan data).</w:t>
      </w:r>
    </w:p>
    <w:p>
      <w:pPr>
        <w:pStyle w:val="Heading3"/>
      </w:pPr>
      <w:r>
        <w:rPr>
          <w:rFonts w:ascii="Times New Roman" w:hAnsi="Times New Roman"/>
          <w:sz w:val="24"/>
        </w:rPr>
        <w:t>2.5 Uraian kriteria AVE dan CR</w:t>
      </w:r>
    </w:p>
    <w:p>
      <w:r>
        <w:rPr>
          <w:rFonts w:ascii="Times New Roman" w:hAnsi="Times New Roman"/>
          <w:sz w:val="24"/>
        </w:rPr>
        <w:t xml:space="preserve">Penjelasan mengapa formula reliabilitas reflektif </w:t>
      </w:r>
      <w:r>
        <w:rPr>
          <w:rFonts w:ascii="Times New Roman" w:hAnsi="Times New Roman"/>
          <w:b/>
          <w:sz w:val="24"/>
        </w:rPr>
        <w:t>tidak</w:t>
      </w:r>
      <w:r>
        <w:rPr>
          <w:rFonts w:ascii="Times New Roman" w:hAnsi="Times New Roman"/>
          <w:sz w:val="24"/>
        </w:rPr>
        <w:t xml:space="preserve"> diterapkan pada konstruk formatif — argumen metodologis yang tidak muncul di B.</w:t>
      </w:r>
    </w:p>
    <w:p>
      <w:pPr>
        <w:pStyle w:val="Heading2"/>
      </w:pPr>
      <w:r>
        <w:rPr>
          <w:rFonts w:ascii="Times New Roman" w:hAnsi="Times New Roman"/>
          <w:sz w:val="24"/>
        </w:rPr>
        <w:t>3. Temuan yang hanya ada di **B — 14 Oktober 2026**</w:t>
      </w:r>
    </w:p>
    <w:p>
      <w:pPr>
        <w:pStyle w:val="Heading3"/>
      </w:pPr>
      <w:r>
        <w:rPr>
          <w:rFonts w:ascii="Times New Roman" w:hAnsi="Times New Roman"/>
          <w:sz w:val="24"/>
        </w:rPr>
        <w:t>3.1 Tabel 5: Pemetaan dimensi dan isi indikator — **[KOREKSI]**</w:t>
      </w:r>
    </w:p>
    <w:p>
      <w:r>
        <w:rPr>
          <w:rFonts w:ascii="Times New Roman" w:hAnsi="Times New Roman"/>
          <w:sz w:val="24"/>
        </w:rPr>
        <w:t xml:space="preserve">B </w:t>
      </w:r>
      <w:r>
        <w:rPr>
          <w:rFonts w:ascii="Times New Roman" w:hAnsi="Times New Roman"/>
          <w:b/>
          <w:sz w:val="24"/>
        </w:rPr>
        <w:t>sudah memiliki</w:t>
      </w:r>
      <w:r>
        <w:rPr>
          <w:rFonts w:ascii="Times New Roman" w:hAnsi="Times New Roman"/>
          <w:sz w:val="24"/>
        </w:rPr>
        <w:t xml:space="preserve"> tabel tingkat butir yang LeapSpace minta: KI1–KI3 (keahlian), KI4–KI6 (keterpercayaan), KI7–KI9 (daya tarik), HP1–HP3 (persepsi pertemanan), HP4–HP6 (keterikatan emosional), HP7–HP9 (pemahaman figur), AM1–AM12 (kontinuitas, kredibilitas merek, integritas, simbolisme), AMD1–AMD9 (rekomendasi, berbagi konten, pembelaan) — lengkap dengan kolom </w:t>
      </w:r>
      <w:r>
        <w:rPr>
          <w:rFonts w:ascii="Times New Roman" w:hAnsi="Times New Roman"/>
          <w:b/>
          <w:sz w:val="24"/>
        </w:rPr>
        <w:t>"Objek yang dinilai"</w:t>
      </w:r>
      <w:r>
        <w:rPr>
          <w:rFonts w:ascii="Times New Roman" w:hAnsi="Times New Roman"/>
          <w:sz w:val="24"/>
        </w:rPr>
        <w:t xml:space="preserve"> (influencer / hubungan pengikut–influencer / merek / tindakan responden terhadap merek).</w:t>
      </w:r>
    </w:p>
    <w:p>
      <w:pPr>
        <w:ind w:left="567" w:right="283"/>
      </w:pPr>
      <w:r>
        <w:rPr>
          <w:rFonts w:ascii="Times New Roman" w:hAnsi="Times New Roman"/>
          <w:b/>
          <w:i/>
          <w:sz w:val="24"/>
        </w:rPr>
        <w:t>Koreksi atas laporan pertama:</w:t>
      </w:r>
      <w:r>
        <w:rPr>
          <w:rFonts w:ascii="Times New Roman" w:hAnsi="Times New Roman"/>
          <w:i/>
          <w:sz w:val="24"/>
        </w:rPr>
        <w:t xml:space="preserve"> saya sebelumnya mengusulkan membuat tabel objek penilaian baru (Blok 4). Itu </w:t>
      </w:r>
      <w:r>
        <w:rPr>
          <w:rFonts w:ascii="Times New Roman" w:hAnsi="Times New Roman"/>
          <w:b/>
          <w:i/>
          <w:sz w:val="24"/>
        </w:rPr>
        <w:t>tidak perlu</w:t>
      </w:r>
      <w:r>
        <w:rPr>
          <w:rFonts w:ascii="Times New Roman" w:hAnsi="Times New Roman"/>
          <w:i/>
          <w:sz w:val="24"/>
        </w:rPr>
        <w:t xml:space="preserve"> — tabel itu sudah ada di B dan bentuknya lebih baik karena memuat kode butir. Yang perlu: </w:t>
      </w:r>
      <w:r>
        <w:rPr>
          <w:rFonts w:ascii="Times New Roman" w:hAnsi="Times New Roman"/>
          <w:b/>
          <w:i/>
          <w:sz w:val="24"/>
        </w:rPr>
        <w:t>pertahankan Tabel 5 dari B</w:t>
      </w:r>
      <w:r>
        <w:rPr>
          <w:rFonts w:ascii="Times New Roman" w:hAnsi="Times New Roman"/>
          <w:i/>
          <w:sz w:val="24"/>
        </w:rPr>
        <w:t xml:space="preserve">, lalu tambahkan pada kolom "Objek yang dinilai" satu penegasan untuk pasangan KI–AM, karena B sendiri menyatakan </w:t>
      </w:r>
      <w:r>
        <w:rPr>
          <w:rFonts w:ascii="Times New Roman" w:hAnsi="Times New Roman"/>
          <w:i/>
          <w:sz w:val="24"/>
        </w:rPr>
        <w:t>"Hubungan KI–AM dinilai dengan perhatian khusus karena objek item berbeda tetapi konsep kredibilitasnya berdekatan."</w:t>
      </w:r>
    </w:p>
    <w:p>
      <w:pPr>
        <w:pStyle w:val="Heading3"/>
      </w:pPr>
      <w:r>
        <w:rPr>
          <w:rFonts w:ascii="Times New Roman" w:hAnsi="Times New Roman"/>
          <w:sz w:val="24"/>
        </w:rPr>
        <w:t>3.2 Tabel 2: Kesenjangan penelitian dan keputusan desain</w:t>
      </w:r>
    </w:p>
    <w:p>
      <w:r>
        <w:rPr>
          <w:rFonts w:ascii="Times New Roman" w:hAnsi="Times New Roman"/>
          <w:sz w:val="24"/>
        </w:rPr>
        <w:t xml:space="preserve">Tabel yang memetakan enam jenis kesenjangan (mekanisme, luaran, batas konstruk, pengukuran, konteks, inferensi) → keadaan literatur → </w:t>
      </w:r>
      <w:r>
        <w:rPr>
          <w:rFonts w:ascii="Times New Roman" w:hAnsi="Times New Roman"/>
          <w:b/>
          <w:sz w:val="24"/>
        </w:rPr>
        <w:t>keputusan desain dalam penelitian</w:t>
      </w:r>
      <w:r>
        <w:rPr>
          <w:rFonts w:ascii="Times New Roman" w:hAnsi="Times New Roman"/>
          <w:sz w:val="24"/>
        </w:rPr>
        <w:t>. Ini artefak paling "siap uji" yang dimiliki kedua berkas.</w:t>
      </w:r>
    </w:p>
    <w:p>
      <w:pPr>
        <w:pStyle w:val="Heading3"/>
      </w:pPr>
      <w:r>
        <w:rPr>
          <w:rFonts w:ascii="Times New Roman" w:hAnsi="Times New Roman"/>
          <w:sz w:val="24"/>
        </w:rPr>
        <w:t>3.3 Tabel 7 + protokol validitas diskriminan — **[KOREKSI]**</w:t>
      </w:r>
    </w:p>
    <w:p>
      <w:r>
        <w:rPr>
          <w:rFonts w:ascii="Times New Roman" w:hAnsi="Times New Roman"/>
          <w:sz w:val="24"/>
        </w:rPr>
        <w:t>B sudah memuat prosedur yang lebih rapi dari dugaan saya semula:</w:t>
      </w:r>
    </w:p>
    <w:p>
      <w:pPr>
        <w:pStyle w:val="ListBullet"/>
        <w:spacing w:after="40" w:line="360" w:lineRule="auto"/>
      </w:pPr>
      <w:r>
        <w:rPr>
          <w:rFonts w:ascii="Times New Roman" w:hAnsi="Times New Roman"/>
          <w:sz w:val="24"/>
        </w:rPr>
        <w:t xml:space="preserve">Loading 0,40–0,70 </w:t>
      </w:r>
      <w:r>
        <w:rPr>
          <w:rFonts w:ascii="Times New Roman" w:hAnsi="Times New Roman"/>
          <w:b/>
          <w:sz w:val="24"/>
        </w:rPr>
        <w:t>tidak dihapus otomatis</w:t>
      </w:r>
      <w:r>
        <w:rPr>
          <w:rFonts w:ascii="Times New Roman" w:hAnsi="Times New Roman"/>
          <w:sz w:val="24"/>
        </w:rPr>
        <w:t xml:space="preserve"> — keputusan mempertimbangkan isi, reliabilitas, AVE, cakupan dimensi, panel/pilot (Hair et al., 2019, 2022).</w:t>
      </w:r>
    </w:p>
    <w:p>
      <w:pPr>
        <w:pStyle w:val="ListBullet"/>
        <w:spacing w:after="40" w:line="360" w:lineRule="auto"/>
      </w:pPr>
      <w:r>
        <w:rPr>
          <w:rFonts w:ascii="Times New Roman" w:hAnsi="Times New Roman"/>
          <w:b/>
          <w:sz w:val="24"/>
        </w:rPr>
        <w:t>HTMT &lt; 0,85 sebagai acuan konservatif</w:t>
      </w:r>
      <w:r>
        <w:rPr>
          <w:rFonts w:ascii="Times New Roman" w:hAnsi="Times New Roman"/>
          <w:sz w:val="24"/>
        </w:rPr>
        <w:t xml:space="preserve">, diperiksa </w:t>
      </w:r>
      <w:r>
        <w:rPr>
          <w:rFonts w:ascii="Times New Roman" w:hAnsi="Times New Roman"/>
          <w:b/>
          <w:sz w:val="24"/>
        </w:rPr>
        <w:t>dengan interval bootstrap</w:t>
      </w:r>
      <w:r>
        <w:rPr>
          <w:rFonts w:ascii="Times New Roman" w:hAnsi="Times New Roman"/>
          <w:sz w:val="24"/>
        </w:rPr>
        <w:t xml:space="preserve">, dan secara eksplisit disebut </w:t>
      </w:r>
      <w:r>
        <w:rPr>
          <w:rFonts w:ascii="Times New Roman" w:hAnsi="Times New Roman"/>
          <w:i/>
          <w:sz w:val="24"/>
        </w:rPr>
        <w:t>"bukan aturan otomatis untuk menghapus item"</w:t>
      </w:r>
      <w:r>
        <w:rPr>
          <w:rFonts w:ascii="Times New Roman" w:hAnsi="Times New Roman"/>
          <w:sz w:val="24"/>
        </w:rPr>
        <w:t xml:space="preserve"> (Henseler, Ringle, &amp; Sarstedt, 2015).</w:t>
      </w:r>
    </w:p>
    <w:p>
      <w:pPr>
        <w:pStyle w:val="ListBullet"/>
        <w:spacing w:after="40" w:line="360" w:lineRule="auto"/>
      </w:pPr>
      <w:r>
        <w:rPr>
          <w:rFonts w:ascii="Times New Roman" w:hAnsi="Times New Roman"/>
          <w:sz w:val="24"/>
        </w:rPr>
        <w:t xml:space="preserve">Fornell–Larcker sebagai pemeriksaan </w:t>
      </w:r>
      <w:r>
        <w:rPr>
          <w:rFonts w:ascii="Times New Roman" w:hAnsi="Times New Roman"/>
          <w:b/>
          <w:sz w:val="24"/>
        </w:rPr>
        <w:t>tambahan</w:t>
      </w:r>
      <w:r>
        <w:rPr>
          <w:rFonts w:ascii="Times New Roman" w:hAnsi="Times New Roman"/>
          <w:sz w:val="24"/>
        </w:rPr>
        <w:t>, bukan satu-satunya bukti.</w:t>
      </w:r>
    </w:p>
    <w:p>
      <w:pPr>
        <w:pStyle w:val="ListBullet"/>
        <w:spacing w:after="40" w:line="360" w:lineRule="auto"/>
      </w:pPr>
      <w:r>
        <w:rPr>
          <w:rFonts w:ascii="Times New Roman" w:hAnsi="Times New Roman"/>
          <w:sz w:val="24"/>
        </w:rPr>
        <w:t xml:space="preserve">Tabel 7 memuat acuan evaluasi model pengukuran: loading, reliabilitas (rho_A/komposit 0,70–0,95), AVE ≥ 0,50, HTMT &lt; 0,85, plus kolom </w:t>
      </w:r>
      <w:r>
        <w:rPr>
          <w:rFonts w:ascii="Times New Roman" w:hAnsi="Times New Roman"/>
          <w:b/>
          <w:sz w:val="24"/>
        </w:rPr>
        <w:t>"Cara mengambil keputusan"</w:t>
      </w:r>
      <w:r>
        <w:rPr>
          <w:rFonts w:ascii="Times New Roman" w:hAnsi="Times New Roman"/>
          <w:sz w:val="24"/>
        </w:rPr>
        <w:t>.</w:t>
      </w:r>
    </w:p>
    <w:p>
      <w:pPr>
        <w:ind w:left="567" w:right="283"/>
      </w:pPr>
      <w:r>
        <w:rPr>
          <w:rFonts w:ascii="Times New Roman" w:hAnsi="Times New Roman"/>
          <w:b/>
          <w:i/>
          <w:sz w:val="24"/>
        </w:rPr>
        <w:t>Koreksi atas laporan pertama:</w:t>
      </w:r>
      <w:r>
        <w:rPr>
          <w:rFonts w:ascii="Times New Roman" w:hAnsi="Times New Roman"/>
          <w:i/>
          <w:sz w:val="24"/>
        </w:rPr>
        <w:t xml:space="preserve"> saya sebelumnya mengusulkan aturan keputusan bertingkat (Blok 9) seolah B belum punya. Ternyata B sudah punya, dan dengan sikap metodologis yang lebih matang: </w:t>
      </w:r>
      <w:r>
        <w:rPr>
          <w:rFonts w:ascii="Times New Roman" w:hAnsi="Times New Roman"/>
          <w:b/>
          <w:i/>
          <w:sz w:val="24"/>
        </w:rPr>
        <w:t>ambang bukan mesin penghapus butir</w:t>
      </w:r>
      <w:r>
        <w:rPr>
          <w:rFonts w:ascii="Times New Roman" w:hAnsi="Times New Roman"/>
          <w:i/>
          <w:sz w:val="24"/>
        </w:rPr>
        <w:t xml:space="preserve">. Maka Blok 9 perlu diredam menjadi </w:t>
      </w:r>
      <w:r>
        <w:rPr>
          <w:rFonts w:ascii="Times New Roman" w:hAnsi="Times New Roman"/>
          <w:i/>
          <w:sz w:val="24"/>
        </w:rPr>
        <w:t>pelaporan yang dapat diaudit</w:t>
      </w:r>
      <w:r>
        <w:rPr>
          <w:rFonts w:ascii="Times New Roman" w:hAnsi="Times New Roman"/>
          <w:i/>
          <w:sz w:val="24"/>
        </w:rPr>
        <w:t xml:space="preserve">, bukan aturan mekanis baru — versi koreksinya ada di </w:t>
      </w:r>
      <w:r>
        <w:rPr>
          <w:rFonts w:ascii="Times New Roman" w:hAnsi="Times New Roman"/>
          <w:i/>
          <w:sz w:val="20"/>
        </w:rPr>
        <w:t>patch-proposal-final-v2.md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</w:pPr>
      <w:r>
        <w:rPr>
          <w:rFonts w:ascii="Times New Roman" w:hAnsi="Times New Roman"/>
          <w:sz w:val="24"/>
        </w:rPr>
        <w:t>3.4 Sub-bagian f &amp; g: sintesis teori dan batas penggunaan teori</w:t>
      </w:r>
    </w:p>
    <w:p>
      <w:pPr>
        <w:pStyle w:val="ListBullet"/>
        <w:spacing w:after="40" w:line="360" w:lineRule="auto"/>
      </w:pPr>
      <w:r>
        <w:rPr>
          <w:rFonts w:ascii="Times New Roman" w:hAnsi="Times New Roman"/>
          <w:b/>
          <w:sz w:val="24"/>
        </w:rPr>
        <w:t>f. Sintesis teori terhadap model</w:t>
      </w:r>
      <w:r>
        <w:rPr>
          <w:rFonts w:ascii="Times New Roman" w:hAnsi="Times New Roman"/>
          <w:sz w:val="24"/>
        </w:rPr>
        <w:t xml:space="preserve"> — meringkas fungsi tiap kerangka: kredibilitas sumber → penilaian awal influencer; hubungan parasosial → kedekatan; transfer makna → keterkaitan figur–merek; autentisitas → sifat evaluasi merek; SDL → relevansi advokasi.</w:t>
      </w:r>
    </w:p>
    <w:p>
      <w:pPr>
        <w:pStyle w:val="ListBullet"/>
        <w:spacing w:after="40" w:line="360" w:lineRule="auto"/>
      </w:pPr>
      <w:r>
        <w:rPr>
          <w:rFonts w:ascii="Times New Roman" w:hAnsi="Times New Roman"/>
          <w:b/>
          <w:sz w:val="24"/>
        </w:rPr>
        <w:t>g. Batas penggunaan teori dalam model</w:t>
      </w:r>
      <w:r>
        <w:rPr>
          <w:rFonts w:ascii="Times New Roman" w:hAnsi="Times New Roman"/>
          <w:sz w:val="24"/>
        </w:rPr>
        <w:t xml:space="preserve"> — menyatakan susunan teori bersifat </w:t>
      </w:r>
      <w:r>
        <w:rPr>
          <w:rFonts w:ascii="Times New Roman" w:hAnsi="Times New Roman"/>
          <w:b/>
          <w:sz w:val="24"/>
        </w:rPr>
        <w:t>komplementer, bukan penjumlahan</w:t>
      </w:r>
      <w:r>
        <w:rPr>
          <w:rFonts w:ascii="Times New Roman" w:hAnsi="Times New Roman"/>
          <w:sz w:val="24"/>
        </w:rPr>
        <w:t>, dan mencegah dua kekeliruan: (1) teori yang menerangkan satu bagian tidak boleh dipakai menyimpulkan bagian lain; (2) urutan argumentasi ≠ urutan waktu yang diamati.</w:t>
      </w:r>
    </w:p>
    <w:p>
      <w:pPr>
        <w:pStyle w:val="Heading3"/>
      </w:pPr>
      <w:r>
        <w:rPr>
          <w:rFonts w:ascii="Times New Roman" w:hAnsi="Times New Roman"/>
          <w:sz w:val="24"/>
        </w:rPr>
        <w:t>3.5 Kesenjangan empat lapisan + disiplin penelusuran literatur</w:t>
      </w:r>
    </w:p>
    <w:p>
      <w:r>
        <w:rPr>
          <w:rFonts w:ascii="Times New Roman" w:hAnsi="Times New Roman"/>
          <w:sz w:val="24"/>
        </w:rPr>
        <w:t xml:space="preserve">B merumuskan </w:t>
      </w:r>
      <w:r>
        <w:rPr>
          <w:rFonts w:ascii="Times New Roman" w:hAnsi="Times New Roman"/>
          <w:b/>
          <w:sz w:val="24"/>
        </w:rPr>
        <w:t>empat lapisan</w:t>
      </w:r>
      <w:r>
        <w:rPr>
          <w:rFonts w:ascii="Times New Roman" w:hAnsi="Times New Roman"/>
          <w:sz w:val="24"/>
        </w:rPr>
        <w:t xml:space="preserve"> (mekanisme, luaran, konseptual, konteks) dan menambahkan kalimat pengendali klaim yang tidak ada di A:</w:t>
      </w:r>
    </w:p>
    <w:p>
      <w:pPr>
        <w:ind w:left="567" w:right="283"/>
      </w:pPr>
      <w:r>
        <w:rPr>
          <w:rFonts w:ascii="Times New Roman" w:hAnsi="Times New Roman"/>
          <w:i/>
          <w:sz w:val="24"/>
        </w:rPr>
        <w:t>"Penelitian tidak menyatakan bahwa model 'belum pernah diteliti' hanya karena suatu kombinasi kata kunci menghasilkan sedikit dokumen."</w:t>
      </w:r>
    </w:p>
    <w:p>
      <w:pPr>
        <w:pStyle w:val="Heading2"/>
      </w:pPr>
      <w:r>
        <w:rPr>
          <w:rFonts w:ascii="Times New Roman" w:hAnsi="Times New Roman"/>
          <w:sz w:val="24"/>
        </w:rPr>
        <w:t>4. Keputusan penggabungan per bagian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646"/>
        <w:gridCol w:w="2646"/>
        <w:gridCol w:w="2646"/>
      </w:tblGrid>
      <w:tr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4"/>
              </w:rPr>
              <w:t>Bagian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4"/>
              </w:rPr>
              <w:t>Sumber yang dipakai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4"/>
              </w:rPr>
              <w:t>Alasan (berbasis teks)</w:t>
            </w:r>
          </w:p>
        </w:tc>
      </w:tr>
      <w:tr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Judul, identitas, kata kunci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4"/>
              </w:rPr>
              <w:t>A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Sama pada keduanya; A memakai "digital" konsisten</w:t>
            </w:r>
          </w:p>
        </w:tc>
      </w:tr>
      <w:tr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Ringkasan Proposal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4"/>
              </w:rPr>
              <w:t>A + sisipan B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A memuat S-O-R eksplisit sejak Ringkasan; tambahkan kalimat batas kausal dari B dan penyebutan bukti validitas diskriminan</w:t>
            </w:r>
          </w:p>
        </w:tc>
      </w:tr>
      <w:tr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Bab I.A Latar belakang (9 sub-bab)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4"/>
              </w:rPr>
              <w:t>A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Struktur identik; A memuat sub-bab 7 "Model dan mekanisme penelitian" dengan perumusan S-O-R</w:t>
            </w:r>
          </w:p>
        </w:tc>
      </w:tr>
      <w:tr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Bab I.A.8 Kesenjangan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4"/>
              </w:rPr>
              <w:t>A (3 lapisan + sitasi 2025–2026) + kalimat disiplin dari B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A lebih spesifik &amp; baru; B menyumbang kalimat pengendali klaim penelusuran</w:t>
            </w:r>
          </w:p>
        </w:tc>
      </w:tr>
      <w:tr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Bab I.A.9 Urgensi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4"/>
              </w:rPr>
              <w:t>A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Sama isi; A lebih ringkas</w:t>
            </w:r>
          </w:p>
        </w:tc>
      </w:tr>
      <w:tr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Bab I.B Rumusan masalah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4"/>
              </w:rPr>
              <w:t>A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Paragraf pengantar sama; A menyebut "tiga lapisan" selaras</w:t>
            </w:r>
          </w:p>
        </w:tc>
      </w:tr>
      <w:tr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Bab I.B.3 Batasan masalah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4"/>
              </w:rPr>
              <w:t>A + tambahan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Tambahkan batas kausal &amp; generalisasi (Blok 3 v1 tetap berlaku)</w:t>
            </w:r>
          </w:p>
        </w:tc>
      </w:tr>
      <w:tr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Bab I.E Hipotesis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4"/>
              </w:rPr>
              <w:t>A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Rumusan H5 A paling tegas</w:t>
            </w:r>
          </w:p>
        </w:tc>
      </w:tr>
      <w:tr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Bab II.A.1 Kerangka teori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4"/>
              </w:rPr>
              <w:t>A</w:t>
            </w:r>
            <w:r>
              <w:rPr>
                <w:rFonts w:ascii="Times New Roman" w:hAnsi="Times New Roman"/>
                <w:sz w:val="24"/>
              </w:rPr>
              <w:t xml:space="preserve"> (sub-bagian a &amp; b) </w:t>
            </w:r>
            <w:r>
              <w:rPr>
                <w:rFonts w:ascii="Times New Roman" w:hAnsi="Times New Roman"/>
                <w:b/>
                <w:sz w:val="24"/>
              </w:rPr>
              <w:t>+ B (sub-bagian f &amp; g)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A: S-O-R &amp; SDL eksplisit. B: sintesis peran teori + batas penggunaan teori</w:t>
            </w:r>
          </w:p>
        </w:tc>
      </w:tr>
      <w:tr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Bab II.A.2–6 (KI, HP, AM, AMD, Gen Z)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B memuat rincian HP1–HP9 dan perumusan objek penilaian yang lebih halus</w:t>
            </w:r>
          </w:p>
        </w:tc>
      </w:tr>
      <w:tr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Bab II.A.9 Kesenjangan &amp; kontribusi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4"/>
              </w:rPr>
              <w:t>B (Tabel 2)</w:t>
            </w:r>
            <w:r>
              <w:rPr>
                <w:rFonts w:ascii="Times New Roman" w:hAnsi="Times New Roman"/>
                <w:sz w:val="24"/>
              </w:rPr>
              <w:t xml:space="preserve"> + narasi A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Tabel 2 adalah artefak terkuat; narasi tiga-lapisan A dipertahankan sebagai uraian</w:t>
            </w:r>
          </w:p>
        </w:tc>
      </w:tr>
      <w:tr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Bab II.A.10–12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4"/>
              </w:rPr>
              <w:t>A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Penjelasan tandingan, batas model, bukti empiris tambahan</w:t>
            </w:r>
          </w:p>
        </w:tc>
      </w:tr>
      <w:tr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Bab II.B.2 Pengembangan hipotesis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B memuat narasi pengembangan H1–H4 per sub-bagian (a–d) yang lebih lengkap</w:t>
            </w:r>
          </w:p>
        </w:tc>
      </w:tr>
      <w:tr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Bab II.B.5 Dimensi &amp; pengukuran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4"/>
              </w:rPr>
              <w:t>B (Tabel 5)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Sudah memuat kode butir + objek penilaian</w:t>
            </w:r>
          </w:p>
        </w:tc>
      </w:tr>
      <w:tr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Bab III.A (sumber data, subjek, tempat)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4"/>
              </w:rPr>
              <w:t>B + A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B menyebut unit analisis "konsumen, bukan influencer/unggahan/merek" secara eksplisit</w:t>
            </w:r>
          </w:p>
        </w:tc>
      </w:tr>
      <w:tr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Bab III.B.4 Operasionalisasi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4"/>
              </w:rPr>
              <w:t>B (Tabel 5 &amp; 7)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Termasuk Tabel 7 acuan evaluasi pengukuran</w:t>
            </w:r>
          </w:p>
        </w:tc>
      </w:tr>
      <w:tr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Bab III.B.5 Sampel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4"/>
              </w:rPr>
              <w:t>A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385 respons sah + simulasi daya a priori; sama pada keduanya</w:t>
            </w:r>
          </w:p>
        </w:tc>
      </w:tr>
      <w:tr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Bab III.C.2 Uji instrumen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4"/>
              </w:rPr>
              <w:t>B + lima tahap (Blok 7 v1)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B memuat tata kelola butir; tambahkan urutan tahap yang eksplisit</w:t>
            </w:r>
          </w:p>
        </w:tc>
      </w:tr>
      <w:tr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Bab III.C.4 Kualitas data &amp; CMV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4"/>
              </w:rPr>
              <w:t>A + B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A: penanganan data hilang &amp; "tidak dapat menilai"; B: prosedur loading</w:t>
            </w:r>
          </w:p>
        </w:tc>
      </w:tr>
      <w:tr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Bab III.C.5 Etika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4"/>
              </w:rPr>
              <w:t>A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Rincian etika &amp; lembar informasi A paling lengkap</w:t>
            </w:r>
          </w:p>
        </w:tc>
      </w:tr>
      <w:tr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Bab III.D Analisis data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4"/>
              </w:rPr>
              <w:t>B (Tabel 7)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Protokol pengukuran B paling rapi; tambahkan rencana pelaporan auditable (v2)</w:t>
            </w:r>
          </w:p>
        </w:tc>
      </w:tr>
      <w:tr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Lampiran 1 Instrumen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4"/>
              </w:rPr>
              <w:t>A (Lembar informasi &amp; penyaringan) + B (Pemetaan butir)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A: rincian etika/penyaringan; B: kode butir &amp; fokus isi</w:t>
            </w:r>
          </w:p>
        </w:tc>
      </w:tr>
      <w:tr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Lampiran 2 Rencana analisis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4"/>
              </w:rPr>
              <w:t>B + v2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B: acuan evaluasi; v2: rencana pelaporan &amp; tindak lanjut</w:t>
            </w:r>
          </w:p>
        </w:tc>
      </w:tr>
      <w:tr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Lampiran 3 Protokol literatur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B memuat janji pencatatan basis data/tanggal/kata kunci + kalimat pengendali klaim</w:t>
            </w:r>
          </w:p>
        </w:tc>
      </w:tr>
      <w:tr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Lampiran 4–5 Biaya &amp; jadwal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4"/>
              </w:rPr>
              <w:t>A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Struktur sama; sesuaikan bila tahap uji instrumen ditambah</w:t>
            </w:r>
          </w:p>
        </w:tc>
      </w:tr>
      <w:tr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Daftar pustaka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4"/>
              </w:rPr>
              <w:t>A ∪ B</w:t>
            </w:r>
          </w:p>
        </w:tc>
        <w:tc>
          <w:tcPr>
            <w:tcW w:type="dxa" w:w="26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Satukan; A memuat sitasi 2025–2026 yang tidak ada di B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sz w:val="24"/>
        </w:rPr>
        <w:t>5. Dua konflik yang terdeteksi (wajib diputuskan)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</w:tblGrid>
      <w:tr>
        <w:tc>
          <w:tcPr>
            <w:tcW w:type="dxa" w:w="198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4"/>
              </w:rPr>
              <w:t>Topik</w:t>
            </w:r>
          </w:p>
        </w:tc>
        <w:tc>
          <w:tcPr>
            <w:tcW w:type="dxa" w:w="198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4"/>
              </w:rPr>
              <w:t>Nilai di A</w:t>
            </w:r>
          </w:p>
        </w:tc>
        <w:tc>
          <w:tcPr>
            <w:tcW w:type="dxa" w:w="198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4"/>
              </w:rPr>
              <w:t>Nilai di B</w:t>
            </w:r>
          </w:p>
        </w:tc>
        <w:tc>
          <w:tcPr>
            <w:tcW w:type="dxa" w:w="198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24"/>
              </w:rPr>
              <w:t>Putusan yang saya sarankan</w:t>
            </w:r>
          </w:p>
        </w:tc>
      </w:tr>
      <w:tr>
        <w:tc>
          <w:tcPr>
            <w:tcW w:type="dxa" w:w="198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Penyebutan jumlah item instrumen</w:t>
            </w:r>
          </w:p>
        </w:tc>
        <w:tc>
          <w:tcPr>
            <w:tcW w:type="dxa" w:w="198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39 butir inti + 4 butir global (pada Ringkasan)</w:t>
            </w:r>
          </w:p>
        </w:tc>
        <w:tc>
          <w:tcPr>
            <w:tcW w:type="dxa" w:w="198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 xml:space="preserve">Sama di Ringkasan, tetapi ada penyebutan kode butir sampai </w:t>
            </w:r>
            <w:r>
              <w:rPr>
                <w:rFonts w:ascii="Times New Roman" w:hAnsi="Times New Roman"/>
                <w:b/>
                <w:sz w:val="24"/>
              </w:rPr>
              <w:t>AMD9</w:t>
            </w:r>
            <w:r>
              <w:rPr>
                <w:rFonts w:ascii="Times New Roman" w:hAnsi="Times New Roman"/>
                <w:sz w:val="24"/>
              </w:rPr>
              <w:t xml:space="preserve"> dan </w:t>
            </w:r>
            <w:r>
              <w:rPr>
                <w:rFonts w:ascii="Times New Roman" w:hAnsi="Times New Roman"/>
                <w:b/>
                <w:sz w:val="24"/>
              </w:rPr>
              <w:t>AM12</w:t>
            </w:r>
            <w:r>
              <w:rPr>
                <w:rFonts w:ascii="Times New Roman" w:hAnsi="Times New Roman"/>
                <w:sz w:val="24"/>
              </w:rPr>
              <w:t xml:space="preserve"> di Tabel 5</w:t>
            </w:r>
          </w:p>
        </w:tc>
        <w:tc>
          <w:tcPr>
            <w:tcW w:type="dxa" w:w="198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 xml:space="preserve">Konsisten: </w:t>
            </w:r>
            <w:r>
              <w:rPr>
                <w:rFonts w:ascii="Times New Roman" w:hAnsi="Times New Roman"/>
                <w:b/>
                <w:sz w:val="24"/>
              </w:rPr>
              <w:t>39 butir inti (KI 9 + HP 9 + AM 12 + AMD 9) + 4 butir global</w:t>
            </w:r>
            <w:r>
              <w:rPr>
                <w:rFonts w:ascii="Times New Roman" w:hAnsi="Times New Roman"/>
                <w:sz w:val="24"/>
              </w:rPr>
              <w:t>. Jangan menyebut total lain di sub-bab mana pun</w:t>
            </w:r>
          </w:p>
        </w:tc>
      </w:tr>
      <w:tr>
        <w:tc>
          <w:tcPr>
            <w:tcW w:type="dxa" w:w="198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Durasi penelitian</w:t>
            </w:r>
          </w:p>
        </w:tc>
        <w:tc>
          <w:tcPr>
            <w:tcW w:type="dxa" w:w="198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8 bulan (pada bagian jadwal versi A)</w:t>
            </w:r>
          </w:p>
        </w:tc>
        <w:tc>
          <w:tcPr>
            <w:tcW w:type="dxa" w:w="198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>12 bulan / bertahap 3+4+3+2 (versi B)</w:t>
            </w:r>
          </w:p>
        </w:tc>
        <w:tc>
          <w:tcPr>
            <w:tcW w:type="dxa" w:w="1984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4"/>
              </w:rPr>
              <w:t xml:space="preserve">Pakai </w:t>
            </w:r>
            <w:r>
              <w:rPr>
                <w:rFonts w:ascii="Times New Roman" w:hAnsi="Times New Roman"/>
                <w:b/>
                <w:sz w:val="24"/>
              </w:rPr>
              <w:t>jadwal B yang lebih rinci</w:t>
            </w:r>
            <w:r>
              <w:rPr>
                <w:rFonts w:ascii="Times New Roman" w:hAnsi="Times New Roman"/>
                <w:sz w:val="24"/>
              </w:rPr>
              <w:t>, lalu selaraskan setiap penyebutan durasi di Ringkasan dan Bab III agar tidak ada dua angka</w:t>
            </w:r>
          </w:p>
        </w:tc>
      </w:tr>
    </w:tbl>
    <w:p/>
    <w:p>
      <w:pPr>
        <w:ind w:left="567" w:right="283"/>
      </w:pPr>
      <w:r>
        <w:rPr>
          <w:rFonts w:ascii="Times New Roman" w:hAnsi="Times New Roman"/>
          <w:i/>
          <w:sz w:val="24"/>
        </w:rPr>
        <w:t>Konflik durasi ini contoh tepat dari aturan Bagian 5 panduan: jangan menuliskan dua durasi di satu dokumen. Bila tahap panel ahli–wawancara kognitif–pilot ditambahkan, jadwal B memang lebih realistis.</w:t>
      </w:r>
    </w:p>
    <w:p>
      <w:pPr>
        <w:pStyle w:val="Heading2"/>
      </w:pPr>
      <w:r>
        <w:rPr>
          <w:rFonts w:ascii="Times New Roman" w:hAnsi="Times New Roman"/>
          <w:sz w:val="24"/>
        </w:rPr>
        <w:t>6. Tiga hal yang belum beres pada kedua versi (tetap berlaku)</w:t>
      </w:r>
    </w:p>
    <w:p>
      <w:pPr>
        <w:pStyle w:val="ListNumber"/>
        <w:spacing w:after="40" w:line="360" w:lineRule="auto"/>
      </w:pPr>
      <w:r>
        <w:rPr>
          <w:rFonts w:ascii="Times New Roman" w:hAnsi="Times New Roman"/>
          <w:b/>
          <w:sz w:val="24"/>
        </w:rPr>
        <w:t>Batas KI–AM pada tingkat butir.</w:t>
      </w:r>
      <w:r>
        <w:rPr>
          <w:rFonts w:ascii="Times New Roman" w:hAnsi="Times New Roman"/>
          <w:sz w:val="24"/>
        </w:rPr>
        <w:t xml:space="preserve"> B sudah menyadari ini ("objek item berbeda tetapi konsep kredibilitasnya berdekatan") tetapi belum menetapkan </w:t>
      </w:r>
      <w:r>
        <w:rPr>
          <w:rFonts w:ascii="Times New Roman" w:hAnsi="Times New Roman"/>
          <w:b/>
          <w:sz w:val="24"/>
        </w:rPr>
        <w:t>tindakan</w:t>
      </w:r>
      <w:r>
        <w:rPr>
          <w:rFonts w:ascii="Times New Roman" w:hAnsi="Times New Roman"/>
          <w:sz w:val="24"/>
        </w:rPr>
        <w:t xml:space="preserve"> bila HTMT KI–AM bermasalah. → Tabel 5 perlu satu kolom keterangan tindakan untuk pasangan ini.</w:t>
      </w:r>
    </w:p>
    <w:p>
      <w:pPr>
        <w:pStyle w:val="ListNumber"/>
        <w:spacing w:after="40" w:line="360" w:lineRule="auto"/>
      </w:pPr>
      <w:r>
        <w:rPr>
          <w:rFonts w:ascii="Times New Roman" w:hAnsi="Times New Roman"/>
          <w:b/>
          <w:sz w:val="24"/>
        </w:rPr>
        <w:t>Klaim kausal</w:t>
      </w:r>
      <w:r>
        <w:rPr>
          <w:rFonts w:ascii="Times New Roman" w:hAnsi="Times New Roman"/>
          <w:sz w:val="24"/>
        </w:rPr>
        <w:t xml:space="preserve"> — perbaikan terbesar sudah dilakukan kedua berkas (keduanya memuat kalimat batas tafsir). Yang tersisa: audit bahasa pada </w:t>
      </w:r>
      <w:r>
        <w:rPr>
          <w:rFonts w:ascii="Times New Roman" w:hAnsi="Times New Roman"/>
          <w:b/>
          <w:sz w:val="24"/>
        </w:rPr>
        <w:t>judul sub-bab</w:t>
      </w:r>
      <w:r>
        <w:rPr>
          <w:rFonts w:ascii="Times New Roman" w:hAnsi="Times New Roman"/>
          <w:sz w:val="24"/>
        </w:rPr>
        <w:t xml:space="preserve"> dan </w:t>
      </w:r>
      <w:r>
        <w:rPr>
          <w:rFonts w:ascii="Times New Roman" w:hAnsi="Times New Roman"/>
          <w:b/>
          <w:sz w:val="24"/>
        </w:rPr>
        <w:t>Ringkasan</w:t>
      </w:r>
      <w:r>
        <w:rPr>
          <w:rFonts w:ascii="Times New Roman" w:hAnsi="Times New Roman"/>
          <w:sz w:val="24"/>
        </w:rPr>
        <w:t>, tempat istilah kausal biasanya paling sulit dihindari.</w:t>
      </w:r>
    </w:p>
    <w:p>
      <w:pPr>
        <w:pStyle w:val="ListNumber"/>
        <w:spacing w:after="40" w:line="360" w:lineRule="auto"/>
      </w:pPr>
      <w:r>
        <w:rPr>
          <w:rFonts w:ascii="Times New Roman" w:hAnsi="Times New Roman"/>
          <w:b/>
          <w:sz w:val="24"/>
        </w:rPr>
        <w:t>Rencana pelaporan validitas diskriminan.</w:t>
      </w:r>
      <w:r>
        <w:rPr>
          <w:rFonts w:ascii="Times New Roman" w:hAnsi="Times New Roman"/>
          <w:sz w:val="24"/>
        </w:rPr>
        <w:t xml:space="preserve"> B sudah menetapkan acuan; yang belum: </w:t>
      </w:r>
      <w:r>
        <w:rPr>
          <w:rFonts w:ascii="Times New Roman" w:hAnsi="Times New Roman"/>
          <w:b/>
          <w:sz w:val="24"/>
        </w:rPr>
        <w:t>apa yang dilaporkan bila acuan tidak tercapai</w:t>
      </w:r>
      <w:r>
        <w:rPr>
          <w:rFonts w:ascii="Times New Roman" w:hAnsi="Times New Roman"/>
          <w:sz w:val="24"/>
        </w:rPr>
        <w:t xml:space="preserve"> (nilai HTMT aktual + CI, uji sensitivitas, dan pernyataan batas tafsir). Lihat </w:t>
      </w:r>
      <w:r>
        <w:rPr>
          <w:rFonts w:ascii="Times New Roman" w:hAnsi="Times New Roman"/>
          <w:sz w:val="20"/>
        </w:rPr>
        <w:t>patch-proposal-final-v2.md</w:t>
      </w:r>
      <w:r>
        <w:rPr>
          <w:rFonts w:ascii="Times New Roman" w:hAnsi="Times New Roman"/>
          <w:sz w:val="24"/>
        </w:rPr>
        <w:t xml:space="preserve"> Blok 9-v2.</w:t>
      </w:r>
    </w:p>
    <w:p>
      <w:pPr>
        <w:pStyle w:val="Heading2"/>
      </w:pPr>
      <w:r>
        <w:rPr>
          <w:rFonts w:ascii="Times New Roman" w:hAnsi="Times New Roman"/>
          <w:sz w:val="24"/>
        </w:rPr>
        <w:t>7. Dua berkas yang Anda kirim belum sampai — dan cara menuntaskannya</w:t>
      </w:r>
    </w:p>
    <w:p>
      <w:r>
        <w:rPr>
          <w:rFonts w:ascii="Times New Roman" w:hAnsi="Times New Roman"/>
          <w:sz w:val="24"/>
        </w:rPr>
        <w:t xml:space="preserve">Anda melampirkan </w:t>
      </w:r>
      <w:r>
        <w:rPr>
          <w:rFonts w:ascii="Times New Roman" w:hAnsi="Times New Roman"/>
          <w:sz w:val="20"/>
        </w:rPr>
        <w:t>PROPOSAL_DISERTASI_TANPA_MODERATOR_80-100_HALAMAN (1).pdf</w:t>
      </w:r>
      <w:r>
        <w:rPr>
          <w:rFonts w:ascii="Times New Roman" w:hAnsi="Times New Roman"/>
          <w:sz w:val="24"/>
        </w:rPr>
        <w:t xml:space="preserve"> dan </w:t>
      </w:r>
      <w:r>
        <w:rPr>
          <w:rFonts w:ascii="Times New Roman" w:hAnsi="Times New Roman"/>
          <w:sz w:val="20"/>
        </w:rPr>
        <w:t>Comparison_of_dissertation_proposal_versions_LeapSpace.pdf</w:t>
      </w:r>
      <w:r>
        <w:rPr>
          <w:rFonts w:ascii="Times New Roman" w:hAnsi="Times New Roman"/>
          <w:sz w:val="24"/>
        </w:rPr>
        <w:t xml:space="preserve">, tetapi keduanya </w:t>
      </w:r>
      <w:r>
        <w:rPr>
          <w:rFonts w:ascii="Times New Roman" w:hAnsi="Times New Roman"/>
          <w:b/>
          <w:sz w:val="24"/>
        </w:rPr>
        <w:t>tidak masuk</w:t>
      </w:r>
      <w:r>
        <w:rPr>
          <w:rFonts w:ascii="Times New Roman" w:hAnsi="Times New Roman"/>
          <w:sz w:val="24"/>
        </w:rPr>
        <w:t xml:space="preserve"> ke lingkungan kerja saya (lampiran chat gagal keempat kalinya), dan pencarian di Google Drive Anda juga </w:t>
      </w:r>
      <w:r>
        <w:rPr>
          <w:rFonts w:ascii="Times New Roman" w:hAnsi="Times New Roman"/>
          <w:b/>
          <w:sz w:val="24"/>
        </w:rPr>
        <w:t>tidak menemukannya</w:t>
      </w:r>
      <w:r>
        <w:rPr>
          <w:rFonts w:ascii="Times New Roman" w:hAnsi="Times New Roman"/>
          <w:sz w:val="24"/>
        </w:rPr>
        <w:t xml:space="preserve"> (nama "TANPA_MODERATOR"/"80-100" nihil; Trash kosong).</w:t>
      </w:r>
    </w:p>
    <w:p>
      <w:r>
        <w:rPr>
          <w:rFonts w:ascii="Times New Roman" w:hAnsi="Times New Roman"/>
          <w:b/>
          <w:sz w:val="24"/>
        </w:rPr>
        <w:t>Jalur yang terbukti berhasil:</w:t>
      </w:r>
      <w:r>
        <w:rPr>
          <w:rFonts w:ascii="Times New Roman" w:hAnsi="Times New Roman"/>
          <w:sz w:val="24"/>
        </w:rPr>
        <w:t xml:space="preserve"> saya berhasil menarik berkas dari Google Drive Anda secara langsung. Jadi cukup </w:t>
      </w:r>
      <w:r>
        <w:rPr>
          <w:rFonts w:ascii="Times New Roman" w:hAnsi="Times New Roman"/>
          <w:b/>
          <w:sz w:val="24"/>
        </w:rPr>
        <w:t>unggah kedua berkas itu ke folder "Disertasi"</w:t>
      </w:r>
      <w:r>
        <w:rPr>
          <w:rFonts w:ascii="Times New Roman" w:hAnsi="Times New Roman"/>
          <w:sz w:val="24"/>
        </w:rPr>
        <w:t xml:space="preserve"> di Drive (drag-and-drop, seperti biasa) — tidak perlu mengubah nama. Setelah itu saya tarik dan bandingkan ketiga versi sekaligus (termasuk </w:t>
      </w:r>
      <w:r>
        <w:rPr>
          <w:rFonts w:ascii="Times New Roman" w:hAnsi="Times New Roman"/>
          <w:sz w:val="20"/>
        </w:rPr>
        <w:t>USULAN_RISET_DISERTASI_Michael_Raintung.pdf</w:t>
      </w:r>
      <w:r>
        <w:rPr>
          <w:rFonts w:ascii="Times New Roman" w:hAnsi="Times New Roman"/>
          <w:sz w:val="24"/>
        </w:rPr>
        <w:t xml:space="preserve"> 27 Agustus yang sudah saya temukan, bila relevan).</w:t>
      </w:r>
    </w:p>
    <w:p>
      <w:r>
        <w:rPr>
          <w:rFonts w:ascii="Times New Roman" w:hAnsi="Times New Roman"/>
          <w:sz w:val="24"/>
        </w:rPr>
        <w:t xml:space="preserve">Sementara itu, temuan Bagian 2–5 di atas </w:t>
      </w:r>
      <w:r>
        <w:rPr>
          <w:rFonts w:ascii="Times New Roman" w:hAnsi="Times New Roman"/>
          <w:b/>
          <w:sz w:val="24"/>
        </w:rPr>
        <w:t>sudah dapat dipakai</w:t>
      </w:r>
      <w:r>
        <w:rPr>
          <w:rFonts w:ascii="Times New Roman" w:hAnsi="Times New Roman"/>
          <w:sz w:val="24"/>
        </w:rPr>
        <w:t xml:space="preserve"> — disusun dari teks penuh dua berkas terbaru, bukan dari pembacaan terpotong.</w:t>
      </w:r>
    </w:p>
    <w:sectPr w:rsidR="00FC693F" w:rsidRPr="0006063C" w:rsidSect="00034616">
      <w:pgSz w:w="11906" w:h="16838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4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