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BLOK REVISI SIAP TEMPEL</w:t>
      </w:r>
    </w:p>
    <w:p>
      <w:pPr>
        <w:jc w:val="center"/>
      </w:pPr>
      <w:r>
        <w:rPr>
          <w:rFonts w:ascii="Times New Roman" w:hAnsi="Times New Roman"/>
          <w:sz w:val="24"/>
        </w:rPr>
        <w:t>Michael Ch. Raintung — menuju naskah proposal final</w:t>
      </w:r>
    </w:p>
    <w:p>
      <w:pPr>
        <w:pStyle w:val="Heading1"/>
      </w:pPr>
      <w:r>
        <w:rPr>
          <w:rFonts w:ascii="Times New Roman" w:hAnsi="Times New Roman"/>
          <w:sz w:val="28"/>
        </w:rPr>
        <w:t>Blok Revisi Siap Tempel</w:t>
      </w:r>
    </w:p>
    <w:p>
      <w:pPr>
        <w:pStyle w:val="Heading2"/>
      </w:pPr>
      <w:r>
        <w:rPr>
          <w:rFonts w:ascii="Times New Roman" w:hAnsi="Times New Roman"/>
          <w:sz w:val="24"/>
        </w:rPr>
        <w:t>Penyelesaian menuju naskah proposal final — Model Pembentukan Advokasi Merek Digital melalui Kredibilitas Influencer pada Generasi Z di Sulawesi Utara</w:t>
      </w:r>
    </w:p>
    <w:p>
      <w:r>
        <w:rPr>
          <w:rFonts w:ascii="Times New Roman" w:hAnsi="Times New Roman"/>
          <w:b/>
          <w:sz w:val="24"/>
        </w:rPr>
        <w:t>Cara pakai.</w:t>
      </w:r>
      <w:r>
        <w:rPr>
          <w:rFonts w:ascii="Times New Roman" w:hAnsi="Times New Roman"/>
          <w:sz w:val="24"/>
        </w:rPr>
        <w:t xml:space="preserve"> Berkas ini memuat blok-blok teks yang sudah disesuaikan dengan temuan LeapSpace. Pemasangannya </w:t>
      </w:r>
      <w:r>
        <w:rPr>
          <w:rFonts w:ascii="Times New Roman" w:hAnsi="Times New Roman"/>
          <w:b/>
          <w:sz w:val="24"/>
        </w:rPr>
        <w:t>di dalam naskah File A (Revisi Seminar Proposal)</w:t>
      </w:r>
      <w:r>
        <w:rPr>
          <w:rFonts w:ascii="Times New Roman" w:hAnsi="Times New Roman"/>
          <w:sz w:val="24"/>
        </w:rPr>
        <w:t xml:space="preserve"> — dokumen yang oleh LeapSpace dinilai paling lengkap dan paling siap. Setiap blok diberi tanda sisip: </w:t>
      </w:r>
      <w:r>
        <w:rPr>
          <w:rFonts w:ascii="Times New Roman" w:hAnsi="Times New Roman"/>
          <w:b/>
          <w:sz w:val="24"/>
        </w:rPr>
        <w:t>[GANTI]</w:t>
      </w:r>
      <w:r>
        <w:rPr>
          <w:rFonts w:ascii="Times New Roman" w:hAnsi="Times New Roman"/>
          <w:sz w:val="24"/>
        </w:rPr>
        <w:t xml:space="preserve"> berarti menimpa bagian lama, </w:t>
      </w:r>
      <w:r>
        <w:rPr>
          <w:rFonts w:ascii="Times New Roman" w:hAnsi="Times New Roman"/>
          <w:b/>
          <w:sz w:val="24"/>
        </w:rPr>
        <w:t>[SISIP]</w:t>
      </w:r>
      <w:r>
        <w:rPr>
          <w:rFonts w:ascii="Times New Roman" w:hAnsi="Times New Roman"/>
          <w:sz w:val="24"/>
        </w:rPr>
        <w:t xml:space="preserve"> berarti menambahkan sebagai sub-bagian baru, </w:t>
      </w:r>
      <w:r>
        <w:rPr>
          <w:rFonts w:ascii="Times New Roman" w:hAnsi="Times New Roman"/>
          <w:b/>
          <w:sz w:val="24"/>
        </w:rPr>
        <w:t>[SERAGAMKAN]</w:t>
      </w:r>
      <w:r>
        <w:rPr>
          <w:rFonts w:ascii="Times New Roman" w:hAnsi="Times New Roman"/>
          <w:sz w:val="24"/>
        </w:rPr>
        <w:t xml:space="preserve"> berarti tindakan pencarian-penggantian istilah di seluruh naskah. Urutan pengerjaan: Blok 13 lebih dahulu (penyeragaman istilah), lalu Blok 1–12 berurutan.</w:t>
      </w:r>
    </w:p>
    <w:p>
      <w:r>
        <w:br w:type="page"/>
      </w:r>
    </w:p>
    <w:p>
      <w:pPr>
        <w:pStyle w:val="Heading2"/>
      </w:pPr>
      <w:r>
        <w:rPr>
          <w:rFonts w:ascii="Times New Roman" w:hAnsi="Times New Roman"/>
          <w:sz w:val="24"/>
        </w:rPr>
        <w:t>Blok 1 — [GANTI] Ringkasan Proposal</w:t>
      </w:r>
    </w:p>
    <w:p>
      <w:pPr>
        <w:ind w:left="567" w:right="283"/>
      </w:pPr>
      <w:r>
        <w:rPr>
          <w:rFonts w:ascii="Times New Roman" w:hAnsi="Times New Roman"/>
          <w:i/>
          <w:sz w:val="24"/>
        </w:rPr>
        <w:t>Berlandaskan kerangka stimulus–organism–response (S-O-R), penelitian ini menguji model yang menempatkan kredibilitas influencer sebagai stimulus dan prediktor kesediaan advokasi merek digital, dengan hubungan parasosial dan autentisitas merek sebagai dua mekanisme internal berurutan, serta service-dominant logic sebagai perspektif pendamping penciptaan nilai. Subjek penelitian adalah Generasi Z berusia 18–27 tahun yang berdomisili di Sulawesi Utara. Model memuat lima hipotesis utama; KI → AM ditetapkan sebagai jalur alternatif, bukan hipotesis keenam. Data dikumpulkan melalui survei daring potong lintang dengan penarikan sampel purposif. Target minimum 385 respons sah; kecukupan sampel untuk efek serial ditetapkan melalui simulasi daya a priori sebelum survei utama. Instrumen penelitian mencakup 39 butir inti dan empat butir global untuk pemeriksaan redundansi; setiap butir diaudit pada tingkat objek penilaian agar batas antarkonstruk terkunci, lalu melalui panel ahli, wawancara kognitif, dan uji coba sebelum pengumpulan data utama. Analisis menggunakan PLS-SEM dua tahap pada 13 dimensi reflektif dan empat konstruk tingkat lebih tinggi formatif, dengan interval bootstrap BCa untuk menilai efek tidak langsung; validitas diskriminan diuji dan dilaporkan, bukan sekadar direncanakan. Karena desain satu gelombang tidak memenuhi syarat penarikan kesimpulan kausal, temuan ditafsirkan sebagai pola hubungan yang konsisten dengan model teoretis, bukan sebagai bukti sebab-akibat maupun advokasi merek yang benar-benar dilakukan.</w:t>
      </w:r>
    </w:p>
    <w:p>
      <w:pPr>
        <w:ind w:left="567" w:right="283"/>
      </w:pPr>
    </w:p>
    <w:p>
      <w:pPr>
        <w:ind w:left="567" w:right="283"/>
      </w:pPr>
      <w:r>
        <w:rPr>
          <w:rFonts w:ascii="Times New Roman" w:hAnsi="Times New Roman"/>
          <w:i/>
          <w:sz w:val="24"/>
        </w:rPr>
        <w:t>Kata kunci: kredibilitas influencer; hubungan parasosial; autentisitas merek; advokasi merek digital; PLS-SEM.</w:t>
      </w:r>
    </w:p>
    <w:p>
      <w:pPr>
        <w:pStyle w:val="Heading2"/>
      </w:pPr>
      <w:r>
        <w:rPr>
          <w:rFonts w:ascii="Times New Roman" w:hAnsi="Times New Roman"/>
          <w:sz w:val="24"/>
        </w:rPr>
        <w:t>Blok 2 — [GANTI] Bab I.E Hipotesis</w:t>
      </w:r>
    </w:p>
    <w:p>
      <w:r>
        <w:rPr>
          <w:rFonts w:ascii="Times New Roman" w:hAnsi="Times New Roman"/>
          <w:sz w:val="24"/>
        </w:rPr>
        <w:t>Model penelitian menggunakan notasi berikut: X = kredibilitas influencer (KI), M1 = hubungan parasosial (HP), M2 = autentisitas merek (AM), dan Y = kesediaan advokasi merek digital (AMD). Persamaan ringkas model adalah:</w:t>
      </w:r>
    </w:p>
    <w:p>
      <w:pPr>
        <w:pStyle w:val="ListBullet"/>
        <w:spacing w:after="40" w:line="360" w:lineRule="auto"/>
      </w:pPr>
      <w:r>
        <w:rPr>
          <w:rFonts w:ascii="Times New Roman" w:hAnsi="Times New Roman"/>
          <w:sz w:val="24"/>
        </w:rPr>
        <w:t>M1 (HP) = i₁ + a₁X + e₁</w:t>
      </w:r>
    </w:p>
    <w:p>
      <w:pPr>
        <w:pStyle w:val="ListBullet"/>
        <w:spacing w:after="40" w:line="360" w:lineRule="auto"/>
      </w:pPr>
      <w:r>
        <w:rPr>
          <w:rFonts w:ascii="Times New Roman" w:hAnsi="Times New Roman"/>
          <w:sz w:val="24"/>
        </w:rPr>
        <w:t>M2 (AM) = i₂ + a₂X + d₂₁M1 + e₂</w:t>
      </w:r>
    </w:p>
    <w:p>
      <w:pPr>
        <w:pStyle w:val="ListBullet"/>
        <w:spacing w:after="40" w:line="360" w:lineRule="auto"/>
      </w:pPr>
      <w:r>
        <w:rPr>
          <w:rFonts w:ascii="Times New Roman" w:hAnsi="Times New Roman"/>
          <w:sz w:val="24"/>
        </w:rPr>
        <w:t>Y (AMD) = i₃ + c′X + b₁M1 + b₂M2 + e₃</w:t>
      </w:r>
    </w:p>
    <w:p>
      <w:r>
        <w:rPr>
          <w:rFonts w:ascii="Times New Roman" w:hAnsi="Times New Roman"/>
          <w:sz w:val="24"/>
        </w:rPr>
        <w:t>Berdasarkan persamaan tersebut, lima hipotesis utama dirumuskan sebagai berikut.</w:t>
      </w:r>
    </w:p>
    <w:p>
      <w:r>
        <w:rPr>
          <w:rFonts w:ascii="Times New Roman" w:hAnsi="Times New Roman"/>
          <w:b/>
          <w:sz w:val="24"/>
        </w:rPr>
        <w:t>H1.</w:t>
      </w:r>
      <w:r>
        <w:rPr>
          <w:rFonts w:ascii="Times New Roman" w:hAnsi="Times New Roman"/>
          <w:sz w:val="24"/>
        </w:rPr>
        <w:t xml:space="preserve"> Kredibilitas influencer berhubungan positif dengan hubungan parasosial yang dirasakan responden terhadap influencer acuan (jalur a₁).</w:t>
      </w:r>
    </w:p>
    <w:p>
      <w:r>
        <w:rPr>
          <w:rFonts w:ascii="Times New Roman" w:hAnsi="Times New Roman"/>
          <w:b/>
          <w:sz w:val="24"/>
        </w:rPr>
        <w:t>H2.</w:t>
      </w:r>
      <w:r>
        <w:rPr>
          <w:rFonts w:ascii="Times New Roman" w:hAnsi="Times New Roman"/>
          <w:sz w:val="24"/>
        </w:rPr>
        <w:t xml:space="preserve"> Hubungan parasosial berhubungan positif dengan persepsi autentisitas merek acuan (jalur d₂₁).</w:t>
      </w:r>
    </w:p>
    <w:p>
      <w:r>
        <w:rPr>
          <w:rFonts w:ascii="Times New Roman" w:hAnsi="Times New Roman"/>
          <w:b/>
          <w:sz w:val="24"/>
        </w:rPr>
        <w:t>H3.</w:t>
      </w:r>
      <w:r>
        <w:rPr>
          <w:rFonts w:ascii="Times New Roman" w:hAnsi="Times New Roman"/>
          <w:sz w:val="24"/>
        </w:rPr>
        <w:t xml:space="preserve"> Persepsi autentisitas merek berhubungan positif dengan kesediaan advokasi merek digital (jalur b₂).</w:t>
      </w:r>
    </w:p>
    <w:p>
      <w:r>
        <w:rPr>
          <w:rFonts w:ascii="Times New Roman" w:hAnsi="Times New Roman"/>
          <w:b/>
          <w:sz w:val="24"/>
        </w:rPr>
        <w:t>H4.</w:t>
      </w:r>
      <w:r>
        <w:rPr>
          <w:rFonts w:ascii="Times New Roman" w:hAnsi="Times New Roman"/>
          <w:sz w:val="24"/>
        </w:rPr>
        <w:t xml:space="preserve"> Kredibilitas influencer berhubungan positif dengan kesediaan advokasi merek digital (jalur langsung c′).</w:t>
      </w:r>
    </w:p>
    <w:p>
      <w:r>
        <w:rPr>
          <w:rFonts w:ascii="Times New Roman" w:hAnsi="Times New Roman"/>
          <w:b/>
          <w:sz w:val="24"/>
        </w:rPr>
        <w:t>H5.</w:t>
      </w:r>
      <w:r>
        <w:rPr>
          <w:rFonts w:ascii="Times New Roman" w:hAnsi="Times New Roman"/>
          <w:sz w:val="24"/>
        </w:rPr>
        <w:t xml:space="preserve"> Kredibilitas influencer berhubungan positif dengan kesediaan advokasi merek digital melalui hubungan parasosial dan autentisitas merek secara berurutan (efek tidak langsung serial a₁ × d₂₁ × b₂).</w:t>
      </w:r>
    </w:p>
    <w:p>
      <w:r>
        <w:rPr>
          <w:rFonts w:ascii="Times New Roman" w:hAnsi="Times New Roman"/>
          <w:sz w:val="24"/>
        </w:rPr>
        <w:t xml:space="preserve">Dua jalur berikut ditetapkan sebagai </w:t>
      </w:r>
      <w:r>
        <w:rPr>
          <w:rFonts w:ascii="Times New Roman" w:hAnsi="Times New Roman"/>
          <w:b/>
          <w:sz w:val="24"/>
        </w:rPr>
        <w:t>jalur alternatif/tambahan</w:t>
      </w:r>
      <w:r>
        <w:rPr>
          <w:rFonts w:ascii="Times New Roman" w:hAnsi="Times New Roman"/>
          <w:sz w:val="24"/>
        </w:rPr>
        <w:t>, bukan hipotesis utama, dan dilaporkan secara terpisah: (1) KI → AM (a₂), yaitu kemungkinan keterkaitan langsung antara penilaian atas influencer dan penilaian atas merek; dan (2) HP → AMD (b₁), yaitu kemungkinan keterkaitan langsung antara kedekatan dengan figur dan kesediaan advokasi. Penetapan ini dilakukan sebelum analisis, bersifat teoretis, dan tidak diubah berdasarkan hasil data.</w:t>
      </w:r>
    </w:p>
    <w:p>
      <w:r>
        <w:rPr>
          <w:rFonts w:ascii="Times New Roman" w:hAnsi="Times New Roman"/>
          <w:sz w:val="24"/>
        </w:rPr>
        <w:t>Model tidak memuat moderator maupun suku interaksi. Seluruh hipotesis diuji dengan prosedur yang ditetapkan pada Bab III, dan hasilnya dilaporkan bersama koefisien serta interval kepercayaan, bukan semata nilai signifikansi.</w:t>
      </w:r>
    </w:p>
    <w:p>
      <w:pPr>
        <w:pStyle w:val="Heading2"/>
      </w:pPr>
      <w:r>
        <w:rPr>
          <w:rFonts w:ascii="Times New Roman" w:hAnsi="Times New Roman"/>
          <w:sz w:val="24"/>
        </w:rPr>
        <w:t>Blok 3 — [SISIP] Bab I.B.3 Batasan Masalah — dua batas yang harus dinyatakan tegas</w:t>
      </w:r>
    </w:p>
    <w:p>
      <w:r>
        <w:rPr>
          <w:rFonts w:ascii="Times New Roman" w:hAnsi="Times New Roman"/>
          <w:b/>
          <w:sz w:val="24"/>
        </w:rPr>
        <w:t>Batas penarikan kesimpulan kausal.</w:t>
      </w:r>
      <w:r>
        <w:rPr>
          <w:rFonts w:ascii="Times New Roman" w:hAnsi="Times New Roman"/>
          <w:sz w:val="24"/>
        </w:rPr>
        <w:t xml:space="preserve"> Penelitian ini menggunakan survei potong lintang satu gelombang. Tiga syarat untuk menarik kesimpulan sebab-akibat tidak terpenuhi: urutan waktu antarvariabel tidak diamati, tidak ada manipulasi atas variabel bebas, dan variabel pengganggu yang tidak terukur tidak dapat dikendalikan secara penuh. Karena itu istilah seperti "pengaruh", "dampak", atau "menyebabkan" tidak digunakan sebagai klaim; hubungan antarkonstruk ditafsirkan sebagai pola yang konsisten dengan proposisi teoretis.</w:t>
      </w:r>
    </w:p>
    <w:p>
      <w:r>
        <w:rPr>
          <w:rFonts w:ascii="Times New Roman" w:hAnsi="Times New Roman"/>
          <w:b/>
          <w:sz w:val="24"/>
        </w:rPr>
        <w:t>Batas generalisasi.</w:t>
      </w:r>
      <w:r>
        <w:rPr>
          <w:rFonts w:ascii="Times New Roman" w:hAnsi="Times New Roman"/>
          <w:sz w:val="24"/>
        </w:rPr>
        <w:t xml:space="preserve"> Penarikan sampel menggunakan teknik purposif, bukan probabilitas. Responden terbatas pada Generasi Z berusia 18–27 tahun yang berdomisili di Sulawesi Utara dan memenuhi kriteria paparan yang ditetapkan. Temuan tidak digeneralisasi ke populasi di luar kriteria tersebut; keterwakilan wilayah ini dalam literatur diperiksa melalui penelusuran terarah dan dilaporkan secara terbuka.</w:t>
      </w:r>
    </w:p>
    <w:p>
      <w:pPr>
        <w:pStyle w:val="Heading2"/>
      </w:pPr>
      <w:r>
        <w:rPr>
          <w:rFonts w:ascii="Times New Roman" w:hAnsi="Times New Roman"/>
          <w:sz w:val="24"/>
        </w:rPr>
        <w:t>Blok 4 — [SISIP] Bab II: Definisi dan Batas Antarkonstruk (objek penilaian)</w:t>
      </w:r>
    </w:p>
    <w:p>
      <w:r>
        <w:rPr>
          <w:rFonts w:ascii="Times New Roman" w:hAnsi="Times New Roman"/>
          <w:sz w:val="24"/>
        </w:rPr>
        <w:t>Empat konstruk penelitian ini menuntut kejelasan objek penilaian, karena dua di antaranya berfokus pada figura yang sama (influencer) dan dua lainnya berfokus pada merek. Tanpa pembedaan ini, butir-butir pengukuran berisiko saling tumpang-tindih dan mengancam validitas diskriminan.</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Konstruk</w:t>
            </w:r>
          </w:p>
        </w:tc>
        <w:tc>
          <w:tcPr>
            <w:tcW w:type="dxa" w:w="1984"/>
          </w:tcPr>
          <w:p>
            <w:pPr>
              <w:spacing w:after="40" w:line="240" w:lineRule="auto"/>
            </w:pPr>
            <w:r>
              <w:rPr>
                <w:rFonts w:ascii="Times New Roman" w:hAnsi="Times New Roman"/>
                <w:b/>
                <w:sz w:val="24"/>
              </w:rPr>
              <w:t>Objek penilaian</w:t>
            </w:r>
          </w:p>
        </w:tc>
        <w:tc>
          <w:tcPr>
            <w:tcW w:type="dxa" w:w="1984"/>
          </w:tcPr>
          <w:p>
            <w:pPr>
              <w:spacing w:after="40" w:line="240" w:lineRule="auto"/>
            </w:pPr>
            <w:r>
              <w:rPr>
                <w:rFonts w:ascii="Times New Roman" w:hAnsi="Times New Roman"/>
                <w:b/>
                <w:sz w:val="24"/>
              </w:rPr>
              <w:t>Definisi operasional dalam penelitian ini</w:t>
            </w:r>
          </w:p>
        </w:tc>
        <w:tc>
          <w:tcPr>
            <w:tcW w:type="dxa" w:w="1984"/>
          </w:tcPr>
          <w:p>
            <w:pPr>
              <w:spacing w:after="40" w:line="240" w:lineRule="auto"/>
            </w:pPr>
            <w:r>
              <w:rPr>
                <w:rFonts w:ascii="Times New Roman" w:hAnsi="Times New Roman"/>
                <w:b/>
                <w:sz w:val="24"/>
              </w:rPr>
              <w:t>Cakupan dimensi</w:t>
            </w:r>
          </w:p>
        </w:tc>
      </w:tr>
      <w:tr>
        <w:tc>
          <w:tcPr>
            <w:tcW w:type="dxa" w:w="1984"/>
          </w:tcPr>
          <w:p>
            <w:pPr>
              <w:spacing w:after="40" w:line="240" w:lineRule="auto"/>
            </w:pPr>
            <w:r>
              <w:rPr>
                <w:rFonts w:ascii="Times New Roman" w:hAnsi="Times New Roman"/>
                <w:sz w:val="24"/>
              </w:rPr>
              <w:t>Kredibilitas influencer (KI)</w:t>
            </w:r>
          </w:p>
        </w:tc>
        <w:tc>
          <w:tcPr>
            <w:tcW w:type="dxa" w:w="1984"/>
          </w:tcPr>
          <w:p>
            <w:pPr>
              <w:spacing w:after="40" w:line="240" w:lineRule="auto"/>
            </w:pPr>
            <w:r>
              <w:rPr>
                <w:rFonts w:ascii="Times New Roman" w:hAnsi="Times New Roman"/>
                <w:sz w:val="24"/>
              </w:rPr>
              <w:t>Influencer acuan sebagai sumber informasi</w:t>
            </w:r>
          </w:p>
        </w:tc>
        <w:tc>
          <w:tcPr>
            <w:tcW w:type="dxa" w:w="1984"/>
          </w:tcPr>
          <w:p>
            <w:pPr>
              <w:spacing w:after="40" w:line="240" w:lineRule="auto"/>
            </w:pPr>
            <w:r>
              <w:rPr>
                <w:rFonts w:ascii="Times New Roman" w:hAnsi="Times New Roman"/>
                <w:sz w:val="24"/>
              </w:rPr>
              <w:t>Penilaian responden mengenai kelayakan influencer acuan sebagai sumber informasi dan rekomendasi</w:t>
            </w:r>
          </w:p>
        </w:tc>
        <w:tc>
          <w:tcPr>
            <w:tcW w:type="dxa" w:w="1984"/>
          </w:tcPr>
          <w:p>
            <w:pPr>
              <w:spacing w:after="40" w:line="240" w:lineRule="auto"/>
            </w:pPr>
            <w:r>
              <w:rPr>
                <w:rFonts w:ascii="Times New Roman" w:hAnsi="Times New Roman"/>
                <w:sz w:val="24"/>
              </w:rPr>
              <w:t>Keahlian; keterpercayaan; daya tarik</w:t>
            </w:r>
          </w:p>
        </w:tc>
      </w:tr>
      <w:tr>
        <w:tc>
          <w:tcPr>
            <w:tcW w:type="dxa" w:w="1984"/>
          </w:tcPr>
          <w:p>
            <w:pPr>
              <w:spacing w:after="40" w:line="240" w:lineRule="auto"/>
            </w:pPr>
            <w:r>
              <w:rPr>
                <w:rFonts w:ascii="Times New Roman" w:hAnsi="Times New Roman"/>
                <w:sz w:val="24"/>
              </w:rPr>
              <w:t>Hubungan parasosial (HP)</w:t>
            </w:r>
          </w:p>
        </w:tc>
        <w:tc>
          <w:tcPr>
            <w:tcW w:type="dxa" w:w="1984"/>
          </w:tcPr>
          <w:p>
            <w:pPr>
              <w:spacing w:after="40" w:line="240" w:lineRule="auto"/>
            </w:pPr>
            <w:r>
              <w:rPr>
                <w:rFonts w:ascii="Times New Roman" w:hAnsi="Times New Roman"/>
                <w:sz w:val="24"/>
              </w:rPr>
              <w:t>Ikatan yang dirasakan responden terhadap influencer acuan</w:t>
            </w:r>
          </w:p>
        </w:tc>
        <w:tc>
          <w:tcPr>
            <w:tcW w:type="dxa" w:w="1984"/>
          </w:tcPr>
          <w:p>
            <w:pPr>
              <w:spacing w:after="40" w:line="240" w:lineRule="auto"/>
            </w:pPr>
            <w:r>
              <w:rPr>
                <w:rFonts w:ascii="Times New Roman" w:hAnsi="Times New Roman"/>
                <w:sz w:val="24"/>
              </w:rPr>
              <w:t>Pengalaman kedekatan satu arah yang relatif berkelanjutan yang dirasakan responden terhadap influencer acuan</w:t>
            </w:r>
          </w:p>
        </w:tc>
        <w:tc>
          <w:tcPr>
            <w:tcW w:type="dxa" w:w="1984"/>
          </w:tcPr>
          <w:p>
            <w:pPr>
              <w:spacing w:after="40" w:line="240" w:lineRule="auto"/>
            </w:pPr>
            <w:r>
              <w:rPr>
                <w:rFonts w:ascii="Times New Roman" w:hAnsi="Times New Roman"/>
                <w:sz w:val="24"/>
              </w:rPr>
              <w:t>Persepsi pertemanan; keterikatan emosional; pemahaman terhadap figur</w:t>
            </w:r>
          </w:p>
        </w:tc>
      </w:tr>
      <w:tr>
        <w:tc>
          <w:tcPr>
            <w:tcW w:type="dxa" w:w="1984"/>
          </w:tcPr>
          <w:p>
            <w:pPr>
              <w:spacing w:after="40" w:line="240" w:lineRule="auto"/>
            </w:pPr>
            <w:r>
              <w:rPr>
                <w:rFonts w:ascii="Times New Roman" w:hAnsi="Times New Roman"/>
                <w:sz w:val="24"/>
              </w:rPr>
              <w:t>Autentisitas merek (AM)</w:t>
            </w:r>
          </w:p>
        </w:tc>
        <w:tc>
          <w:tcPr>
            <w:tcW w:type="dxa" w:w="1984"/>
          </w:tcPr>
          <w:p>
            <w:pPr>
              <w:spacing w:after="40" w:line="240" w:lineRule="auto"/>
            </w:pPr>
            <w:r>
              <w:rPr>
                <w:rFonts w:ascii="Times New Roman" w:hAnsi="Times New Roman"/>
                <w:sz w:val="24"/>
              </w:rPr>
              <w:t>Merek acuan</w:t>
            </w:r>
          </w:p>
        </w:tc>
        <w:tc>
          <w:tcPr>
            <w:tcW w:type="dxa" w:w="1984"/>
          </w:tcPr>
          <w:p>
            <w:pPr>
              <w:spacing w:after="40" w:line="240" w:lineRule="auto"/>
            </w:pPr>
            <w:r>
              <w:rPr>
                <w:rFonts w:ascii="Times New Roman" w:hAnsi="Times New Roman"/>
                <w:sz w:val="24"/>
              </w:rPr>
              <w:t>Penilaian responden bahwa karakter, janji, nilai, dan tindakan merek acuan tampak konsisten serta dapat dipercaya</w:t>
            </w:r>
          </w:p>
        </w:tc>
        <w:tc>
          <w:tcPr>
            <w:tcW w:type="dxa" w:w="1984"/>
          </w:tcPr>
          <w:p>
            <w:pPr>
              <w:spacing w:after="40" w:line="240" w:lineRule="auto"/>
            </w:pPr>
            <w:r>
              <w:rPr>
                <w:rFonts w:ascii="Times New Roman" w:hAnsi="Times New Roman"/>
                <w:sz w:val="24"/>
              </w:rPr>
              <w:t>Kontinuitas; kredibilitas merek; integritas; simbolisme</w:t>
            </w:r>
          </w:p>
        </w:tc>
      </w:tr>
      <w:tr>
        <w:tc>
          <w:tcPr>
            <w:tcW w:type="dxa" w:w="1984"/>
          </w:tcPr>
          <w:p>
            <w:pPr>
              <w:spacing w:after="40" w:line="240" w:lineRule="auto"/>
            </w:pPr>
            <w:r>
              <w:rPr>
                <w:rFonts w:ascii="Times New Roman" w:hAnsi="Times New Roman"/>
                <w:sz w:val="24"/>
              </w:rPr>
              <w:t>Kesediaan advokasi merek digital (AMD)</w:t>
            </w:r>
          </w:p>
        </w:tc>
        <w:tc>
          <w:tcPr>
            <w:tcW w:type="dxa" w:w="1984"/>
          </w:tcPr>
          <w:p>
            <w:pPr>
              <w:spacing w:after="40" w:line="240" w:lineRule="auto"/>
            </w:pPr>
            <w:r>
              <w:rPr>
                <w:rFonts w:ascii="Times New Roman" w:hAnsi="Times New Roman"/>
                <w:sz w:val="24"/>
              </w:rPr>
              <w:t>Diri responden</w:t>
            </w:r>
          </w:p>
        </w:tc>
        <w:tc>
          <w:tcPr>
            <w:tcW w:type="dxa" w:w="1984"/>
          </w:tcPr>
          <w:p>
            <w:pPr>
              <w:spacing w:after="40" w:line="240" w:lineRule="auto"/>
            </w:pPr>
            <w:r>
              <w:rPr>
                <w:rFonts w:ascii="Times New Roman" w:hAnsi="Times New Roman"/>
                <w:sz w:val="24"/>
              </w:rPr>
              <w:t>Kesediaan responden untuk merekomendasikan, membagikan konten, dan membela merek acuan melalui kanal digital</w:t>
            </w:r>
          </w:p>
        </w:tc>
        <w:tc>
          <w:tcPr>
            <w:tcW w:type="dxa" w:w="1984"/>
          </w:tcPr>
          <w:p>
            <w:pPr>
              <w:spacing w:after="40" w:line="240" w:lineRule="auto"/>
            </w:pPr>
            <w:r>
              <w:rPr>
                <w:rFonts w:ascii="Times New Roman" w:hAnsi="Times New Roman"/>
                <w:sz w:val="24"/>
              </w:rPr>
              <w:t>Rekomendasi; berbagi konten; pembelaan</w:t>
            </w:r>
          </w:p>
        </w:tc>
      </w:tr>
    </w:tbl>
    <w:p/>
    <w:p>
      <w:r>
        <w:rPr>
          <w:rFonts w:ascii="Times New Roman" w:hAnsi="Times New Roman"/>
          <w:b/>
          <w:sz w:val="24"/>
        </w:rPr>
        <w:t>Aturan penulisan butir.</w:t>
      </w:r>
      <w:r>
        <w:rPr>
          <w:rFonts w:ascii="Times New Roman" w:hAnsi="Times New Roman"/>
          <w:sz w:val="24"/>
        </w:rPr>
        <w:t xml:space="preserve"> Butir KI harus tetap bermakna tanpa pengetahuan tentang merek apa pun. Butir HP tidak boleh menyebut nama atau kualitas merek. Butir AM harus tetap bermakna meskipun responden tidak mengikuti influencer mana pun. Butir AMD merupakan pernyataan tentang diri responden, bukan penilaian atas pihak lain. Setiap butir yang melanggar aturan ini ditulis ulang sebelum uji coba; keputusan revisi dicatat pada Lampiran 2.</w:t>
      </w:r>
    </w:p>
    <w:p>
      <w:r>
        <w:rPr>
          <w:rFonts w:ascii="Times New Roman" w:hAnsi="Times New Roman"/>
          <w:b/>
          <w:sz w:val="24"/>
        </w:rPr>
        <w:t>Mengapa HP dan AM bukan konstruk yang sama.</w:t>
      </w:r>
      <w:r>
        <w:rPr>
          <w:rFonts w:ascii="Times New Roman" w:hAnsi="Times New Roman"/>
          <w:sz w:val="24"/>
        </w:rPr>
        <w:t xml:space="preserve"> Keduanya bersifat evaluatif, tetapi berbeda dalam tiga hal: objek (influencer versus merek), sumber pengalaman (interaksi yang dirasakan dengan figur versus penilaian atas janji dan tindakan merek), dan konsekuensi teoretis (kedekatan tidak dengan sendirinya berarti penilaian merek yang positif). Perbedaan ini diuji secara empiris melalui HTMT dan cross-loading, dan bukan hanya dinyatakan secara konseptual.</w:t>
      </w:r>
    </w:p>
    <w:p>
      <w:pPr>
        <w:pStyle w:val="Heading2"/>
      </w:pPr>
      <w:r>
        <w:rPr>
          <w:rFonts w:ascii="Times New Roman" w:hAnsi="Times New Roman"/>
          <w:sz w:val="24"/>
        </w:rPr>
        <w:t>Blok 5 — [SISIP] Bab II: Peran dan Batas Setiap Kerangka Teori</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Kerangka</w:t>
            </w:r>
          </w:p>
        </w:tc>
        <w:tc>
          <w:tcPr>
            <w:tcW w:type="dxa" w:w="2646"/>
          </w:tcPr>
          <w:p>
            <w:pPr>
              <w:spacing w:after="40" w:line="240" w:lineRule="auto"/>
            </w:pPr>
            <w:r>
              <w:rPr>
                <w:rFonts w:ascii="Times New Roman" w:hAnsi="Times New Roman"/>
                <w:b/>
                <w:sz w:val="24"/>
              </w:rPr>
              <w:t>Fungsi dalam model</w:t>
            </w:r>
          </w:p>
        </w:tc>
        <w:tc>
          <w:tcPr>
            <w:tcW w:type="dxa" w:w="2646"/>
          </w:tcPr>
          <w:p>
            <w:pPr>
              <w:spacing w:after="40" w:line="240" w:lineRule="auto"/>
            </w:pPr>
            <w:r>
              <w:rPr>
                <w:rFonts w:ascii="Times New Roman" w:hAnsi="Times New Roman"/>
                <w:b/>
                <w:sz w:val="24"/>
              </w:rPr>
              <w:t xml:space="preserve">Yang </w:t>
            </w:r>
            <w:r>
              <w:rPr>
                <w:rFonts w:ascii="Times New Roman" w:hAnsi="Times New Roman"/>
                <w:b/>
                <w:sz w:val="24"/>
              </w:rPr>
              <w:t>tidak</w:t>
            </w:r>
            <w:r>
              <w:rPr>
                <w:rFonts w:ascii="Times New Roman" w:hAnsi="Times New Roman"/>
                <w:b/>
                <w:sz w:val="24"/>
              </w:rPr>
              <w:t xml:space="preserve"> dijelaskan</w:t>
            </w:r>
          </w:p>
        </w:tc>
      </w:tr>
      <w:tr>
        <w:tc>
          <w:tcPr>
            <w:tcW w:type="dxa" w:w="2646"/>
          </w:tcPr>
          <w:p>
            <w:pPr>
              <w:spacing w:after="40" w:line="240" w:lineRule="auto"/>
            </w:pPr>
            <w:r>
              <w:rPr>
                <w:rFonts w:ascii="Times New Roman" w:hAnsi="Times New Roman"/>
                <w:sz w:val="24"/>
              </w:rPr>
              <w:t>Teori kredibilitas sumber (Hovland, Janis, &amp; Kelley, 1953)</w:t>
            </w:r>
          </w:p>
        </w:tc>
        <w:tc>
          <w:tcPr>
            <w:tcW w:type="dxa" w:w="2646"/>
          </w:tcPr>
          <w:p>
            <w:pPr>
              <w:spacing w:after="40" w:line="240" w:lineRule="auto"/>
            </w:pPr>
            <w:r>
              <w:rPr>
                <w:rFonts w:ascii="Times New Roman" w:hAnsi="Times New Roman"/>
                <w:sz w:val="24"/>
              </w:rPr>
              <w:t>Menjelaskan penilaian awal terhadap influencer sebagai sumber pesan</w:t>
            </w:r>
          </w:p>
        </w:tc>
        <w:tc>
          <w:tcPr>
            <w:tcW w:type="dxa" w:w="2646"/>
          </w:tcPr>
          <w:p>
            <w:pPr>
              <w:spacing w:after="40" w:line="240" w:lineRule="auto"/>
            </w:pPr>
            <w:r>
              <w:rPr>
                <w:rFonts w:ascii="Times New Roman" w:hAnsi="Times New Roman"/>
                <w:sz w:val="24"/>
              </w:rPr>
              <w:t>Tidak memprediksi perpindahan penilaian dari figur ke merek</w:t>
            </w:r>
          </w:p>
        </w:tc>
      </w:tr>
      <w:tr>
        <w:tc>
          <w:tcPr>
            <w:tcW w:type="dxa" w:w="2646"/>
          </w:tcPr>
          <w:p>
            <w:pPr>
              <w:spacing w:after="40" w:line="240" w:lineRule="auto"/>
            </w:pPr>
            <w:r>
              <w:rPr>
                <w:rFonts w:ascii="Times New Roman" w:hAnsi="Times New Roman"/>
                <w:sz w:val="24"/>
              </w:rPr>
              <w:t>Teori hubungan parasosial (Horton &amp; Wohl, 1956; Hartmann &amp; Goldhoorn, 2011; Dibble, Hartmann, &amp; Rosaen, 2016)</w:t>
            </w:r>
          </w:p>
        </w:tc>
        <w:tc>
          <w:tcPr>
            <w:tcW w:type="dxa" w:w="2646"/>
          </w:tcPr>
          <w:p>
            <w:pPr>
              <w:spacing w:after="40" w:line="240" w:lineRule="auto"/>
            </w:pPr>
            <w:r>
              <w:rPr>
                <w:rFonts w:ascii="Times New Roman" w:hAnsi="Times New Roman"/>
                <w:sz w:val="24"/>
              </w:rPr>
              <w:t>Menjelaskan rasa kedekatan yang relatif berkelanjutan terhadap figur</w:t>
            </w:r>
          </w:p>
        </w:tc>
        <w:tc>
          <w:tcPr>
            <w:tcW w:type="dxa" w:w="2646"/>
          </w:tcPr>
          <w:p>
            <w:pPr>
              <w:spacing w:after="40" w:line="240" w:lineRule="auto"/>
            </w:pPr>
            <w:r>
              <w:rPr>
                <w:rFonts w:ascii="Times New Roman" w:hAnsi="Times New Roman"/>
                <w:sz w:val="24"/>
              </w:rPr>
              <w:t>Tidak menjamin penerimaan seluruh klaim influencer</w:t>
            </w:r>
          </w:p>
        </w:tc>
      </w:tr>
      <w:tr>
        <w:tc>
          <w:tcPr>
            <w:tcW w:type="dxa" w:w="2646"/>
          </w:tcPr>
          <w:p>
            <w:pPr>
              <w:spacing w:after="40" w:line="240" w:lineRule="auto"/>
            </w:pPr>
            <w:r>
              <w:rPr>
                <w:rFonts w:ascii="Times New Roman" w:hAnsi="Times New Roman"/>
                <w:sz w:val="24"/>
              </w:rPr>
              <w:t>Transfer makna</w:t>
            </w:r>
          </w:p>
        </w:tc>
        <w:tc>
          <w:tcPr>
            <w:tcW w:type="dxa" w:w="2646"/>
          </w:tcPr>
          <w:p>
            <w:pPr>
              <w:spacing w:after="40" w:line="240" w:lineRule="auto"/>
            </w:pPr>
            <w:r>
              <w:rPr>
                <w:rFonts w:ascii="Times New Roman" w:hAnsi="Times New Roman"/>
                <w:sz w:val="24"/>
              </w:rPr>
              <w:t>Memberi alasan mengapa asosiasi figur dapat menjadi petunjuk ketika merek dinilai</w:t>
            </w:r>
          </w:p>
        </w:tc>
        <w:tc>
          <w:tcPr>
            <w:tcW w:type="dxa" w:w="2646"/>
          </w:tcPr>
          <w:p>
            <w:pPr>
              <w:spacing w:after="40" w:line="240" w:lineRule="auto"/>
            </w:pPr>
            <w:r>
              <w:rPr>
                <w:rFonts w:ascii="Times New Roman" w:hAnsi="Times New Roman"/>
                <w:sz w:val="24"/>
              </w:rPr>
              <w:t>Tidak menentukan arah pasti maupun besarnya keterkaitan</w:t>
            </w:r>
          </w:p>
        </w:tc>
      </w:tr>
      <w:tr>
        <w:tc>
          <w:tcPr>
            <w:tcW w:type="dxa" w:w="2646"/>
          </w:tcPr>
          <w:p>
            <w:pPr>
              <w:spacing w:after="40" w:line="240" w:lineRule="auto"/>
            </w:pPr>
            <w:r>
              <w:rPr>
                <w:rFonts w:ascii="Times New Roman" w:hAnsi="Times New Roman"/>
                <w:sz w:val="24"/>
              </w:rPr>
              <w:t>Kerangka autentisitas merek (Morhart et al., 2015; Napoli et al., 2014)</w:t>
            </w:r>
          </w:p>
        </w:tc>
        <w:tc>
          <w:tcPr>
            <w:tcW w:type="dxa" w:w="2646"/>
          </w:tcPr>
          <w:p>
            <w:pPr>
              <w:spacing w:after="40" w:line="240" w:lineRule="auto"/>
            </w:pPr>
            <w:r>
              <w:rPr>
                <w:rFonts w:ascii="Times New Roman" w:hAnsi="Times New Roman"/>
                <w:sz w:val="24"/>
              </w:rPr>
              <w:t>Menentukan sifat evaluasi merek yang diukur</w:t>
            </w:r>
          </w:p>
        </w:tc>
        <w:tc>
          <w:tcPr>
            <w:tcW w:type="dxa" w:w="2646"/>
          </w:tcPr>
          <w:p>
            <w:pPr>
              <w:spacing w:after="40" w:line="240" w:lineRule="auto"/>
            </w:pPr>
            <w:r>
              <w:rPr>
                <w:rFonts w:ascii="Times New Roman" w:hAnsi="Times New Roman"/>
                <w:sz w:val="24"/>
              </w:rPr>
              <w:t>Tidak menjelaskan penilaian atas figur</w:t>
            </w:r>
          </w:p>
        </w:tc>
      </w:tr>
      <w:tr>
        <w:tc>
          <w:tcPr>
            <w:tcW w:type="dxa" w:w="2646"/>
          </w:tcPr>
          <w:p>
            <w:pPr>
              <w:spacing w:after="40" w:line="240" w:lineRule="auto"/>
            </w:pPr>
            <w:r>
              <w:rPr>
                <w:rFonts w:ascii="Times New Roman" w:hAnsi="Times New Roman"/>
                <w:sz w:val="24"/>
              </w:rPr>
              <w:t>Service-dominant logic (Vargo &amp; Lusch, 2008)</w:t>
            </w:r>
          </w:p>
        </w:tc>
        <w:tc>
          <w:tcPr>
            <w:tcW w:type="dxa" w:w="2646"/>
          </w:tcPr>
          <w:p>
            <w:pPr>
              <w:spacing w:after="40" w:line="240" w:lineRule="auto"/>
            </w:pPr>
            <w:r>
              <w:rPr>
                <w:rFonts w:ascii="Times New Roman" w:hAnsi="Times New Roman"/>
                <w:sz w:val="24"/>
              </w:rPr>
              <w:t>Memberi konteks mengapa kontribusi konsumen melalui advokasi digital bernilai</w:t>
            </w:r>
          </w:p>
        </w:tc>
        <w:tc>
          <w:tcPr>
            <w:tcW w:type="dxa" w:w="2646"/>
          </w:tcPr>
          <w:p>
            <w:pPr>
              <w:spacing w:after="40" w:line="240" w:lineRule="auto"/>
            </w:pPr>
            <w:r>
              <w:rPr>
                <w:rFonts w:ascii="Times New Roman" w:hAnsi="Times New Roman"/>
                <w:sz w:val="24"/>
              </w:rPr>
              <w:t>Tidak memprediksi setiap jalur dalam persamaan model</w:t>
            </w:r>
          </w:p>
        </w:tc>
      </w:tr>
    </w:tbl>
    <w:p/>
    <w:p>
      <w:r>
        <w:rPr>
          <w:rFonts w:ascii="Times New Roman" w:hAnsi="Times New Roman"/>
          <w:sz w:val="24"/>
        </w:rPr>
        <w:t xml:space="preserve">Susunan teori ini bersifat </w:t>
      </w:r>
      <w:r>
        <w:rPr>
          <w:rFonts w:ascii="Times New Roman" w:hAnsi="Times New Roman"/>
          <w:b/>
          <w:sz w:val="24"/>
        </w:rPr>
        <w:t>komplementer, bukan penjumlahan</w:t>
      </w:r>
      <w:r>
        <w:rPr>
          <w:rFonts w:ascii="Times New Roman" w:hAnsi="Times New Roman"/>
          <w:sz w:val="24"/>
        </w:rPr>
        <w:t>. Teori yang menerangkan satu bagian model tidak dipakai untuk menyimpulkan bagian lain. Urutan argumentasi dalam proposal juga tidak diperlakukan sebagai urutan waktu yang telah diamati: H1–H5 adalah proposisi yang didasarkan pada teori dan temuan terdahulu, dan dukungannya ditentukan oleh kualitas pengukuran serta hasil data.</w:t>
      </w:r>
    </w:p>
    <w:p>
      <w:pPr>
        <w:pStyle w:val="Heading2"/>
      </w:pPr>
      <w:r>
        <w:rPr>
          <w:rFonts w:ascii="Times New Roman" w:hAnsi="Times New Roman"/>
          <w:sz w:val="24"/>
        </w:rPr>
        <w:t>Blok 6 — [SISIP] Bab III.A: Kriteria Inklusi dan Eksklusi Responden</w:t>
      </w:r>
    </w:p>
    <w:p>
      <w:r>
        <w:rPr>
          <w:rFonts w:ascii="Times New Roman" w:hAnsi="Times New Roman"/>
          <w:b/>
          <w:sz w:val="24"/>
        </w:rPr>
        <w:t>Kriteria inklusi.</w:t>
      </w:r>
      <w:r>
        <w:rPr>
          <w:rFonts w:ascii="Times New Roman" w:hAnsi="Times New Roman"/>
          <w:sz w:val="24"/>
        </w:rPr>
        <w:t xml:space="preserve"> (1) Berusia 18–27 tahun pada saat pengisian; (2) berdomisili di Sulawesi Utara pada saat pengisian; (3) mengenal dan mengikuti sekurang-kurangnya satu influencer acuan yang mempromosikan merek acuan dalam enam bulan terakhir; (4) memiliki pengetahuan yang memadai tentang merek acuan untuk menilai pernyataan autentisitas; (5) memberikan persetujuan setelah membaca lembar informasi partisipan.</w:t>
      </w:r>
    </w:p>
    <w:p>
      <w:r>
        <w:rPr>
          <w:rFonts w:ascii="Times New Roman" w:hAnsi="Times New Roman"/>
          <w:b/>
          <w:sz w:val="24"/>
        </w:rPr>
        <w:t>Kriteria eksklusi.</w:t>
      </w:r>
      <w:r>
        <w:rPr>
          <w:rFonts w:ascii="Times New Roman" w:hAnsi="Times New Roman"/>
          <w:sz w:val="24"/>
        </w:rPr>
        <w:t xml:space="preserve"> (1) Bekerja atau pernah bekerja pada merek acuan atau agensi yang menanganinya; (2) tidak menyelesaikan pemeriksaan perhatian; (3) mengisi seluruh butir autentisitas merek dengan pilihan "tidak dapat menilai"; (4) waktu pengisian di luar batas wajar yang ditetapkan pada uji coba.</w:t>
      </w:r>
    </w:p>
    <w:p>
      <w:r>
        <w:rPr>
          <w:rFonts w:ascii="Times New Roman" w:hAnsi="Times New Roman"/>
          <w:sz w:val="24"/>
        </w:rPr>
        <w:t>Usia saat pengisian dan waktu survei dicatat agar klasifikasi operasional dapat ditafsirkan konsisten. Penetapan pasangan influencer–merek dilakukan pada tingkat responden untuk menjaga kesesuaian objek penilaian; konsekuensinya, keragaman kategori merek antarpeserta dilaporkan sebagai bagian dari konteks dan keterbatasan.</w:t>
      </w:r>
    </w:p>
    <w:p>
      <w:pPr>
        <w:pStyle w:val="Heading2"/>
      </w:pPr>
      <w:r>
        <w:rPr>
          <w:rFonts w:ascii="Times New Roman" w:hAnsi="Times New Roman"/>
          <w:sz w:val="24"/>
        </w:rPr>
        <w:t>Blok 7 — [GANTI] Bab III.C.2: Adaptasi dan Uji Instrumen</w:t>
      </w:r>
    </w:p>
    <w:p>
      <w:r>
        <w:rPr>
          <w:rFonts w:ascii="Times New Roman" w:hAnsi="Times New Roman"/>
          <w:sz w:val="24"/>
        </w:rPr>
        <w:t>Prosedur pengembangan instrumen dijalankan dalam lima tahap yang berurutan dan terdokumentasi.</w:t>
      </w:r>
    </w:p>
    <w:p>
      <w:r>
        <w:rPr>
          <w:rFonts w:ascii="Times New Roman" w:hAnsi="Times New Roman"/>
          <w:b/>
          <w:sz w:val="24"/>
        </w:rPr>
        <w:t>Tahap 1 — Pemetaan sumber dan adaptasi bahasa.</w:t>
      </w:r>
      <w:r>
        <w:rPr>
          <w:rFonts w:ascii="Times New Roman" w:hAnsi="Times New Roman"/>
          <w:sz w:val="24"/>
        </w:rPr>
        <w:t xml:space="preserve"> Setiap butir dipetakan ke sumber aslinya, lalu diadaptasi ke Bahasa Indonesia dengan memperhatikan kesetaraan makna, bukan kesetaraan kata. Butir yang diterjemahkan dicatat beserta sumbernya dalam berkas pemetaan butir.</w:t>
      </w:r>
    </w:p>
    <w:p>
      <w:r>
        <w:rPr>
          <w:rFonts w:ascii="Times New Roman" w:hAnsi="Times New Roman"/>
          <w:b/>
          <w:sz w:val="24"/>
        </w:rPr>
        <w:t>Tahap 2 — Audit objek penilaian.</w:t>
      </w:r>
      <w:r>
        <w:rPr>
          <w:rFonts w:ascii="Times New Roman" w:hAnsi="Times New Roman"/>
          <w:sz w:val="24"/>
        </w:rPr>
        <w:t xml:space="preserve"> Seluruh 39 butir inti diperiksa dengan aturan penulisan butir pada Bab II. Butir yang objek penilaiannya kabur atau berpotensi menaikkan konstruk tetangga secara definisional ditulis ulang. Hasil audit dilaporkan sebagai tabel: nomor butir, objek penilaian, keputusan (dipertahankan/direvisi/dirumuskan ulang), dan alasan.</w:t>
      </w:r>
    </w:p>
    <w:p>
      <w:r>
        <w:rPr>
          <w:rFonts w:ascii="Times New Roman" w:hAnsi="Times New Roman"/>
          <w:b/>
          <w:sz w:val="24"/>
        </w:rPr>
        <w:t>Tahap 3 — Penilaian panel ahli.</w:t>
      </w:r>
      <w:r>
        <w:rPr>
          <w:rFonts w:ascii="Times New Roman" w:hAnsi="Times New Roman"/>
          <w:sz w:val="24"/>
        </w:rPr>
        <w:t xml:space="preserve"> Panel menilai kesesuaian isi (content validity ratio), kejelasan rumusan, dan kesesuaian objek penilaian. Rekomendasi panel diterapkan sebelum tahap berikutnya.</w:t>
      </w:r>
    </w:p>
    <w:p>
      <w:r>
        <w:rPr>
          <w:rFonts w:ascii="Times New Roman" w:hAnsi="Times New Roman"/>
          <w:b/>
          <w:sz w:val="24"/>
        </w:rPr>
        <w:t>Tahap 4 — Wawancara kognitif.</w:t>
      </w:r>
      <w:r>
        <w:rPr>
          <w:rFonts w:ascii="Times New Roman" w:hAnsi="Times New Roman"/>
          <w:sz w:val="24"/>
        </w:rPr>
        <w:t xml:space="preserve"> Sejumlah kecil responden yang mewakili kriteria inklusi diminta menjelaskan pemahaman mereka atas setiap butir dan alasan pemilihan jawaban. Tujuannya mendeteksi ambiguitas, tumpang-tindih, dan kesulitan pada pilihan "tidak dapat menilai".</w:t>
      </w:r>
    </w:p>
    <w:p>
      <w:r>
        <w:rPr>
          <w:rFonts w:ascii="Times New Roman" w:hAnsi="Times New Roman"/>
          <w:b/>
          <w:sz w:val="24"/>
        </w:rPr>
        <w:t>Tahap 5 — Uji coba (pilot).</w:t>
      </w:r>
      <w:r>
        <w:rPr>
          <w:rFonts w:ascii="Times New Roman" w:hAnsi="Times New Roman"/>
          <w:sz w:val="24"/>
        </w:rPr>
        <w:t xml:space="preserve"> Uji coba mengukur keandalan awal, memeriksa daya beda butir, dan mengestimasi waktu pengisian. Butir yang tidak memenuhi kriteria ditinjau ulang sebelum survei utama. Seluruh perubahan dicatat dan dilaporkan; jumlah butir final dapat berbeda dari 39 bila audit menuntut revisi, dan perbedaan itu dinyatakan secara terbuka, bukan disembunyikan.</w:t>
      </w:r>
    </w:p>
    <w:p>
      <w:pPr>
        <w:pStyle w:val="Heading2"/>
      </w:pPr>
      <w:r>
        <w:rPr>
          <w:rFonts w:ascii="Times New Roman" w:hAnsi="Times New Roman"/>
          <w:sz w:val="24"/>
        </w:rPr>
        <w:t>Blok 8 — [GANTI] Bab III.C.4: Kualitas Data, Bias Metode Bersama, dan Data Hilang</w:t>
      </w:r>
    </w:p>
    <w:p>
      <w:r>
        <w:rPr>
          <w:rFonts w:ascii="Times New Roman" w:hAnsi="Times New Roman"/>
          <w:b/>
          <w:sz w:val="24"/>
        </w:rPr>
        <w:t>Pilihan "tidak dapat menilai".</w:t>
      </w:r>
      <w:r>
        <w:rPr>
          <w:rFonts w:ascii="Times New Roman" w:hAnsi="Times New Roman"/>
          <w:sz w:val="24"/>
        </w:rPr>
        <w:t xml:space="preserve"> Pilihan ini disediakan pada butir yang memerlukan pengetahuan khusus tentang merek acuan dan </w:t>
      </w:r>
      <w:r>
        <w:rPr>
          <w:rFonts w:ascii="Times New Roman" w:hAnsi="Times New Roman"/>
          <w:b/>
          <w:sz w:val="24"/>
        </w:rPr>
        <w:t>diperlakukan sebagai data hilang, bukan sebagai nilai netral</w:t>
      </w:r>
      <w:r>
        <w:rPr>
          <w:rFonts w:ascii="Times New Roman" w:hAnsi="Times New Roman"/>
          <w:sz w:val="24"/>
        </w:rPr>
        <w:t>. Jumlah pemilihannya dilaporkan per butir; responden yang memilih pilihan ini pada seluruh butir AM diperiksa sesuai kriteria eksklusi.</w:t>
      </w:r>
    </w:p>
    <w:p>
      <w:r>
        <w:rPr>
          <w:rFonts w:ascii="Times New Roman" w:hAnsi="Times New Roman"/>
          <w:b/>
          <w:sz w:val="24"/>
        </w:rPr>
        <w:t>Data hilang.</w:t>
      </w:r>
      <w:r>
        <w:rPr>
          <w:rFonts w:ascii="Times New Roman" w:hAnsi="Times New Roman"/>
          <w:sz w:val="24"/>
        </w:rPr>
        <w:t xml:space="preserve"> Pola data hilang diperiksa (MCAR/MAR/MNAR sejauh dapat diuji) sebelum penanganan. Pendekatan penanganan ditetapkan sebelum analisis dan dilaporkan: penghapusan berpasangan untuk statistik deskriptif, serta prosedur imputasi atau estimasi berbasis model bila proporsi hilang melampaui ambang yang ditetapkan. Keputusan akhir tidak diambil berdasarkan hasil hipotesis.</w:t>
      </w:r>
    </w:p>
    <w:p>
      <w:r>
        <w:rPr>
          <w:rFonts w:ascii="Times New Roman" w:hAnsi="Times New Roman"/>
          <w:b/>
          <w:sz w:val="24"/>
        </w:rPr>
        <w:t>Bias metode bersama.</w:t>
      </w:r>
      <w:r>
        <w:rPr>
          <w:rFonts w:ascii="Times New Roman" w:hAnsi="Times New Roman"/>
          <w:sz w:val="24"/>
        </w:rPr>
        <w:t xml:space="preserve"> Prosedur pencegahan dijalankan pada tahap desain: pemisahan urutan butir antarkonstruk, variasi skala/arah, penegasan kerahasiaan, dan penyertaan empat butir global sebagai pemeriksaan redundansi. Pada tahap analisis, hasil diperiksa dengan uji marker atau pemeriksaan penuh bila tersedia. Bila indikasi bias muncul, hasil dilaporkan dengan analisis sensitivitas, bukan disesuaikan secara diam-diam.</w:t>
      </w:r>
    </w:p>
    <w:p>
      <w:r>
        <w:rPr>
          <w:rFonts w:ascii="Times New Roman" w:hAnsi="Times New Roman"/>
          <w:b/>
          <w:sz w:val="24"/>
        </w:rPr>
        <w:t>Pemeriksaan perhatian.</w:t>
      </w:r>
      <w:r>
        <w:rPr>
          <w:rFonts w:ascii="Times New Roman" w:hAnsi="Times New Roman"/>
          <w:sz w:val="24"/>
        </w:rPr>
        <w:t xml:space="preserve"> Butir pemeriksaan perhatian dan kriteria waktu pengisian ditetapkan sebelum pengumpulan data; responden yang gagal dikeluarkan, dan jumlah pengeluaran dilaporkan.</w:t>
      </w:r>
    </w:p>
    <w:p>
      <w:pPr>
        <w:pStyle w:val="Heading2"/>
      </w:pPr>
      <w:r>
        <w:rPr>
          <w:rFonts w:ascii="Times New Roman" w:hAnsi="Times New Roman"/>
          <w:sz w:val="24"/>
        </w:rPr>
        <w:t>Blok 9 — [SISIP] Bab III.D: Protokol Pra-Analisis Validitas Diskriminan</w:t>
      </w:r>
    </w:p>
    <w:p>
      <w:r>
        <w:rPr>
          <w:rFonts w:ascii="Times New Roman" w:hAnsi="Times New Roman"/>
          <w:sz w:val="24"/>
        </w:rPr>
        <w:t>Validitas diskriminan tidak dilaporkan sebagai rencana, melainkan sebagai prosedur dengan ambang dan konsekuensi yang ditetapkan sebelum data utama dianalisis.</w:t>
      </w:r>
    </w:p>
    <w:p>
      <w:r>
        <w:rPr>
          <w:rFonts w:ascii="Times New Roman" w:hAnsi="Times New Roman"/>
          <w:b/>
          <w:sz w:val="24"/>
        </w:rPr>
        <w:t>Yang diuji dan dilaporkan.</w:t>
      </w:r>
      <w:r>
        <w:rPr>
          <w:rFonts w:ascii="Times New Roman" w:hAnsi="Times New Roman"/>
          <w:sz w:val="24"/>
        </w:rPr>
        <w:t xml:space="preserve"> (1) HTMT untuk seluruh pasangan konstruk, </w:t>
      </w:r>
      <w:r>
        <w:rPr>
          <w:rFonts w:ascii="Times New Roman" w:hAnsi="Times New Roman"/>
          <w:b/>
          <w:sz w:val="24"/>
        </w:rPr>
        <w:t>beserta interval kepercayaan bootstrap</w:t>
      </w:r>
      <w:r>
        <w:rPr>
          <w:rFonts w:ascii="Times New Roman" w:hAnsi="Times New Roman"/>
          <w:sz w:val="24"/>
        </w:rPr>
        <w:t>, dengan perhatian khusus pada pasangan HP–AM dan KI–HP; (2) matriks Fornell–Larcker; (3) cross-loading butir; (4) pemanfaatan empat butir global sebagai pemeriksaan redundansi; (5) kolinearitas dan kontribusi dimensi pembentuk konstruk formatif.</w:t>
      </w:r>
    </w:p>
    <w:p>
      <w:r>
        <w:rPr>
          <w:rFonts w:ascii="Times New Roman" w:hAnsi="Times New Roman"/>
          <w:b/>
          <w:sz w:val="24"/>
        </w:rPr>
        <w:t>Aturan keputusan.</w:t>
      </w:r>
    </w:p>
    <w:tbl>
      <w:tblPr>
        <w:tblStyle w:val="TableGrid"/>
        <w:tblW w:type="auto" w:w="0"/>
        <w:tblLayout w:type="autofit"/>
        <w:tblLook w:firstColumn="1" w:firstRow="1" w:lastColumn="0" w:lastRow="0" w:noHBand="0" w:noVBand="1" w:val="04A0"/>
      </w:tblPr>
      <w:tblGrid>
        <w:gridCol w:w="3968"/>
        <w:gridCol w:w="3968"/>
      </w:tblGrid>
      <w:tr>
        <w:tc>
          <w:tcPr>
            <w:tcW w:type="dxa" w:w="3968"/>
          </w:tcPr>
          <w:p>
            <w:pPr>
              <w:spacing w:after="40" w:line="240" w:lineRule="auto"/>
            </w:pPr>
            <w:r>
              <w:rPr>
                <w:rFonts w:ascii="Times New Roman" w:hAnsi="Times New Roman"/>
                <w:b/>
                <w:sz w:val="24"/>
              </w:rPr>
              <w:t>Kondisi HTMT (pasangan berdekatan)</w:t>
            </w:r>
          </w:p>
        </w:tc>
        <w:tc>
          <w:tcPr>
            <w:tcW w:type="dxa" w:w="3968"/>
          </w:tcPr>
          <w:p>
            <w:pPr>
              <w:spacing w:after="40" w:line="240" w:lineRule="auto"/>
            </w:pPr>
            <w:r>
              <w:rPr>
                <w:rFonts w:ascii="Times New Roman" w:hAnsi="Times New Roman"/>
                <w:b/>
                <w:sz w:val="24"/>
              </w:rPr>
              <w:t>Tindakan</w:t>
            </w:r>
          </w:p>
        </w:tc>
      </w:tr>
      <w:tr>
        <w:tc>
          <w:tcPr>
            <w:tcW w:type="dxa" w:w="3968"/>
          </w:tcPr>
          <w:p>
            <w:pPr>
              <w:spacing w:after="40" w:line="240" w:lineRule="auto"/>
            </w:pPr>
            <w:r>
              <w:rPr>
                <w:rFonts w:ascii="Times New Roman" w:hAnsi="Times New Roman"/>
                <w:sz w:val="24"/>
              </w:rPr>
              <w:t>&lt; 0,85</w:t>
            </w:r>
          </w:p>
        </w:tc>
        <w:tc>
          <w:tcPr>
            <w:tcW w:type="dxa" w:w="3968"/>
          </w:tcPr>
          <w:p>
            <w:pPr>
              <w:spacing w:after="40" w:line="240" w:lineRule="auto"/>
            </w:pPr>
            <w:r>
              <w:rPr>
                <w:rFonts w:ascii="Times New Roman" w:hAnsi="Times New Roman"/>
                <w:sz w:val="24"/>
              </w:rPr>
              <w:t>Lanjutkan; laporkan nilai dan CI apa adanya</w:t>
            </w:r>
          </w:p>
        </w:tc>
      </w:tr>
      <w:tr>
        <w:tc>
          <w:tcPr>
            <w:tcW w:type="dxa" w:w="3968"/>
          </w:tcPr>
          <w:p>
            <w:pPr>
              <w:spacing w:after="40" w:line="240" w:lineRule="auto"/>
            </w:pPr>
            <w:r>
              <w:rPr>
                <w:rFonts w:ascii="Times New Roman" w:hAnsi="Times New Roman"/>
                <w:sz w:val="24"/>
              </w:rPr>
              <w:t>0,85–0,90</w:t>
            </w:r>
          </w:p>
        </w:tc>
        <w:tc>
          <w:tcPr>
            <w:tcW w:type="dxa" w:w="3968"/>
          </w:tcPr>
          <w:p>
            <w:pPr>
              <w:spacing w:after="40" w:line="240" w:lineRule="auto"/>
            </w:pPr>
            <w:r>
              <w:rPr>
                <w:rFonts w:ascii="Times New Roman" w:hAnsi="Times New Roman"/>
                <w:sz w:val="24"/>
              </w:rPr>
              <w:t>Telusuri butir penyebab tumpang-tindih, laporkan sebagai keterbatasan, jalankan uji sensitivitas tanpa butir bermasalah</w:t>
            </w:r>
          </w:p>
        </w:tc>
      </w:tr>
      <w:tr>
        <w:tc>
          <w:tcPr>
            <w:tcW w:type="dxa" w:w="3968"/>
          </w:tcPr>
          <w:p>
            <w:pPr>
              <w:spacing w:after="40" w:line="240" w:lineRule="auto"/>
            </w:pPr>
            <w:r>
              <w:rPr>
                <w:rFonts w:ascii="Times New Roman" w:hAnsi="Times New Roman"/>
                <w:sz w:val="24"/>
              </w:rPr>
              <w:t>&gt; 0,90</w:t>
            </w:r>
          </w:p>
        </w:tc>
        <w:tc>
          <w:tcPr>
            <w:tcW w:type="dxa" w:w="3968"/>
          </w:tcPr>
          <w:p>
            <w:pPr>
              <w:spacing w:after="40" w:line="240" w:lineRule="auto"/>
            </w:pPr>
            <w:r>
              <w:rPr>
                <w:rFonts w:ascii="Times New Roman" w:hAnsi="Times New Roman"/>
                <w:sz w:val="24"/>
              </w:rPr>
              <w:t xml:space="preserve">Revisi butir dan uji coba ulang pada gelombang pengumpulan terpisah; </w:t>
            </w:r>
            <w:r>
              <w:rPr>
                <w:rFonts w:ascii="Times New Roman" w:hAnsi="Times New Roman"/>
                <w:b/>
                <w:sz w:val="24"/>
              </w:rPr>
              <w:t>tidak</w:t>
            </w:r>
            <w:r>
              <w:rPr>
                <w:rFonts w:ascii="Times New Roman" w:hAnsi="Times New Roman"/>
                <w:sz w:val="24"/>
              </w:rPr>
              <w:t xml:space="preserve"> mengganti label konstruk atau menyatukan konstruk setelah melihat hasil</w:t>
            </w:r>
          </w:p>
        </w:tc>
      </w:tr>
    </w:tbl>
    <w:p/>
    <w:p>
      <w:r>
        <w:rPr>
          <w:rFonts w:ascii="Times New Roman" w:hAnsi="Times New Roman"/>
          <w:sz w:val="24"/>
        </w:rPr>
        <w:t>Pelaporan menyertakan tabel lengkap, bukan pernyataan "telah memenuhi syarat". Bila validitas diskriminan tidak tercapai, temuan dilaporkan dengan batas yang jelas dan implikasinya dinyatakan pada tafsir hipotesis.</w:t>
      </w:r>
    </w:p>
    <w:p>
      <w:pPr>
        <w:pStyle w:val="Heading2"/>
      </w:pPr>
      <w:r>
        <w:rPr>
          <w:rFonts w:ascii="Times New Roman" w:hAnsi="Times New Roman"/>
          <w:sz w:val="24"/>
        </w:rPr>
        <w:t>Blok 10 — [GANTI] Bab III.D.8: Asumsi, Keterbatasan, dan Rencana Mitigasi</w:t>
      </w:r>
    </w:p>
    <w:p>
      <w:r>
        <w:rPr>
          <w:rFonts w:ascii="Times New Roman" w:hAnsi="Times New Roman"/>
          <w:sz w:val="24"/>
        </w:rPr>
        <w:t>Penelitian ini bertumpu pada asumsi bahwa responden memahami pertanyaan sebagaimana dimaksudkan instrumen dan melaporkan kesediaan dukungan secara jujur. Kedua asumsi diuji secara tidak langsung melalui wawancara kognitif, pemeriksaan perhatian, dan pemeriksaan redundansi.</w:t>
      </w:r>
    </w:p>
    <w:p>
      <w:r>
        <w:rPr>
          <w:rFonts w:ascii="Times New Roman" w:hAnsi="Times New Roman"/>
          <w:sz w:val="24"/>
        </w:rPr>
        <w:t xml:space="preserve">Keterbatasan utama dan mitigasinya: (1) </w:t>
      </w:r>
      <w:r>
        <w:rPr>
          <w:rFonts w:ascii="Times New Roman" w:hAnsi="Times New Roman"/>
          <w:b/>
          <w:sz w:val="24"/>
        </w:rPr>
        <w:t>desain potong lintang satu gelombang</w:t>
      </w:r>
      <w:r>
        <w:rPr>
          <w:rFonts w:ascii="Times New Roman" w:hAnsi="Times New Roman"/>
          <w:sz w:val="24"/>
        </w:rPr>
        <w:t xml:space="preserve"> tidak memenuhi syarat penarikan kesimpulan kausal — seluruh tafsir dibatasi pada pola hubungan yang konsisten dengan proposisi teoretis, dan istilah kausal tidak digunakan sebagai klaim; (2) </w:t>
      </w:r>
      <w:r>
        <w:rPr>
          <w:rFonts w:ascii="Times New Roman" w:hAnsi="Times New Roman"/>
          <w:b/>
          <w:sz w:val="24"/>
        </w:rPr>
        <w:t>penarikan sampel purposif</w:t>
      </w:r>
      <w:r>
        <w:rPr>
          <w:rFonts w:ascii="Times New Roman" w:hAnsi="Times New Roman"/>
          <w:sz w:val="24"/>
        </w:rPr>
        <w:t xml:space="preserve"> pada Generasi Z 18–27 tahun di Sulawesi Utara membatasi generalisasi — kriteria inklusi dinyatakan tegas dan komposisi sampel dilaporkan; (3) </w:t>
      </w:r>
      <w:r>
        <w:rPr>
          <w:rFonts w:ascii="Times New Roman" w:hAnsi="Times New Roman"/>
          <w:b/>
          <w:sz w:val="24"/>
        </w:rPr>
        <w:t>data laporan diri</w:t>
      </w:r>
      <w:r>
        <w:rPr>
          <w:rFonts w:ascii="Times New Roman" w:hAnsi="Times New Roman"/>
          <w:sz w:val="24"/>
        </w:rPr>
        <w:t xml:space="preserve"> berpotensi memuat bias jawaban sosial — kerahasiaan ditegaskan dan variasi arah respons diterapkan; (4) </w:t>
      </w:r>
      <w:r>
        <w:rPr>
          <w:rFonts w:ascii="Times New Roman" w:hAnsi="Times New Roman"/>
          <w:b/>
          <w:sz w:val="24"/>
        </w:rPr>
        <w:t>keterukuran advokasi sebagai kesediaan, bukan perilaku</w:t>
      </w:r>
      <w:r>
        <w:rPr>
          <w:rFonts w:ascii="Times New Roman" w:hAnsi="Times New Roman"/>
          <w:sz w:val="24"/>
        </w:rPr>
        <w:t xml:space="preserve"> — luaran penelitian dibatasi pada kesediaan yang dilaporkan dan tidak diklaim sebagai advokasi yang benar-benar dilakukan; (5) </w:t>
      </w:r>
      <w:r>
        <w:rPr>
          <w:rFonts w:ascii="Times New Roman" w:hAnsi="Times New Roman"/>
          <w:b/>
          <w:sz w:val="24"/>
        </w:rPr>
        <w:t>validitas diskriminan pasangan konstruk berdekatan</w:t>
      </w:r>
      <w:r>
        <w:rPr>
          <w:rFonts w:ascii="Times New Roman" w:hAnsi="Times New Roman"/>
          <w:sz w:val="24"/>
        </w:rPr>
        <w:t xml:space="preserve"> — diuji dan dilaporkan dengan ambang serta tindakan yang ditetapkan sebelum analisis.</w:t>
      </w:r>
    </w:p>
    <w:p>
      <w:pPr>
        <w:pStyle w:val="Heading2"/>
      </w:pPr>
      <w:r>
        <w:rPr>
          <w:rFonts w:ascii="Times New Roman" w:hAnsi="Times New Roman"/>
          <w:sz w:val="24"/>
        </w:rPr>
        <w:t>Blok 11 — [GANTI] Lampiran 1.A: Struktur Instrumen dan Opsi Respons</w:t>
      </w:r>
    </w:p>
    <w:p>
      <w:r>
        <w:rPr>
          <w:rFonts w:ascii="Times New Roman" w:hAnsi="Times New Roman"/>
          <w:sz w:val="24"/>
        </w:rPr>
        <w:t xml:space="preserve">Seluruh butir inti menggunakan skala persetujuan lima kategori: 1 = sangat tidak setuju, 2 = tidak setuju, 3 = netral, 4 = setuju, dan 5 = sangat setuju. Pilihan </w:t>
      </w:r>
      <w:r>
        <w:rPr>
          <w:rFonts w:ascii="Times New Roman" w:hAnsi="Times New Roman"/>
          <w:b/>
          <w:sz w:val="24"/>
        </w:rPr>
        <w:t>"tidak dapat menilai"</w:t>
      </w:r>
      <w:r>
        <w:rPr>
          <w:rFonts w:ascii="Times New Roman" w:hAnsi="Times New Roman"/>
          <w:sz w:val="24"/>
        </w:rPr>
        <w:t xml:space="preserve"> disediakan pada butir yang memerlukan pengetahuan khusus tentang merek acuan dan diperlakukan sebagai data hilang, bukan nilai netral.</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Bagian instrumen</w:t>
            </w:r>
          </w:p>
        </w:tc>
        <w:tc>
          <w:tcPr>
            <w:tcW w:type="dxa" w:w="1984"/>
          </w:tcPr>
          <w:p>
            <w:pPr>
              <w:spacing w:after="40" w:line="240" w:lineRule="auto"/>
            </w:pPr>
            <w:r>
              <w:rPr>
                <w:rFonts w:ascii="Times New Roman" w:hAnsi="Times New Roman"/>
                <w:b/>
                <w:sz w:val="24"/>
              </w:rPr>
              <w:t>Konstruk/dimensi</w:t>
            </w:r>
          </w:p>
        </w:tc>
        <w:tc>
          <w:tcPr>
            <w:tcW w:type="dxa" w:w="1984"/>
          </w:tcPr>
          <w:p>
            <w:pPr>
              <w:spacing w:after="40" w:line="240" w:lineRule="auto"/>
            </w:pPr>
            <w:r>
              <w:rPr>
                <w:rFonts w:ascii="Times New Roman" w:hAnsi="Times New Roman"/>
                <w:b/>
                <w:sz w:val="24"/>
              </w:rPr>
              <w:t>Jumlah butir</w:t>
            </w:r>
          </w:p>
        </w:tc>
        <w:tc>
          <w:tcPr>
            <w:tcW w:type="dxa" w:w="1984"/>
          </w:tcPr>
          <w:p>
            <w:pPr>
              <w:spacing w:after="40" w:line="240" w:lineRule="auto"/>
            </w:pPr>
            <w:r>
              <w:rPr>
                <w:rFonts w:ascii="Times New Roman" w:hAnsi="Times New Roman"/>
                <w:b/>
                <w:sz w:val="24"/>
              </w:rPr>
              <w:t>Objek penilaian</w:t>
            </w:r>
          </w:p>
        </w:tc>
      </w:tr>
      <w:tr>
        <w:tc>
          <w:tcPr>
            <w:tcW w:type="dxa" w:w="1984"/>
          </w:tcPr>
          <w:p>
            <w:pPr>
              <w:spacing w:after="40" w:line="240" w:lineRule="auto"/>
            </w:pPr>
            <w:r>
              <w:rPr>
                <w:rFonts w:ascii="Times New Roman" w:hAnsi="Times New Roman"/>
                <w:sz w:val="24"/>
              </w:rPr>
              <w:t>C</w:t>
            </w:r>
          </w:p>
        </w:tc>
        <w:tc>
          <w:tcPr>
            <w:tcW w:type="dxa" w:w="1984"/>
          </w:tcPr>
          <w:p>
            <w:pPr>
              <w:spacing w:after="40" w:line="240" w:lineRule="auto"/>
            </w:pPr>
            <w:r>
              <w:rPr>
                <w:rFonts w:ascii="Times New Roman" w:hAnsi="Times New Roman"/>
                <w:sz w:val="24"/>
              </w:rPr>
              <w:t>Kredibilitas influencer acuan (KI): keahlian; keterpercayaan; daya tarik</w:t>
            </w:r>
          </w:p>
        </w:tc>
        <w:tc>
          <w:tcPr>
            <w:tcW w:type="dxa" w:w="1984"/>
          </w:tcPr>
          <w:p>
            <w:pPr>
              <w:spacing w:after="40" w:line="240" w:lineRule="auto"/>
            </w:pPr>
            <w:r>
              <w:rPr>
                <w:rFonts w:ascii="Times New Roman" w:hAnsi="Times New Roman"/>
                <w:sz w:val="24"/>
              </w:rPr>
              <w:t>9</w:t>
            </w:r>
          </w:p>
        </w:tc>
        <w:tc>
          <w:tcPr>
            <w:tcW w:type="dxa" w:w="1984"/>
          </w:tcPr>
          <w:p>
            <w:pPr>
              <w:spacing w:after="40" w:line="240" w:lineRule="auto"/>
            </w:pPr>
            <w:r>
              <w:rPr>
                <w:rFonts w:ascii="Times New Roman" w:hAnsi="Times New Roman"/>
                <w:sz w:val="24"/>
              </w:rPr>
              <w:t>Influencer acuan</w:t>
            </w:r>
          </w:p>
        </w:tc>
      </w:tr>
      <w:tr>
        <w:tc>
          <w:tcPr>
            <w:tcW w:type="dxa" w:w="1984"/>
          </w:tcPr>
          <w:p>
            <w:pPr>
              <w:spacing w:after="40" w:line="240" w:lineRule="auto"/>
            </w:pPr>
            <w:r>
              <w:rPr>
                <w:rFonts w:ascii="Times New Roman" w:hAnsi="Times New Roman"/>
                <w:sz w:val="24"/>
              </w:rPr>
              <w:t>D</w:t>
            </w:r>
          </w:p>
        </w:tc>
        <w:tc>
          <w:tcPr>
            <w:tcW w:type="dxa" w:w="1984"/>
          </w:tcPr>
          <w:p>
            <w:pPr>
              <w:spacing w:after="40" w:line="240" w:lineRule="auto"/>
            </w:pPr>
            <w:r>
              <w:rPr>
                <w:rFonts w:ascii="Times New Roman" w:hAnsi="Times New Roman"/>
                <w:sz w:val="24"/>
              </w:rPr>
              <w:t>Hubungan parasosial (HP): persepsi pertemanan; keterikatan emosional; pemahaman terhadap figur</w:t>
            </w:r>
          </w:p>
        </w:tc>
        <w:tc>
          <w:tcPr>
            <w:tcW w:type="dxa" w:w="1984"/>
          </w:tcPr>
          <w:p>
            <w:pPr>
              <w:spacing w:after="40" w:line="240" w:lineRule="auto"/>
            </w:pPr>
            <w:r>
              <w:rPr>
                <w:rFonts w:ascii="Times New Roman" w:hAnsi="Times New Roman"/>
                <w:sz w:val="24"/>
              </w:rPr>
              <w:t>9</w:t>
            </w:r>
          </w:p>
        </w:tc>
        <w:tc>
          <w:tcPr>
            <w:tcW w:type="dxa" w:w="1984"/>
          </w:tcPr>
          <w:p>
            <w:pPr>
              <w:spacing w:after="40" w:line="240" w:lineRule="auto"/>
            </w:pPr>
            <w:r>
              <w:rPr>
                <w:rFonts w:ascii="Times New Roman" w:hAnsi="Times New Roman"/>
                <w:sz w:val="24"/>
              </w:rPr>
              <w:t>Hubungan responden–influencer</w:t>
            </w:r>
          </w:p>
        </w:tc>
      </w:tr>
      <w:tr>
        <w:tc>
          <w:tcPr>
            <w:tcW w:type="dxa" w:w="1984"/>
          </w:tcPr>
          <w:p>
            <w:pPr>
              <w:spacing w:after="40" w:line="240" w:lineRule="auto"/>
            </w:pPr>
            <w:r>
              <w:rPr>
                <w:rFonts w:ascii="Times New Roman" w:hAnsi="Times New Roman"/>
                <w:sz w:val="24"/>
              </w:rPr>
              <w:t>E</w:t>
            </w:r>
          </w:p>
        </w:tc>
        <w:tc>
          <w:tcPr>
            <w:tcW w:type="dxa" w:w="1984"/>
          </w:tcPr>
          <w:p>
            <w:pPr>
              <w:spacing w:after="40" w:line="240" w:lineRule="auto"/>
            </w:pPr>
            <w:r>
              <w:rPr>
                <w:rFonts w:ascii="Times New Roman" w:hAnsi="Times New Roman"/>
                <w:sz w:val="24"/>
              </w:rPr>
              <w:t>Autentisitas merek acuan (AM): kontinuitas; kredibilitas merek; integritas; simbolisme</w:t>
            </w:r>
          </w:p>
        </w:tc>
        <w:tc>
          <w:tcPr>
            <w:tcW w:type="dxa" w:w="1984"/>
          </w:tcPr>
          <w:p>
            <w:pPr>
              <w:spacing w:after="40" w:line="240" w:lineRule="auto"/>
            </w:pPr>
            <w:r>
              <w:rPr>
                <w:rFonts w:ascii="Times New Roman" w:hAnsi="Times New Roman"/>
                <w:sz w:val="24"/>
              </w:rPr>
              <w:t>12</w:t>
            </w:r>
          </w:p>
        </w:tc>
        <w:tc>
          <w:tcPr>
            <w:tcW w:type="dxa" w:w="1984"/>
          </w:tcPr>
          <w:p>
            <w:pPr>
              <w:spacing w:after="40" w:line="240" w:lineRule="auto"/>
            </w:pPr>
            <w:r>
              <w:rPr>
                <w:rFonts w:ascii="Times New Roman" w:hAnsi="Times New Roman"/>
                <w:sz w:val="24"/>
              </w:rPr>
              <w:t>Merek acuan</w:t>
            </w:r>
          </w:p>
        </w:tc>
      </w:tr>
      <w:tr>
        <w:tc>
          <w:tcPr>
            <w:tcW w:type="dxa" w:w="1984"/>
          </w:tcPr>
          <w:p>
            <w:pPr>
              <w:spacing w:after="40" w:line="240" w:lineRule="auto"/>
            </w:pPr>
            <w:r>
              <w:rPr>
                <w:rFonts w:ascii="Times New Roman" w:hAnsi="Times New Roman"/>
                <w:sz w:val="24"/>
              </w:rPr>
              <w:t>F</w:t>
            </w:r>
          </w:p>
        </w:tc>
        <w:tc>
          <w:tcPr>
            <w:tcW w:type="dxa" w:w="1984"/>
          </w:tcPr>
          <w:p>
            <w:pPr>
              <w:spacing w:after="40" w:line="240" w:lineRule="auto"/>
            </w:pPr>
            <w:r>
              <w:rPr>
                <w:rFonts w:ascii="Times New Roman" w:hAnsi="Times New Roman"/>
                <w:sz w:val="24"/>
              </w:rPr>
              <w:t>Kesediaan advokasi merek digital (AMD): rekomendasi; berbagi konten; pembelaan</w:t>
            </w:r>
          </w:p>
        </w:tc>
        <w:tc>
          <w:tcPr>
            <w:tcW w:type="dxa" w:w="1984"/>
          </w:tcPr>
          <w:p>
            <w:pPr>
              <w:spacing w:after="40" w:line="240" w:lineRule="auto"/>
            </w:pPr>
            <w:r>
              <w:rPr>
                <w:rFonts w:ascii="Times New Roman" w:hAnsi="Times New Roman"/>
                <w:sz w:val="24"/>
              </w:rPr>
              <w:t>9</w:t>
            </w:r>
          </w:p>
        </w:tc>
        <w:tc>
          <w:tcPr>
            <w:tcW w:type="dxa" w:w="1984"/>
          </w:tcPr>
          <w:p>
            <w:pPr>
              <w:spacing w:after="40" w:line="240" w:lineRule="auto"/>
            </w:pPr>
            <w:r>
              <w:rPr>
                <w:rFonts w:ascii="Times New Roman" w:hAnsi="Times New Roman"/>
                <w:sz w:val="24"/>
              </w:rPr>
              <w:t>Diri responden</w:t>
            </w:r>
          </w:p>
        </w:tc>
      </w:tr>
      <w:tr>
        <w:tc>
          <w:tcPr>
            <w:tcW w:type="dxa" w:w="1984"/>
          </w:tcPr>
          <w:p>
            <w:pPr>
              <w:spacing w:after="40" w:line="240" w:lineRule="auto"/>
            </w:pPr>
            <w:r>
              <w:rPr>
                <w:rFonts w:ascii="Times New Roman" w:hAnsi="Times New Roman"/>
                <w:b/>
                <w:sz w:val="24"/>
              </w:rPr>
              <w:t>Total butir inti</w:t>
            </w:r>
          </w:p>
        </w:tc>
        <w:tc>
          <w:tcPr>
            <w:tcW w:type="dxa" w:w="1984"/>
          </w:tcPr>
          <w:p>
            <w:pPr>
              <w:spacing w:after="40" w:line="240" w:lineRule="auto"/>
            </w:pPr>
          </w:p>
        </w:tc>
        <w:tc>
          <w:tcPr>
            <w:tcW w:type="dxa" w:w="1984"/>
          </w:tcPr>
          <w:p>
            <w:pPr>
              <w:spacing w:after="40" w:line="240" w:lineRule="auto"/>
            </w:pPr>
            <w:r>
              <w:rPr>
                <w:rFonts w:ascii="Times New Roman" w:hAnsi="Times New Roman"/>
                <w:b/>
                <w:sz w:val="24"/>
              </w:rPr>
              <w:t>39</w:t>
            </w:r>
          </w:p>
        </w:tc>
        <w:tc>
          <w:tcPr>
            <w:tcW w:type="dxa" w:w="1984"/>
          </w:tcPr>
          <w:p>
            <w:pPr>
              <w:spacing w:after="40" w:line="240" w:lineRule="auto"/>
            </w:pPr>
          </w:p>
        </w:tc>
      </w:tr>
      <w:tr>
        <w:tc>
          <w:tcPr>
            <w:tcW w:type="dxa" w:w="1984"/>
          </w:tcPr>
          <w:p>
            <w:pPr>
              <w:spacing w:after="40" w:line="240" w:lineRule="auto"/>
            </w:pPr>
            <w:r>
              <w:rPr>
                <w:rFonts w:ascii="Times New Roman" w:hAnsi="Times New Roman"/>
                <w:sz w:val="24"/>
              </w:rPr>
              <w:t>Pemeriksaan redundansi</w:t>
            </w:r>
          </w:p>
        </w:tc>
        <w:tc>
          <w:tcPr>
            <w:tcW w:type="dxa" w:w="1984"/>
          </w:tcPr>
          <w:p>
            <w:pPr>
              <w:spacing w:after="40" w:line="240" w:lineRule="auto"/>
            </w:pPr>
            <w:r>
              <w:rPr>
                <w:rFonts w:ascii="Times New Roman" w:hAnsi="Times New Roman"/>
                <w:sz w:val="24"/>
              </w:rPr>
              <w:t>Empat butir global lintas konstuksi utama</w:t>
            </w:r>
          </w:p>
        </w:tc>
        <w:tc>
          <w:tcPr>
            <w:tcW w:type="dxa" w:w="1984"/>
          </w:tcPr>
          <w:p>
            <w:pPr>
              <w:spacing w:after="40" w:line="240" w:lineRule="auto"/>
            </w:pPr>
            <w:r>
              <w:rPr>
                <w:rFonts w:ascii="Times New Roman" w:hAnsi="Times New Roman"/>
                <w:sz w:val="24"/>
              </w:rPr>
              <w:t>4</w:t>
            </w:r>
          </w:p>
        </w:tc>
        <w:tc>
          <w:tcPr>
            <w:tcW w:type="dxa" w:w="1984"/>
          </w:tcPr>
          <w:p>
            <w:pPr>
              <w:spacing w:after="40" w:line="240" w:lineRule="auto"/>
            </w:pPr>
            <w:r>
              <w:rPr>
                <w:rFonts w:ascii="Times New Roman" w:hAnsi="Times New Roman"/>
                <w:sz w:val="24"/>
              </w:rPr>
              <w:t>Lintas objek</w:t>
            </w:r>
          </w:p>
        </w:tc>
      </w:tr>
    </w:tbl>
    <w:p/>
    <w:p>
      <w:r>
        <w:rPr>
          <w:rFonts w:ascii="Times New Roman" w:hAnsi="Times New Roman"/>
          <w:sz w:val="24"/>
        </w:rPr>
        <w:t xml:space="preserve">Urutan penyajian butir diatur agar konstruk satu objek penilaian tidak berurutan langsung dengan konstruk objek penilaian yang sama, guna mengurangi efek konsistensi respons. Instruksi kepada responden menegaskan bahwa penilaian dilakukan terhadap </w:t>
      </w:r>
      <w:r>
        <w:rPr>
          <w:rFonts w:ascii="Times New Roman" w:hAnsi="Times New Roman"/>
          <w:b/>
          <w:sz w:val="24"/>
        </w:rPr>
        <w:t>satu pasangan influencer–merek yang sama</w:t>
      </w:r>
      <w:r>
        <w:rPr>
          <w:rFonts w:ascii="Times New Roman" w:hAnsi="Times New Roman"/>
          <w:sz w:val="24"/>
        </w:rPr>
        <w:t xml:space="preserve"> sepanjang kuesioner. Lembar informasi, pernyataan persetujuan, pertanyaan penyaringan, data demografis, dan pemeriksaan perhatian ditempatkan sesuai struktur pada berkas versi 14 Oktober 2026.</w:t>
      </w:r>
    </w:p>
    <w:p>
      <w:pPr>
        <w:pStyle w:val="Heading2"/>
      </w:pPr>
      <w:r>
        <w:rPr>
          <w:rFonts w:ascii="Times New Roman" w:hAnsi="Times New Roman"/>
          <w:sz w:val="24"/>
        </w:rPr>
        <w:t>Blok 12 — [SISIP] Lampiran 2: Aturan Keputusan Analisis (ringkas untuk penguji)</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Tahap</w:t>
            </w:r>
          </w:p>
        </w:tc>
        <w:tc>
          <w:tcPr>
            <w:tcW w:type="dxa" w:w="1984"/>
          </w:tcPr>
          <w:p>
            <w:pPr>
              <w:spacing w:after="40" w:line="240" w:lineRule="auto"/>
            </w:pPr>
            <w:r>
              <w:rPr>
                <w:rFonts w:ascii="Times New Roman" w:hAnsi="Times New Roman"/>
                <w:b/>
                <w:sz w:val="24"/>
              </w:rPr>
              <w:t>Pemeriksaan</w:t>
            </w:r>
          </w:p>
        </w:tc>
        <w:tc>
          <w:tcPr>
            <w:tcW w:type="dxa" w:w="1984"/>
          </w:tcPr>
          <w:p>
            <w:pPr>
              <w:spacing w:after="40" w:line="240" w:lineRule="auto"/>
            </w:pPr>
            <w:r>
              <w:rPr>
                <w:rFonts w:ascii="Times New Roman" w:hAnsi="Times New Roman"/>
                <w:b/>
                <w:sz w:val="24"/>
              </w:rPr>
              <w:t>Ambang/kriteria</w:t>
            </w:r>
          </w:p>
        </w:tc>
        <w:tc>
          <w:tcPr>
            <w:tcW w:type="dxa" w:w="1984"/>
          </w:tcPr>
          <w:p>
            <w:pPr>
              <w:spacing w:after="40" w:line="240" w:lineRule="auto"/>
            </w:pPr>
            <w:r>
              <w:rPr>
                <w:rFonts w:ascii="Times New Roman" w:hAnsi="Times New Roman"/>
                <w:b/>
                <w:sz w:val="24"/>
              </w:rPr>
              <w:t>Tindakan bila tidak terpenuhi</w:t>
            </w:r>
          </w:p>
        </w:tc>
      </w:tr>
      <w:tr>
        <w:tc>
          <w:tcPr>
            <w:tcW w:type="dxa" w:w="1984"/>
          </w:tcPr>
          <w:p>
            <w:pPr>
              <w:spacing w:after="40" w:line="240" w:lineRule="auto"/>
            </w:pPr>
            <w:r>
              <w:rPr>
                <w:rFonts w:ascii="Times New Roman" w:hAnsi="Times New Roman"/>
                <w:sz w:val="24"/>
              </w:rPr>
              <w:t>Model pengukuran tingkat pertama</w:t>
            </w:r>
          </w:p>
        </w:tc>
        <w:tc>
          <w:tcPr>
            <w:tcW w:type="dxa" w:w="1984"/>
          </w:tcPr>
          <w:p>
            <w:pPr>
              <w:spacing w:after="40" w:line="240" w:lineRule="auto"/>
            </w:pPr>
            <w:r>
              <w:rPr>
                <w:rFonts w:ascii="Times New Roman" w:hAnsi="Times New Roman"/>
                <w:sz w:val="24"/>
              </w:rPr>
              <w:t>Loading, AVE, CR</w:t>
            </w:r>
          </w:p>
        </w:tc>
        <w:tc>
          <w:tcPr>
            <w:tcW w:type="dxa" w:w="1984"/>
          </w:tcPr>
          <w:p>
            <w:pPr>
              <w:spacing w:after="40" w:line="240" w:lineRule="auto"/>
            </w:pPr>
            <w:r>
              <w:rPr>
                <w:rFonts w:ascii="Times New Roman" w:hAnsi="Times New Roman"/>
                <w:sz w:val="24"/>
              </w:rPr>
              <w:t>Sesuai kriteria yang ditetapkan (Hair et al., 2019, 2022)</w:t>
            </w:r>
          </w:p>
        </w:tc>
        <w:tc>
          <w:tcPr>
            <w:tcW w:type="dxa" w:w="1984"/>
          </w:tcPr>
          <w:p>
            <w:pPr>
              <w:spacing w:after="40" w:line="240" w:lineRule="auto"/>
            </w:pPr>
            <w:r>
              <w:rPr>
                <w:rFonts w:ascii="Times New Roman" w:hAnsi="Times New Roman"/>
                <w:sz w:val="24"/>
              </w:rPr>
              <w:t>Tinjau butir; laporkan revisi</w:t>
            </w:r>
          </w:p>
        </w:tc>
      </w:tr>
      <w:tr>
        <w:tc>
          <w:tcPr>
            <w:tcW w:type="dxa" w:w="1984"/>
          </w:tcPr>
          <w:p>
            <w:pPr>
              <w:spacing w:after="40" w:line="240" w:lineRule="auto"/>
            </w:pPr>
            <w:r>
              <w:rPr>
                <w:rFonts w:ascii="Times New Roman" w:hAnsi="Times New Roman"/>
                <w:sz w:val="24"/>
              </w:rPr>
              <w:t>Validitas diskriminan</w:t>
            </w:r>
          </w:p>
        </w:tc>
        <w:tc>
          <w:tcPr>
            <w:tcW w:type="dxa" w:w="1984"/>
          </w:tcPr>
          <w:p>
            <w:pPr>
              <w:spacing w:after="40" w:line="240" w:lineRule="auto"/>
            </w:pPr>
            <w:r>
              <w:rPr>
                <w:rFonts w:ascii="Times New Roman" w:hAnsi="Times New Roman"/>
                <w:sz w:val="24"/>
              </w:rPr>
              <w:t>HTMT + CI, Fornell–Larcker, cross-loading</w:t>
            </w:r>
          </w:p>
        </w:tc>
        <w:tc>
          <w:tcPr>
            <w:tcW w:type="dxa" w:w="1984"/>
          </w:tcPr>
          <w:p>
            <w:pPr>
              <w:spacing w:after="40" w:line="240" w:lineRule="auto"/>
            </w:pPr>
            <w:r>
              <w:rPr>
                <w:rFonts w:ascii="Times New Roman" w:hAnsi="Times New Roman"/>
                <w:sz w:val="24"/>
              </w:rPr>
              <w:t>Lihat Blok 9</w:t>
            </w:r>
          </w:p>
        </w:tc>
        <w:tc>
          <w:tcPr>
            <w:tcW w:type="dxa" w:w="1984"/>
          </w:tcPr>
          <w:p>
            <w:pPr>
              <w:spacing w:after="40" w:line="240" w:lineRule="auto"/>
            </w:pPr>
            <w:r>
              <w:rPr>
                <w:rFonts w:ascii="Times New Roman" w:hAnsi="Times New Roman"/>
                <w:sz w:val="24"/>
              </w:rPr>
              <w:t>Sesuai aturan keputusan Blok 9</w:t>
            </w:r>
          </w:p>
        </w:tc>
      </w:tr>
      <w:tr>
        <w:tc>
          <w:tcPr>
            <w:tcW w:type="dxa" w:w="1984"/>
          </w:tcPr>
          <w:p>
            <w:pPr>
              <w:spacing w:after="40" w:line="240" w:lineRule="auto"/>
            </w:pPr>
            <w:r>
              <w:rPr>
                <w:rFonts w:ascii="Times New Roman" w:hAnsi="Times New Roman"/>
                <w:sz w:val="24"/>
              </w:rPr>
              <w:t>Konstruk formatif</w:t>
            </w:r>
          </w:p>
        </w:tc>
        <w:tc>
          <w:tcPr>
            <w:tcW w:type="dxa" w:w="1984"/>
          </w:tcPr>
          <w:p>
            <w:pPr>
              <w:spacing w:after="40" w:line="240" w:lineRule="auto"/>
            </w:pPr>
            <w:r>
              <w:rPr>
                <w:rFonts w:ascii="Times New Roman" w:hAnsi="Times New Roman"/>
                <w:sz w:val="24"/>
              </w:rPr>
              <w:t>Kolinearitas, kontribusi dimensi</w:t>
            </w:r>
          </w:p>
        </w:tc>
        <w:tc>
          <w:tcPr>
            <w:tcW w:type="dxa" w:w="1984"/>
          </w:tcPr>
          <w:p>
            <w:pPr>
              <w:spacing w:after="40" w:line="240" w:lineRule="auto"/>
            </w:pPr>
            <w:r>
              <w:rPr>
                <w:rFonts w:ascii="Times New Roman" w:hAnsi="Times New Roman"/>
                <w:sz w:val="24"/>
              </w:rPr>
              <w:t>Sesuai prosedur yang ditetapkan</w:t>
            </w:r>
          </w:p>
        </w:tc>
        <w:tc>
          <w:tcPr>
            <w:tcW w:type="dxa" w:w="1984"/>
          </w:tcPr>
          <w:p>
            <w:pPr>
              <w:spacing w:after="40" w:line="240" w:lineRule="auto"/>
            </w:pPr>
            <w:r>
              <w:rPr>
                <w:rFonts w:ascii="Times New Roman" w:hAnsi="Times New Roman"/>
                <w:sz w:val="24"/>
              </w:rPr>
              <w:t>Tinjau keputusan dimensi yang ditetapkan sebelum analisis</w:t>
            </w:r>
          </w:p>
        </w:tc>
      </w:tr>
      <w:tr>
        <w:tc>
          <w:tcPr>
            <w:tcW w:type="dxa" w:w="1984"/>
          </w:tcPr>
          <w:p>
            <w:pPr>
              <w:spacing w:after="40" w:line="240" w:lineRule="auto"/>
            </w:pPr>
            <w:r>
              <w:rPr>
                <w:rFonts w:ascii="Times New Roman" w:hAnsi="Times New Roman"/>
                <w:sz w:val="24"/>
              </w:rPr>
              <w:t>Model struktural</w:t>
            </w:r>
          </w:p>
        </w:tc>
        <w:tc>
          <w:tcPr>
            <w:tcW w:type="dxa" w:w="1984"/>
          </w:tcPr>
          <w:p>
            <w:pPr>
              <w:spacing w:after="40" w:line="240" w:lineRule="auto"/>
            </w:pPr>
            <w:r>
              <w:rPr>
                <w:rFonts w:ascii="Times New Roman" w:hAnsi="Times New Roman"/>
                <w:sz w:val="24"/>
              </w:rPr>
              <w:t>Koefisien jalur, R², Q², interval kepercayaan</w:t>
            </w:r>
          </w:p>
        </w:tc>
        <w:tc>
          <w:tcPr>
            <w:tcW w:type="dxa" w:w="1984"/>
          </w:tcPr>
          <w:p>
            <w:pPr>
              <w:spacing w:after="40" w:line="240" w:lineRule="auto"/>
            </w:pPr>
            <w:r>
              <w:rPr>
                <w:rFonts w:ascii="Times New Roman" w:hAnsi="Times New Roman"/>
                <w:sz w:val="24"/>
              </w:rPr>
              <w:t>Sesuai kriteria yang ditetapkan</w:t>
            </w:r>
          </w:p>
        </w:tc>
        <w:tc>
          <w:tcPr>
            <w:tcW w:type="dxa" w:w="1984"/>
          </w:tcPr>
          <w:p>
            <w:pPr>
              <w:spacing w:after="40" w:line="240" w:lineRule="auto"/>
            </w:pPr>
            <w:r>
              <w:rPr>
                <w:rFonts w:ascii="Times New Roman" w:hAnsi="Times New Roman"/>
                <w:sz w:val="24"/>
              </w:rPr>
              <w:t>Laporkan apa adanya, tanpa penghapusan model</w:t>
            </w:r>
          </w:p>
        </w:tc>
      </w:tr>
      <w:tr>
        <w:tc>
          <w:tcPr>
            <w:tcW w:type="dxa" w:w="1984"/>
          </w:tcPr>
          <w:p>
            <w:pPr>
              <w:spacing w:after="40" w:line="240" w:lineRule="auto"/>
            </w:pPr>
            <w:r>
              <w:rPr>
                <w:rFonts w:ascii="Times New Roman" w:hAnsi="Times New Roman"/>
                <w:sz w:val="24"/>
              </w:rPr>
              <w:t>Efek tidak langsung</w:t>
            </w:r>
          </w:p>
        </w:tc>
        <w:tc>
          <w:tcPr>
            <w:tcW w:type="dxa" w:w="1984"/>
          </w:tcPr>
          <w:p>
            <w:pPr>
              <w:spacing w:after="40" w:line="240" w:lineRule="auto"/>
            </w:pPr>
            <w:r>
              <w:rPr>
                <w:rFonts w:ascii="Times New Roman" w:hAnsi="Times New Roman"/>
                <w:sz w:val="24"/>
              </w:rPr>
              <w:t>Bootstrap BCa pada tingkat kepercayaan yang ditetapkan</w:t>
            </w:r>
          </w:p>
        </w:tc>
        <w:tc>
          <w:tcPr>
            <w:tcW w:type="dxa" w:w="1984"/>
          </w:tcPr>
          <w:p>
            <w:pPr>
              <w:spacing w:after="40" w:line="240" w:lineRule="auto"/>
            </w:pPr>
            <w:r>
              <w:rPr>
                <w:rFonts w:ascii="Times New Roman" w:hAnsi="Times New Roman"/>
                <w:sz w:val="24"/>
              </w:rPr>
              <w:t>Interval tidak memuat nol</w:t>
            </w:r>
          </w:p>
        </w:tc>
        <w:tc>
          <w:tcPr>
            <w:tcW w:type="dxa" w:w="1984"/>
          </w:tcPr>
          <w:p>
            <w:pPr>
              <w:spacing w:after="40" w:line="240" w:lineRule="auto"/>
            </w:pPr>
            <w:r>
              <w:rPr>
                <w:rFonts w:ascii="Times New Roman" w:hAnsi="Times New Roman"/>
                <w:sz w:val="24"/>
              </w:rPr>
              <w:t>Laporkan sebagai tidak didukung; jelaskan implikasi pada tafsir serial</w:t>
            </w:r>
          </w:p>
        </w:tc>
      </w:tr>
      <w:tr>
        <w:tc>
          <w:tcPr>
            <w:tcW w:type="dxa" w:w="1984"/>
          </w:tcPr>
          <w:p>
            <w:pPr>
              <w:spacing w:after="40" w:line="240" w:lineRule="auto"/>
            </w:pPr>
            <w:r>
              <w:rPr>
                <w:rFonts w:ascii="Times New Roman" w:hAnsi="Times New Roman"/>
                <w:sz w:val="24"/>
              </w:rPr>
              <w:t>Bias metode bersama</w:t>
            </w:r>
          </w:p>
        </w:tc>
        <w:tc>
          <w:tcPr>
            <w:tcW w:type="dxa" w:w="1984"/>
          </w:tcPr>
          <w:p>
            <w:pPr>
              <w:spacing w:after="40" w:line="240" w:lineRule="auto"/>
            </w:pPr>
            <w:r>
              <w:rPr>
                <w:rFonts w:ascii="Times New Roman" w:hAnsi="Times New Roman"/>
                <w:sz w:val="24"/>
              </w:rPr>
              <w:t>Butir global &amp; prosedur marker</w:t>
            </w:r>
          </w:p>
        </w:tc>
        <w:tc>
          <w:tcPr>
            <w:tcW w:type="dxa" w:w="1984"/>
          </w:tcPr>
          <w:p>
            <w:pPr>
              <w:spacing w:after="40" w:line="240" w:lineRule="auto"/>
            </w:pPr>
            <w:r>
              <w:rPr>
                <w:rFonts w:ascii="Times New Roman" w:hAnsi="Times New Roman"/>
                <w:sz w:val="24"/>
              </w:rPr>
              <w:t>Indikasi sistematis</w:t>
            </w:r>
          </w:p>
        </w:tc>
        <w:tc>
          <w:tcPr>
            <w:tcW w:type="dxa" w:w="1984"/>
          </w:tcPr>
          <w:p>
            <w:pPr>
              <w:spacing w:after="40" w:line="240" w:lineRule="auto"/>
            </w:pPr>
            <w:r>
              <w:rPr>
                <w:rFonts w:ascii="Times New Roman" w:hAnsi="Times New Roman"/>
                <w:sz w:val="24"/>
              </w:rPr>
              <w:t>Uji sensitivitas; laporkan</w:t>
            </w:r>
          </w:p>
        </w:tc>
      </w:tr>
    </w:tbl>
    <w:p/>
    <w:p>
      <w:r>
        <w:rPr>
          <w:rFonts w:ascii="Times New Roman" w:hAnsi="Times New Roman"/>
          <w:sz w:val="24"/>
        </w:rPr>
        <w:t>Seluruh keputusan yang diambil berdasarkan aturan di atas dicatat pada berkas dokumentasi analisis agar dapat diaudit, termasuk keputusan yang tidak menghasilkan perubahan.</w:t>
      </w:r>
    </w:p>
    <w:p>
      <w:pPr>
        <w:pStyle w:val="Heading2"/>
      </w:pPr>
      <w:r>
        <w:rPr>
          <w:rFonts w:ascii="Times New Roman" w:hAnsi="Times New Roman"/>
          <w:sz w:val="24"/>
        </w:rPr>
        <w:t>Blok 13 — [SERAGAMKAN] Glosarium dan Penyeragaman Istilah</w:t>
      </w:r>
    </w:p>
    <w:p>
      <w:r>
        <w:rPr>
          <w:rFonts w:ascii="Times New Roman" w:hAnsi="Times New Roman"/>
          <w:sz w:val="24"/>
        </w:rPr>
        <w:t>Lakukan pencarian-penggantian menyeluruh di seluruh naskah, Ringkasan, judul sub-bab, tabel, gambar, dan lampiran: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Istilah yang harus diseragamkan</w:t>
            </w:r>
          </w:p>
        </w:tc>
        <w:tc>
          <w:tcPr>
            <w:tcW w:type="dxa" w:w="2646"/>
          </w:tcPr>
          <w:p>
            <w:pPr>
              <w:spacing w:after="40" w:line="240" w:lineRule="auto"/>
            </w:pPr>
            <w:r>
              <w:rPr>
                <w:rFonts w:ascii="Times New Roman" w:hAnsi="Times New Roman"/>
                <w:b/>
                <w:sz w:val="24"/>
              </w:rPr>
              <w:t>Pilihan resmi</w:t>
            </w:r>
          </w:p>
        </w:tc>
        <w:tc>
          <w:tcPr>
            <w:tcW w:type="dxa" w:w="2646"/>
          </w:tcPr>
          <w:p>
            <w:pPr>
              <w:spacing w:after="40" w:line="240" w:lineRule="auto"/>
            </w:pPr>
            <w:r>
              <w:rPr>
                <w:rFonts w:ascii="Times New Roman" w:hAnsi="Times New Roman"/>
                <w:b/>
                <w:sz w:val="24"/>
              </w:rPr>
              <w:t>Pengganti yang dibuang</w:t>
            </w:r>
          </w:p>
        </w:tc>
      </w:tr>
      <w:tr>
        <w:tc>
          <w:tcPr>
            <w:tcW w:type="dxa" w:w="2646"/>
          </w:tcPr>
          <w:p>
            <w:pPr>
              <w:spacing w:after="40" w:line="240" w:lineRule="auto"/>
            </w:pPr>
            <w:r>
              <w:rPr>
                <w:rFonts w:ascii="Times New Roman" w:hAnsi="Times New Roman"/>
                <w:sz w:val="24"/>
              </w:rPr>
              <w:t>Luaran penelitian</w:t>
            </w:r>
          </w:p>
        </w:tc>
        <w:tc>
          <w:tcPr>
            <w:tcW w:type="dxa" w:w="2646"/>
          </w:tcPr>
          <w:p>
            <w:pPr>
              <w:spacing w:after="40" w:line="240" w:lineRule="auto"/>
            </w:pPr>
            <w:r>
              <w:rPr>
                <w:rFonts w:ascii="Times New Roman" w:hAnsi="Times New Roman"/>
                <w:b/>
                <w:sz w:val="24"/>
              </w:rPr>
              <w:t>advokasi merek digital</w:t>
            </w:r>
          </w:p>
        </w:tc>
        <w:tc>
          <w:tcPr>
            <w:tcW w:type="dxa" w:w="2646"/>
          </w:tcPr>
          <w:p>
            <w:pPr>
              <w:spacing w:after="40" w:line="240" w:lineRule="auto"/>
            </w:pPr>
            <w:r>
              <w:rPr>
                <w:rFonts w:ascii="Times New Roman" w:hAnsi="Times New Roman"/>
                <w:sz w:val="24"/>
              </w:rPr>
              <w:t>"advokasi merek daring", "advokasi digital merek"</w:t>
            </w:r>
          </w:p>
        </w:tc>
      </w:tr>
      <w:tr>
        <w:tc>
          <w:tcPr>
            <w:tcW w:type="dxa" w:w="2646"/>
          </w:tcPr>
          <w:p>
            <w:pPr>
              <w:spacing w:after="40" w:line="240" w:lineRule="auto"/>
            </w:pPr>
            <w:r>
              <w:rPr>
                <w:rFonts w:ascii="Times New Roman" w:hAnsi="Times New Roman"/>
                <w:sz w:val="24"/>
              </w:rPr>
              <w:t>Konstruk luaran</w:t>
            </w:r>
          </w:p>
        </w:tc>
        <w:tc>
          <w:tcPr>
            <w:tcW w:type="dxa" w:w="2646"/>
          </w:tcPr>
          <w:p>
            <w:pPr>
              <w:spacing w:after="40" w:line="240" w:lineRule="auto"/>
            </w:pPr>
            <w:r>
              <w:rPr>
                <w:rFonts w:ascii="Times New Roman" w:hAnsi="Times New Roman"/>
                <w:b/>
                <w:sz w:val="24"/>
              </w:rPr>
              <w:t>kesediaan advokasi merek digital (AMD)</w:t>
            </w:r>
            <w:r>
              <w:rPr>
                <w:rFonts w:ascii="Times New Roman" w:hAnsi="Times New Roman"/>
                <w:sz w:val="24"/>
              </w:rPr>
              <w:t xml:space="preserve"> — sebut "kesediaan" setiap kali merujuk pengukuran</w:t>
            </w:r>
          </w:p>
        </w:tc>
        <w:tc>
          <w:tcPr>
            <w:tcW w:type="dxa" w:w="2646"/>
          </w:tcPr>
          <w:p>
            <w:pPr>
              <w:spacing w:after="40" w:line="240" w:lineRule="auto"/>
            </w:pPr>
            <w:r>
              <w:rPr>
                <w:rFonts w:ascii="Times New Roman" w:hAnsi="Times New Roman"/>
                <w:sz w:val="24"/>
              </w:rPr>
              <w:t>"perilaku advokasi", "advokasi aktual"</w:t>
            </w:r>
          </w:p>
        </w:tc>
      </w:tr>
      <w:tr>
        <w:tc>
          <w:tcPr>
            <w:tcW w:type="dxa" w:w="2646"/>
          </w:tcPr>
          <w:p>
            <w:pPr>
              <w:spacing w:after="40" w:line="240" w:lineRule="auto"/>
            </w:pPr>
            <w:r>
              <w:rPr>
                <w:rFonts w:ascii="Times New Roman" w:hAnsi="Times New Roman"/>
                <w:sz w:val="24"/>
              </w:rPr>
              <w:t>Variabel bebas</w:t>
            </w:r>
          </w:p>
        </w:tc>
        <w:tc>
          <w:tcPr>
            <w:tcW w:type="dxa" w:w="2646"/>
          </w:tcPr>
          <w:p>
            <w:pPr>
              <w:spacing w:after="40" w:line="240" w:lineRule="auto"/>
            </w:pPr>
            <w:r>
              <w:rPr>
                <w:rFonts w:ascii="Times New Roman" w:hAnsi="Times New Roman"/>
                <w:b/>
                <w:sz w:val="24"/>
              </w:rPr>
              <w:t>kredibilitas influencer (KI)</w:t>
            </w:r>
          </w:p>
        </w:tc>
        <w:tc>
          <w:tcPr>
            <w:tcW w:type="dxa" w:w="2646"/>
          </w:tcPr>
          <w:p>
            <w:pPr>
              <w:spacing w:after="40" w:line="240" w:lineRule="auto"/>
            </w:pPr>
            <w:r>
              <w:rPr>
                <w:rFonts w:ascii="Times New Roman" w:hAnsi="Times New Roman"/>
                <w:sz w:val="24"/>
              </w:rPr>
              <w:t>"kredibilitas figur", "kredibilitas konten kreator"</w:t>
            </w:r>
          </w:p>
        </w:tc>
      </w:tr>
      <w:tr>
        <w:tc>
          <w:tcPr>
            <w:tcW w:type="dxa" w:w="2646"/>
          </w:tcPr>
          <w:p>
            <w:pPr>
              <w:spacing w:after="40" w:line="240" w:lineRule="auto"/>
            </w:pPr>
            <w:r>
              <w:rPr>
                <w:rFonts w:ascii="Times New Roman" w:hAnsi="Times New Roman"/>
                <w:sz w:val="24"/>
              </w:rPr>
              <w:t>Mediator pertama</w:t>
            </w:r>
          </w:p>
        </w:tc>
        <w:tc>
          <w:tcPr>
            <w:tcW w:type="dxa" w:w="2646"/>
          </w:tcPr>
          <w:p>
            <w:pPr>
              <w:spacing w:after="40" w:line="240" w:lineRule="auto"/>
            </w:pPr>
            <w:r>
              <w:rPr>
                <w:rFonts w:ascii="Times New Roman" w:hAnsi="Times New Roman"/>
                <w:b/>
                <w:sz w:val="24"/>
              </w:rPr>
              <w:t>hubungan parasosial (HP)</w:t>
            </w:r>
            <w:r>
              <w:rPr>
                <w:rFonts w:ascii="Times New Roman" w:hAnsi="Times New Roman"/>
                <w:sz w:val="24"/>
              </w:rPr>
              <w:t>; sebut "hubungan", bukan "interaksi", untuk merujuk konstruk ini</w:t>
            </w:r>
          </w:p>
        </w:tc>
        <w:tc>
          <w:tcPr>
            <w:tcW w:type="dxa" w:w="2646"/>
          </w:tcPr>
          <w:p>
            <w:pPr>
              <w:spacing w:after="40" w:line="240" w:lineRule="auto"/>
            </w:pPr>
            <w:r>
              <w:rPr>
                <w:rFonts w:ascii="Times New Roman" w:hAnsi="Times New Roman"/>
                <w:sz w:val="24"/>
              </w:rPr>
              <w:t>"interaksi parasosial" (hanya dipakai saat mengutip literatur yang memang mengukur pengalaman interaksi)</w:t>
            </w:r>
          </w:p>
        </w:tc>
      </w:tr>
      <w:tr>
        <w:tc>
          <w:tcPr>
            <w:tcW w:type="dxa" w:w="2646"/>
          </w:tcPr>
          <w:p>
            <w:pPr>
              <w:spacing w:after="40" w:line="240" w:lineRule="auto"/>
            </w:pPr>
            <w:r>
              <w:rPr>
                <w:rFonts w:ascii="Times New Roman" w:hAnsi="Times New Roman"/>
                <w:sz w:val="24"/>
              </w:rPr>
              <w:t>Mediator kedua</w:t>
            </w:r>
          </w:p>
        </w:tc>
        <w:tc>
          <w:tcPr>
            <w:tcW w:type="dxa" w:w="2646"/>
          </w:tcPr>
          <w:p>
            <w:pPr>
              <w:spacing w:after="40" w:line="240" w:lineRule="auto"/>
            </w:pPr>
            <w:r>
              <w:rPr>
                <w:rFonts w:ascii="Times New Roman" w:hAnsi="Times New Roman"/>
                <w:b/>
                <w:sz w:val="24"/>
              </w:rPr>
              <w:t>autentisitas merek (AM)</w:t>
            </w:r>
          </w:p>
        </w:tc>
        <w:tc>
          <w:tcPr>
            <w:tcW w:type="dxa" w:w="2646"/>
          </w:tcPr>
          <w:p>
            <w:pPr>
              <w:spacing w:after="40" w:line="240" w:lineRule="auto"/>
            </w:pPr>
            <w:r>
              <w:rPr>
                <w:rFonts w:ascii="Times New Roman" w:hAnsi="Times New Roman"/>
                <w:sz w:val="24"/>
              </w:rPr>
              <w:t>"keaslian merek"</w:t>
            </w:r>
          </w:p>
        </w:tc>
      </w:tr>
      <w:tr>
        <w:tc>
          <w:tcPr>
            <w:tcW w:type="dxa" w:w="2646"/>
          </w:tcPr>
          <w:p>
            <w:pPr>
              <w:spacing w:after="40" w:line="240" w:lineRule="auto"/>
            </w:pPr>
            <w:r>
              <w:rPr>
                <w:rFonts w:ascii="Times New Roman" w:hAnsi="Times New Roman"/>
                <w:sz w:val="24"/>
              </w:rPr>
              <w:t>Kerangka utama</w:t>
            </w:r>
          </w:p>
        </w:tc>
        <w:tc>
          <w:tcPr>
            <w:tcW w:type="dxa" w:w="2646"/>
          </w:tcPr>
          <w:p>
            <w:pPr>
              <w:spacing w:after="40" w:line="240" w:lineRule="auto"/>
            </w:pPr>
            <w:r>
              <w:rPr>
                <w:rFonts w:ascii="Times New Roman" w:hAnsi="Times New Roman"/>
                <w:b/>
                <w:sz w:val="24"/>
              </w:rPr>
              <w:t>stimulus–organism–response (S-O-R)</w:t>
            </w:r>
            <w:r>
              <w:rPr>
                <w:rFonts w:ascii="Times New Roman" w:hAnsi="Times New Roman"/>
                <w:sz w:val="24"/>
              </w:rPr>
              <w:t xml:space="preserve"> — tulis lengkap pada kemunculan pertama, singkat setelahnya</w:t>
            </w:r>
          </w:p>
        </w:tc>
        <w:tc>
          <w:tcPr>
            <w:tcW w:type="dxa" w:w="2646"/>
          </w:tcPr>
          <w:p>
            <w:pPr>
              <w:spacing w:after="40" w:line="240" w:lineRule="auto"/>
            </w:pPr>
            <w:r>
              <w:rPr>
                <w:rFonts w:ascii="Times New Roman" w:hAnsi="Times New Roman"/>
                <w:sz w:val="24"/>
              </w:rPr>
              <w:t>"SOR" tanpa penjelasan</w:t>
            </w:r>
          </w:p>
        </w:tc>
      </w:tr>
      <w:tr>
        <w:tc>
          <w:tcPr>
            <w:tcW w:type="dxa" w:w="2646"/>
          </w:tcPr>
          <w:p>
            <w:pPr>
              <w:spacing w:after="40" w:line="240" w:lineRule="auto"/>
            </w:pPr>
            <w:r>
              <w:rPr>
                <w:rFonts w:ascii="Times New Roman" w:hAnsi="Times New Roman"/>
                <w:sz w:val="24"/>
              </w:rPr>
              <w:t>Responden</w:t>
            </w:r>
          </w:p>
        </w:tc>
        <w:tc>
          <w:tcPr>
            <w:tcW w:type="dxa" w:w="2646"/>
          </w:tcPr>
          <w:p>
            <w:pPr>
              <w:spacing w:after="40" w:line="240" w:lineRule="auto"/>
            </w:pPr>
            <w:r>
              <w:rPr>
                <w:rFonts w:ascii="Times New Roman" w:hAnsi="Times New Roman"/>
                <w:b/>
                <w:sz w:val="24"/>
              </w:rPr>
              <w:t>Generasi Z berusia 18–27 tahun</w:t>
            </w:r>
            <w:r>
              <w:rPr>
                <w:rFonts w:ascii="Times New Roman" w:hAnsi="Times New Roman"/>
                <w:sz w:val="24"/>
              </w:rPr>
              <w:t xml:space="preserve"> pada kemunculan pertama, lalu "responden"</w:t>
            </w:r>
          </w:p>
        </w:tc>
        <w:tc>
          <w:tcPr>
            <w:tcW w:type="dxa" w:w="2646"/>
          </w:tcPr>
          <w:p>
            <w:pPr>
              <w:spacing w:after="40" w:line="240" w:lineRule="auto"/>
            </w:pPr>
            <w:r>
              <w:rPr>
                <w:rFonts w:ascii="Times New Roman" w:hAnsi="Times New Roman"/>
                <w:sz w:val="24"/>
              </w:rPr>
              <w:t>"Gen Z" tanpa keterangan usia</w:t>
            </w:r>
          </w:p>
        </w:tc>
      </w:tr>
      <w:tr>
        <w:tc>
          <w:tcPr>
            <w:tcW w:type="dxa" w:w="2646"/>
          </w:tcPr>
          <w:p>
            <w:pPr>
              <w:spacing w:after="40" w:line="240" w:lineRule="auto"/>
            </w:pPr>
            <w:r>
              <w:rPr>
                <w:rFonts w:ascii="Times New Roman" w:hAnsi="Times New Roman"/>
                <w:sz w:val="24"/>
              </w:rPr>
              <w:t>Klaim kausal</w:t>
            </w:r>
          </w:p>
        </w:tc>
        <w:tc>
          <w:tcPr>
            <w:tcW w:type="dxa" w:w="2646"/>
          </w:tcPr>
          <w:p>
            <w:pPr>
              <w:spacing w:after="40" w:line="240" w:lineRule="auto"/>
            </w:pPr>
            <w:r>
              <w:rPr>
                <w:rFonts w:ascii="Times New Roman" w:hAnsi="Times New Roman"/>
                <w:b/>
                <w:sz w:val="24"/>
              </w:rPr>
              <w:t>berkaitan dengan / konsisten dengan / berasosiasi dengan</w:t>
            </w:r>
          </w:p>
        </w:tc>
        <w:tc>
          <w:tcPr>
            <w:tcW w:type="dxa" w:w="2646"/>
          </w:tcPr>
          <w:p>
            <w:pPr>
              <w:spacing w:after="40" w:line="240" w:lineRule="auto"/>
            </w:pPr>
            <w:r>
              <w:rPr>
                <w:rFonts w:ascii="Times New Roman" w:hAnsi="Times New Roman"/>
                <w:sz w:val="24"/>
              </w:rPr>
              <w:t>"berpengaruh terhadap", "berdampak pada", "menyebabkan", "mendorong", "membentuk"</w:t>
            </w:r>
          </w:p>
        </w:tc>
      </w:tr>
    </w:tbl>
    <w:p/>
    <w:p>
      <w:r>
        <w:rPr>
          <w:rFonts w:ascii="Times New Roman" w:hAnsi="Times New Roman"/>
          <w:sz w:val="24"/>
        </w:rPr>
        <w:t>Setelah penyeragaman: periksa silang nomor hipotesis (H1–H5), nomor butir, nomor tabel/gambar, dan daftar pustaka (tanpa entri ganda, tanpa sitasi yatim).</w:t>
      </w:r>
    </w:p>
    <w:p>
      <w:r>
        <w:br w:type="page"/>
      </w:r>
    </w:p>
    <w:p>
      <w:pPr>
        <w:pStyle w:val="Heading2"/>
      </w:pPr>
      <w:r>
        <w:rPr>
          <w:rFonts w:ascii="Times New Roman" w:hAnsi="Times New Roman"/>
          <w:sz w:val="24"/>
        </w:rPr>
        <w:t>Lampiran kerja — Daftar periksa pemasangan</w:t>
      </w:r>
    </w:p>
    <w:p>
      <w:pPr>
        <w:pStyle w:val="ListBullet"/>
        <w:spacing w:after="40" w:line="360" w:lineRule="auto"/>
      </w:pPr>
      <w:r>
        <w:rPr>
          <w:rFonts w:ascii="Times New Roman" w:hAnsi="Times New Roman"/>
          <w:sz w:val="24"/>
        </w:rPr>
        <w:t>☐ Blok 13 dijalankan lebih dahulu (penyeragaman istilah)</w:t>
      </w:r>
    </w:p>
    <w:p>
      <w:pPr>
        <w:pStyle w:val="ListBullet"/>
        <w:spacing w:after="40" w:line="360" w:lineRule="auto"/>
      </w:pPr>
      <w:r>
        <w:rPr>
          <w:rFonts w:ascii="Times New Roman" w:hAnsi="Times New Roman"/>
          <w:sz w:val="24"/>
        </w:rPr>
        <w:t>☐ Blok 1 menggantikan Ringkasan Proposal</w:t>
      </w:r>
    </w:p>
    <w:p>
      <w:pPr>
        <w:pStyle w:val="ListBullet"/>
        <w:spacing w:after="40" w:line="360" w:lineRule="auto"/>
      </w:pPr>
      <w:r>
        <w:rPr>
          <w:rFonts w:ascii="Times New Roman" w:hAnsi="Times New Roman"/>
          <w:sz w:val="24"/>
        </w:rPr>
        <w:t>☐ Blok 2 menggantikan Bab I.E Hipotesis — pastikan notasi a₁, d₂₁, b₂, c′, a₂, b₁ konsisten dengan Bab II dan Bab III</w:t>
      </w:r>
    </w:p>
    <w:p>
      <w:pPr>
        <w:pStyle w:val="ListBullet"/>
        <w:spacing w:after="40" w:line="360" w:lineRule="auto"/>
      </w:pPr>
      <w:r>
        <w:rPr>
          <w:rFonts w:ascii="Times New Roman" w:hAnsi="Times New Roman"/>
          <w:sz w:val="24"/>
        </w:rPr>
        <w:t>☐ Blok 3 disisipkan pada Bab I.B.3 Batasan Masalah</w:t>
      </w:r>
    </w:p>
    <w:p>
      <w:pPr>
        <w:pStyle w:val="ListBullet"/>
        <w:spacing w:after="40" w:line="360" w:lineRule="auto"/>
      </w:pPr>
      <w:r>
        <w:rPr>
          <w:rFonts w:ascii="Times New Roman" w:hAnsi="Times New Roman"/>
          <w:sz w:val="24"/>
        </w:rPr>
        <w:t>☐ Blok 4 dan Blok 5 disisipkan pada Bab II (sebelum sintesis bukti empiris)</w:t>
      </w:r>
    </w:p>
    <w:p>
      <w:pPr>
        <w:pStyle w:val="ListBullet"/>
        <w:spacing w:after="40" w:line="360" w:lineRule="auto"/>
      </w:pPr>
      <w:r>
        <w:rPr>
          <w:rFonts w:ascii="Times New Roman" w:hAnsi="Times New Roman"/>
          <w:sz w:val="24"/>
        </w:rPr>
        <w:t>☐ Blok 6 disisipkan pada Bab III.A (kriteria inklusi/eksklusi)</w:t>
      </w:r>
    </w:p>
    <w:p>
      <w:pPr>
        <w:pStyle w:val="ListBullet"/>
        <w:spacing w:after="40" w:line="360" w:lineRule="auto"/>
      </w:pPr>
      <w:r>
        <w:rPr>
          <w:rFonts w:ascii="Times New Roman" w:hAnsi="Times New Roman"/>
          <w:sz w:val="24"/>
        </w:rPr>
        <w:t>☐ Blok 7 menggantikan Bab III.C.2 (adaptasi dan uji instrumen, lima tahap)</w:t>
      </w:r>
    </w:p>
    <w:p>
      <w:pPr>
        <w:pStyle w:val="ListBullet"/>
        <w:spacing w:after="40" w:line="360" w:lineRule="auto"/>
      </w:pPr>
      <w:r>
        <w:rPr>
          <w:rFonts w:ascii="Times New Roman" w:hAnsi="Times New Roman"/>
          <w:sz w:val="24"/>
        </w:rPr>
        <w:t>☐ Blok 8 menggantikan Bab III.C.4</w:t>
      </w:r>
    </w:p>
    <w:p>
      <w:pPr>
        <w:pStyle w:val="ListBullet"/>
        <w:spacing w:after="40" w:line="360" w:lineRule="auto"/>
      </w:pPr>
      <w:r>
        <w:rPr>
          <w:rFonts w:ascii="Times New Roman" w:hAnsi="Times New Roman"/>
          <w:sz w:val="24"/>
        </w:rPr>
        <w:t>☐ Blok 9 disisipkan pada Bab III.D sebagai sub-bagian baru</w:t>
      </w:r>
    </w:p>
    <w:p>
      <w:pPr>
        <w:pStyle w:val="ListBullet"/>
        <w:spacing w:after="40" w:line="360" w:lineRule="auto"/>
      </w:pPr>
      <w:r>
        <w:rPr>
          <w:rFonts w:ascii="Times New Roman" w:hAnsi="Times New Roman"/>
          <w:sz w:val="24"/>
        </w:rPr>
        <w:t>☐ Blok 10 menggantikan Bab III.D.8</w:t>
      </w:r>
    </w:p>
    <w:p>
      <w:pPr>
        <w:pStyle w:val="ListBullet"/>
        <w:spacing w:after="40" w:line="360" w:lineRule="auto"/>
      </w:pPr>
      <w:r>
        <w:rPr>
          <w:rFonts w:ascii="Times New Roman" w:hAnsi="Times New Roman"/>
          <w:sz w:val="24"/>
        </w:rPr>
        <w:t>☐ Blok 11 menggantikan struktur Lampiran 1.A</w:t>
      </w:r>
    </w:p>
    <w:p>
      <w:pPr>
        <w:pStyle w:val="ListBullet"/>
        <w:spacing w:after="40" w:line="360" w:lineRule="auto"/>
      </w:pPr>
      <w:r>
        <w:rPr>
          <w:rFonts w:ascii="Times New Roman" w:hAnsi="Times New Roman"/>
          <w:sz w:val="24"/>
        </w:rPr>
        <w:t>☐ Blok 12 disisipkan pada Lampiran 2</w:t>
      </w:r>
    </w:p>
    <w:p>
      <w:pPr>
        <w:pStyle w:val="ListBullet"/>
        <w:spacing w:after="40" w:line="360" w:lineRule="auto"/>
      </w:pPr>
      <w:r>
        <w:rPr>
          <w:rFonts w:ascii="Times New Roman" w:hAnsi="Times New Roman"/>
          <w:sz w:val="24"/>
        </w:rPr>
        <w:t>☐ Matriks audit 39 butir disusun dan dilampirkan (nomor butir, objek penilaian, keputusan, alasan)</w:t>
      </w:r>
    </w:p>
    <w:p>
      <w:pPr>
        <w:pStyle w:val="ListBullet"/>
        <w:spacing w:after="40" w:line="360" w:lineRule="auto"/>
      </w:pPr>
      <w:r>
        <w:rPr>
          <w:rFonts w:ascii="Times New Roman" w:hAnsi="Times New Roman"/>
          <w:sz w:val="24"/>
        </w:rPr>
        <w:t>☐ Semua rincian instrumen dari berkas versi 14 Oktober 2026 (HP1–HP6, penjelasan responden, batas "tidak dapat menilai") sudah dipindahkan ke Lampiran 1</w:t>
      </w:r>
    </w:p>
    <w:p>
      <w:pPr>
        <w:pStyle w:val="ListBullet"/>
        <w:spacing w:after="40" w:line="360" w:lineRule="auto"/>
      </w:pPr>
      <w:r>
        <w:rPr>
          <w:rFonts w:ascii="Times New Roman" w:hAnsi="Times New Roman"/>
          <w:sz w:val="24"/>
        </w:rPr>
        <w:t>☐ Jadwal diperbarui bila panel ahli, wawancara kognitif, dan pilot menambah waktu</w:t>
      </w:r>
    </w:p>
    <w:p>
      <w:pPr>
        <w:pStyle w:val="ListBullet"/>
        <w:spacing w:after="40" w:line="360" w:lineRule="auto"/>
      </w:pPr>
      <w:r>
        <w:rPr>
          <w:rFonts w:ascii="Times New Roman" w:hAnsi="Times New Roman"/>
          <w:sz w:val="24"/>
        </w:rPr>
        <w:t xml:space="preserve">☐ Naskah hasil gabungan diperiksa ulang dengan daftar periksa pada </w:t>
      </w:r>
      <w:r>
        <w:rPr>
          <w:rFonts w:ascii="Times New Roman" w:hAnsi="Times New Roman"/>
          <w:sz w:val="20"/>
        </w:rPr>
        <w:t>laporan-integrasi-proposal.md</w:t>
      </w:r>
      <w:r>
        <w:rPr>
          <w:rFonts w:ascii="Times New Roman" w:hAnsi="Times New Roman"/>
          <w:sz w:val="24"/>
        </w:rPr>
        <w:t xml:space="preserve"> Bagian 7</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