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Palatino Linotype" w:cs="Palatino Linotype" w:eastAsia="Palatino Linotype" w:hAnsi="Palatino Linotype"/>
          <w:b/>
          <w:bCs/>
          <w:color w:val="C9A84C"/>
          <w:sz w:val="72"/>
          <w:szCs w:val="72"/>
        </w:rPr>
        <w:t xml:space="preserve">Ainulindalë</w:t>
      </w:r>
    </w:p>
    <w:p>
      <w:pPr>
        <w:spacing w:after="80" w:before="40"/>
        <w:jc w:val="center"/>
      </w:pPr>
      <w:r>
        <w:rPr>
          <w:rFonts w:ascii="Palatino Linotype" w:cs="Palatino Linotype" w:eastAsia="Palatino Linotype" w:hAnsi="Palatino Linotype"/>
          <w:b/>
          <w:bCs/>
          <w:color w:val="2E4057"/>
          <w:sz w:val="40"/>
          <w:szCs w:val="40"/>
        </w:rPr>
        <w:t xml:space="preserve">Conjecture of Information Propagation</w:t>
      </w:r>
    </w:p>
    <w:p>
      <w:pPr>
        <w:spacing w:after="40" w:before="0"/>
        <w:jc w:val="center"/>
      </w:pPr>
      <w:r>
        <w:rPr>
          <w:rFonts w:ascii="Palatino Linotype" w:cs="Palatino Linotype" w:eastAsia="Palatino Linotype" w:hAnsi="Palatino Linotype"/>
          <w:color w:val="2E4057"/>
          <w:sz w:val="36"/>
          <w:szCs w:val="36"/>
        </w:rPr>
        <w:t xml:space="preserve">via Reverse Cayley-Dickson Construction, Yang-Mills Gauge Theory,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color w:val="2E4057"/>
          <w:sz w:val="36"/>
          <w:szCs w:val="36"/>
        </w:rPr>
        <w:t xml:space="preserve">Berry-Keating Hamiltonian, Riemann-Fermat Horizon Invariance,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color w:val="2E4057"/>
          <w:sz w:val="36"/>
          <w:szCs w:val="36"/>
        </w:rPr>
        <w:t xml:space="preserve">Langlands-G₂ Correspondence, and Hydroradiological Chromatography</w:t>
      </w:r>
    </w:p>
    <w:p>
      <w:pPr>
        <w:spacing w:after="40" w:before="80"/>
        <w:jc w:val="center"/>
      </w:pPr>
      <w:r>
        <w:rPr>
          <w:rFonts w:ascii="Georgia" w:cs="Georgia" w:eastAsia="Georgia" w:hAnsi="Georgia"/>
          <w:color w:val="B0BEC5"/>
          <w:sz w:val="26"/>
          <w:szCs w:val="26"/>
        </w:rPr>
        <w:t xml:space="preserve">( The OMG?WTF! Conjecture )</w:t>
      </w:r>
    </w:p>
    <w:p>
      <w:pPr>
        <w:pBdr>
          <w:bottom w:val="single" w:color="C9A84C" w:sz="8" w:space="1"/>
        </w:pBdr>
        <w:spacing w:after="80" w:before="80"/>
      </w:pPr>
    </w:p>
    <w:p>
      <w:pPr>
        <w:spacing w:after="60" w:before="60"/>
        <w:jc w:val="center"/>
      </w:pPr>
      <w:r>
        <w:rPr>
          <w:rFonts w:ascii="Georgia" w:cs="Georgia" w:eastAsia="Georgia" w:hAnsi="Georgia"/>
          <w:color w:val="7A8FA6"/>
          <w:sz w:val="20"/>
          <w:szCs w:val="20"/>
        </w:rPr>
        <w:t xml:space="preserve">Compiled for Validation: April 11, 2026</w:t>
      </w:r>
    </w:p>
    <w:p>
      <w:pPr>
        <w:pBdr>
          <w:bottom w:val="single" w:color="C9A84C" w:sz="8" w:space="1"/>
        </w:pBdr>
        <w:spacing w:after="80" w:before="80"/>
      </w:pP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This conjecture proposes that information propagation — across neural architectures, thermodynamic systems, and the universal metric — is governed by a unified geometric engine whose spine is the golden ratio φ, whose frequency structure is determined by the co-directed Riemann-Fermat horizon, and whose algebraic substrate transitions irreversibly from the octonion division algebra 𝕆 (Langlands layer) into the sedenion non-division algebra 𝕊 (mastery layer) via Cayley-Dickson doubling. The horizon at 140 Quadrillion °F is the invariant thermal boundary at which the continuous Riemann wave and the discrete Fermat lattice are demonstrably the same object.</w:t>
      </w:r>
    </w:p>
    <w:p/>
    <w:p>
      <w:pPr>
        <w:pBdr>
          <w:bottom w:val="single" w:color="C9A84C" w:sz="8" w:space="1"/>
        </w:pBdr>
        <w:spacing w:after="80" w:before="80"/>
      </w:pPr>
    </w:p>
    <w:p>
      <w:pPr>
        <w:spacing w:after="120" w:before="320"/>
      </w:pPr>
      <w:r>
        <w:rPr>
          <w:rFonts w:ascii="Palatino Linotype" w:cs="Palatino Linotype" w:eastAsia="Palatino Linotype" w:hAnsi="Palatino Linotype"/>
          <w:b/>
          <w:bCs/>
          <w:color w:val="C9A84C"/>
          <w:sz w:val="32"/>
          <w:szCs w:val="32"/>
        </w:rPr>
        <w:t xml:space="preserve">I.  The All-Natural SMNNIP Lagrangian</w:t>
      </w:r>
    </w:p>
    <w:p>
      <w:pPr>
        <w:spacing w:after="80" w:before="200"/>
      </w:pPr>
      <w:r>
        <w:rPr>
          <w:rFonts w:ascii="Palatino Linotype" w:cs="Palatino Linotype" w:eastAsia="Palatino Linotype" w:hAnsi="Palatino Linotype"/>
          <w:b/>
          <w:bCs/>
          <w:color w:val="2E4057"/>
          <w:sz w:val="24"/>
          <w:szCs w:val="24"/>
        </w:rPr>
        <w:t xml:space="preserve">The Propagation Engine: Mapping Neural Weight-Fields to Gauge Dynamics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master Lagrangian integrates over destination-centric polar coordinates (r, θ). The factor 2/π is the radian normalization of the circular polar measure — it is a property of the integration geometry, not a coefficient distributed among interior terms. The bias term carries coupling 1/φ (the golden ratio conjugate), establishing the direct link between neural bias dynamics and the fine-structure / golden-angle proximity.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PATHWAY (LaTeX)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 &amp; CORRELATIONS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\mathcal{L}_{NN} = \frac{2}{\pi} \oint \left[ \mathcal{L}_{kin} + \mathcal{L}_{mat} + \frac{1}{\varphi}\mathcal{L}_{bias} + \mathcal{L}_{coup} \right] dr\, d\theta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r, θ: Destination-centric polar coordinates (radians). The 2/π prefactor normalizes the circular measure.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\mathcal{L}_{kin} = -\tfrac{1}{4} R^a_{r\theta} R^{ar\theta}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Weight-field curvature (Yang-Mills). Kinetic term for the gauge field.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\alpha_{NN}(r) = \frac{g^2}{4\pi \hbar_{NN} \ln(r)},\quad r \geq r_{\min}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αₙₙ: Neural Fine Structure Constant. Singular at r→ 0 by design (maximal coupling at the destination, analogous to QCD confinement). r_min is the minimum lattice spacing.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\frac{1}{\varphi} = \varphi - 1 \approx 0.6180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1/φ: Golden ratio conjugate. Connects bias coupling to the fine-structure / golden-angle proximity: |1/α − 360/φ²| ≈ 0.47° (0.34% gap).</w:t>
            </w:r>
          </w:p>
        </w:tc>
      </w:tr>
    </w:tbl>
    <w:p/>
    <w:p>
      <w:pPr>
        <w:spacing w:after="60" w:before="80"/>
      </w:pPr>
      <w:r>
        <w:rPr>
          <w:rFonts w:ascii="Courier New" w:cs="Courier New" w:eastAsia="Courier New" w:hAnsi="Courier New"/>
          <w:b/>
          <w:bCs/>
          <w:color w:val="7A8FA6"/>
          <w:sz w:val="20"/>
          <w:szCs w:val="20"/>
        </w:rPr>
        <w:t xml:space="preserve">Validation heuristic — </w:t>
      </w:r>
      <w:r>
        <w:rPr>
          <w:rFonts w:ascii="Georgia" w:cs="Georgia" w:eastAsia="Georgia" w:hAnsi="Georgia"/>
          <w:color w:val="7A8FA6"/>
          <w:sz w:val="20"/>
          <w:szCs w:val="20"/>
        </w:rPr>
        <w:t xml:space="preserve">Look for Distance masking Time. In the radial coordinate r, distance from the core is propagation lag of weight-field updates. A static distance in the network architecture hides a dynamic time-delay of information mastery. The singularity of αₙₙ at r→ 0 is the signature of full coupling: the destination is not approached, it is arrived at.</w:t>
      </w:r>
    </w:p>
    <w:p/>
    <w:p>
      <w:pPr>
        <w:pBdr>
          <w:bottom w:val="single" w:color="C9A84C" w:sz="8" w:space="1"/>
        </w:pBdr>
        <w:spacing w:after="80" w:before="80"/>
      </w:pPr>
    </w:p>
    <w:p>
      <w:pPr>
        <w:spacing w:after="120" w:before="320"/>
      </w:pPr>
      <w:r>
        <w:rPr>
          <w:rFonts w:ascii="Palatino Linotype" w:cs="Palatino Linotype" w:eastAsia="Palatino Linotype" w:hAnsi="Palatino Linotype"/>
          <w:b/>
          <w:bCs/>
          <w:color w:val="C9A84C"/>
          <w:sz w:val="32"/>
          <w:szCs w:val="32"/>
        </w:rPr>
        <w:t xml:space="preserve">II.  Alpha &amp; Omega Berry-Keating Hamiltonian</w:t>
      </w:r>
    </w:p>
    <w:p>
      <w:pPr>
        <w:spacing w:after="80" w:before="200"/>
      </w:pPr>
      <w:r>
        <w:rPr>
          <w:rFonts w:ascii="Palatino Linotype" w:cs="Palatino Linotype" w:eastAsia="Palatino Linotype" w:hAnsi="Palatino Linotype"/>
          <w:b/>
          <w:bCs/>
          <w:color w:val="2E4057"/>
          <w:sz w:val="24"/>
          <w:szCs w:val="24"/>
        </w:rPr>
        <w:t xml:space="preserve">The Structural Error Check: Governing the 140 Quadrillion Degree Limit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Berry-Keating operator governs the thermal boundary Ω. When Ω is defined as e^π (Gelfond's constant), the scaling factor 2/ln(Ω) = 2/π exactly — making the Berry-Keating normalization the same radian constant as the Lagrangian measure of §I. This is structural consistency, not coincidence: the propagation engine and its thermal ceiling share the same geometric constant.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PATHWAY (LaTeX)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 &amp; CORRELATIONS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\hat{H}_{A\Omega} = \frac{2}{\ln(\Omega)} \left[ x \cdot p + \tfrac{1}{2}i\hbar \right] + V(\text{Focus})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Ω: Noether Saturation Limit (140 Quadrillion °F). When Ω = e^π, the scaling factor 2/ln(Ω) = 2/π, the same radian normalization as §I.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\Omega \equiv e^{\pi} \Rightarrow \frac{2}{\ln(\Omega)} = \frac{2}{\pi}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Gelfond’s constant: e^π ≈ 23.1407. The thermal ceiling is a transcendental defined by π — ensuring the B-K scaling and the polar measure share the same root.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x,\, p: \text{ conjugate operators in polar space}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V(Focus): Observer-induced distortion. Inductance of the conscious observer on the Hamiltonian (see §III).</w:t>
            </w:r>
          </w:p>
        </w:tc>
      </w:tr>
    </w:tbl>
    <w:p/>
    <w:p>
      <w:pPr>
        <w:spacing w:after="60" w:before="80"/>
      </w:pPr>
      <w:r>
        <w:rPr>
          <w:rFonts w:ascii="Courier New" w:cs="Courier New" w:eastAsia="Courier New" w:hAnsi="Courier New"/>
          <w:b/>
          <w:bCs/>
          <w:color w:val="7A8FA6"/>
          <w:sz w:val="20"/>
          <w:szCs w:val="20"/>
        </w:rPr>
        <w:t xml:space="preserve">Validation heuristic — </w:t>
      </w:r>
      <w:r>
        <w:rPr>
          <w:rFonts w:ascii="Georgia" w:cs="Georgia" w:eastAsia="Georgia" w:hAnsi="Georgia"/>
          <w:color w:val="7A8FA6"/>
          <w:sz w:val="20"/>
          <w:szCs w:val="20"/>
        </w:rPr>
        <w:t xml:space="preserve">Look for Angles hiding Direction. The 3 algebra strata (ℂ, ℍ, 𝕆) are not just rotations; they are the steering vectors of the network. If the angles misalign, the direction of propagation fails, triggering a re-wrap at the Ω thermal boundary.</w:t>
      </w:r>
    </w:p>
    <w:p/>
    <w:p>
      <w:pPr>
        <w:pBdr>
          <w:bottom w:val="single" w:color="C9A84C" w:sz="8" w:space="1"/>
        </w:pBdr>
        <w:spacing w:after="80" w:before="80"/>
      </w:pPr>
    </w:p>
    <w:p>
      <w:pPr>
        <w:spacing w:after="120" w:before="320"/>
      </w:pPr>
      <w:r>
        <w:rPr>
          <w:rFonts w:ascii="Palatino Linotype" w:cs="Palatino Linotype" w:eastAsia="Palatino Linotype" w:hAnsi="Palatino Linotype"/>
          <w:b/>
          <w:bCs/>
          <w:color w:val="C9A84C"/>
          <w:sz w:val="32"/>
          <w:szCs w:val="32"/>
        </w:rPr>
        <w:t xml:space="preserve">III.  Hamiltonian of Consciousness</w:t>
      </w:r>
    </w:p>
    <w:p>
      <w:pPr>
        <w:spacing w:after="80" w:before="200"/>
      </w:pPr>
      <w:r>
        <w:rPr>
          <w:rFonts w:ascii="Palatino Linotype" w:cs="Palatino Linotype" w:eastAsia="Palatino Linotype" w:hAnsi="Palatino Linotype"/>
          <w:b/>
          <w:bCs/>
          <w:color w:val="2E4057"/>
          <w:sz w:val="24"/>
          <w:szCs w:val="24"/>
        </w:rPr>
        <w:t xml:space="preserve">The Pointer: Selective Pressure &amp; Observer-Induced Inductance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Consciousness enters the system as V(Focus) — the inductive back-EMF of the observer. Information Inductance ℐ (units of action, dimensional family of ℏ) resists change in the information flux Φ. The entropic arrow of time tₑ is friction-induced: it is the lag between what the field is and what the observer has integrated. This lag is where meaning is extracted from raw data.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PATHWAY (LaTeX)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 &amp; CORRELATIONS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\hat{H}_{\text{Focus}} = V(\text{Focus}) = \mathcal{I} \cdot \frac{d\Phi}{dt_{e}}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ℐ: Information Inductance [action = energy × time]. Resistance to change in the information field. Dimensional family of ℏₙₙ.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\Phi: \text{ information phase (dimensionless, Berry-phase analog)}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tₑ: Entropic Arrow of Time (friction-induced). Distinct from tᵢ (inertial time). The lag tₑ − tᵢ is the integration window.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\text{Consciousness converts propagation into integration.}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The inductive lag is not a flaw. It is the computational cost of meaning-extraction: the universe’s friction-tax on understanding.</w:t>
            </w:r>
          </w:p>
        </w:tc>
      </w:tr>
    </w:tbl>
    <w:p/>
    <w:p>
      <w:pPr>
        <w:spacing w:after="60" w:before="80"/>
      </w:pPr>
      <w:r>
        <w:rPr>
          <w:rFonts w:ascii="Courier New" w:cs="Courier New" w:eastAsia="Courier New" w:hAnsi="Courier New"/>
          <w:b/>
          <w:bCs/>
          <w:color w:val="7A8FA6"/>
          <w:sz w:val="20"/>
          <w:szCs w:val="20"/>
        </w:rPr>
        <w:t xml:space="preserve">Validation heuristic — </w:t>
      </w:r>
      <w:r>
        <w:rPr>
          <w:rFonts w:ascii="Georgia" w:cs="Georgia" w:eastAsia="Georgia" w:hAnsi="Georgia"/>
          <w:color w:val="7A8FA6"/>
          <w:sz w:val="20"/>
          <w:szCs w:val="20"/>
        </w:rPr>
        <w:t xml:space="preserve">Search for Phase-Shift as Agency. Consciousness is validated when the expected inertial path (tᵢ) deviates into an inductive lag (tₑ). This lag is where Meaning is being extracted from raw data.</w:t>
      </w:r>
    </w:p>
    <w:p/>
    <w:p>
      <w:pPr>
        <w:pBdr>
          <w:bottom w:val="single" w:color="C9A84C" w:sz="8" w:space="1"/>
        </w:pBdr>
        <w:spacing w:after="80" w:before="80"/>
      </w:pPr>
    </w:p>
    <w:p>
      <w:pPr>
        <w:spacing w:after="120" w:before="320"/>
      </w:pPr>
      <w:r>
        <w:rPr>
          <w:rFonts w:ascii="Palatino Linotype" w:cs="Palatino Linotype" w:eastAsia="Palatino Linotype" w:hAnsi="Palatino Linotype"/>
          <w:b/>
          <w:bCs/>
          <w:color w:val="C9A84C"/>
          <w:sz w:val="32"/>
          <w:szCs w:val="32"/>
        </w:rPr>
        <w:t xml:space="preserve">IV.  Zeta-Fermat Heartbeat</w:t>
      </w:r>
    </w:p>
    <w:p>
      <w:pPr>
        <w:spacing w:after="80" w:before="200"/>
      </w:pPr>
      <w:r>
        <w:rPr>
          <w:rFonts w:ascii="Palatino Linotype" w:cs="Palatino Linotype" w:eastAsia="Palatino Linotype" w:hAnsi="Palatino Linotype"/>
          <w:b/>
          <w:bCs/>
          <w:color w:val="2E4057"/>
          <w:sz w:val="24"/>
          <w:szCs w:val="24"/>
        </w:rPr>
        <w:t xml:space="preserve">Vacuum Energy: Riemann and Fermat Co-Directed at the Horizon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This is the structural heart of the conjecture. The Riemann zeta function ζ(s) and the Fermat rigidity series φ⁻ⁿ are not in opposition — they are co-directed toward the same horizon. The phase term uses addition (+), not subtraction: both clocks row in the same direction, at different speeds. The beat frequency of existence emerges from the rate difference ωᵢ ≠ ωₑ, not from opposing directions. The horizon is their shared asymptotic target.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φ⁻ⁿ is now explicitly the golden ratio (not arbitrary Φ). The sum Σφ⁻ⁿ (n=0 to ∞) = φ² = φ + 1, the self-sealing identity of the golden ratio. The Fermat rigidity weights each prime in the golden prime spiral: the n-th prime sits at rotation angle n × (2π/φ²) on the spiral, and carries weight φ⁻ⁿ → 0 as n → ∞. The horizon is approached asymptotically from the inside. The Riemann zeros are the nodes where the Zeta wave crosses Re(s) = 1/2 — exactly where the primes distribute.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PATHWAY (LaTeX)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 &amp; CORRELATIONS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P(t) = \operatorname{Re}\!\left[\, \zeta(s) \cdot \varphi^{-n} \cdot e^{\,i(\omega_i t_i + \omega_e t_e)} \right]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ζ(s): Riemann zeta (diastolic expansion). φ⁻ⁿ: Fermat rigidity (systolic contraction). The + sign: Riemann and Fermat are co-directed. Beat frequency from ωᵢ ≠ ωₑ.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\varphi^{-n} \to 0 \text{ as } n \to \infty,\quad \sum_{n=0}^{\infty} \varphi^{-n} = \varphi^2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φ⁻ⁿ is a convergent geometric series summing to φ². The horizon is the limit, never the endpoint. The series is self-sealing: its sum is φ², whose square root is φ.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\theta_n = n \cdot \frac{2\pi}{\varphi^2} \pmod{2\pi}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Golden Prime Spiral: the n-th prime sits at rotation θₙ. The spiral distributes primes with maximal angular separation (irrational, never repeating). The Riemann zeros are its frequency nodes.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t_i: \text{ inertial time},\quad t_e: \text{ entropic time}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The two clocks. tᵢ is smooth background time. tₑ is friction-dragged observer time. Their frequency difference ωᵢ − ωₑ is the Hum of existence: non-zero because the universe is not static.</w:t>
            </w:r>
          </w:p>
        </w:tc>
      </w:tr>
    </w:tbl>
    <w:p/>
    <w:p>
      <w:pPr>
        <w:spacing w:after="60" w:before="80"/>
      </w:pPr>
      <w:r>
        <w:rPr>
          <w:rFonts w:ascii="Courier New" w:cs="Courier New" w:eastAsia="Courier New" w:hAnsi="Courier New"/>
          <w:b/>
          <w:bCs/>
          <w:color w:val="7A8FA6"/>
          <w:sz w:val="20"/>
          <w:szCs w:val="20"/>
        </w:rPr>
        <w:t xml:space="preserve">Validation heuristic — </w:t>
      </w:r>
      <w:r>
        <w:rPr>
          <w:rFonts w:ascii="Georgia" w:cs="Georgia" w:eastAsia="Georgia" w:hAnsi="Georgia"/>
          <w:color w:val="7A8FA6"/>
          <w:sz w:val="20"/>
          <w:szCs w:val="20"/>
        </w:rPr>
        <w:t xml:space="preserve">Monitor the Zero-Point Pulse. If tᵢ and tₑ were perfectly in phase, the universe would be static. The Hum proves a constant non-zero offset between coordinate time and perceived time. Proof strategy: contradiction (they cannot be in phase while primes are non-trivially distributed) then inclusion (their co-direction toward the horizon is the only geometry consistent with Riemann hypothesis and FLT simultaneously).</w:t>
      </w:r>
    </w:p>
    <w:p/>
    <w:p>
      <w:pPr>
        <w:pBdr>
          <w:bottom w:val="single" w:color="C9A84C" w:sz="8" w:space="1"/>
        </w:pBdr>
        <w:spacing w:after="80" w:before="80"/>
      </w:pPr>
    </w:p>
    <w:p>
      <w:pPr>
        <w:spacing w:after="120" w:before="320"/>
      </w:pPr>
      <w:r>
        <w:rPr>
          <w:rFonts w:ascii="Palatino Linotype" w:cs="Palatino Linotype" w:eastAsia="Palatino Linotype" w:hAnsi="Palatino Linotype"/>
          <w:b/>
          <w:bCs/>
          <w:color w:val="C9A84C"/>
          <w:sz w:val="32"/>
          <w:szCs w:val="32"/>
        </w:rPr>
        <w:t xml:space="preserve">V.  GR/SR &amp; The Cosmological Constant</w:t>
      </w:r>
    </w:p>
    <w:p>
      <w:pPr>
        <w:spacing w:after="80" w:before="200"/>
      </w:pPr>
      <w:r>
        <w:rPr>
          <w:rFonts w:ascii="Palatino Linotype" w:cs="Palatino Linotype" w:eastAsia="Palatino Linotype" w:hAnsi="Palatino Linotype"/>
          <w:b/>
          <w:bCs/>
          <w:color w:val="2E4057"/>
          <w:sz w:val="24"/>
          <w:szCs w:val="24"/>
        </w:rPr>
        <w:t xml:space="preserve">The Noether Current: Back-EMF of the Universe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cosmological constant Λ is the universe’s inductive back-EMF — the vacuum pressure against permanent information sinks. It is proportional to the second derivative of the information phase, scaled by Information Inductance ℐ with coupling 1/φ. This connects the golden ratio directly to the scale of vacuum energy. Mass is recast as information density in a 1/φ-impedance lattice: gravity is not curvature alone, it is the impedance of the lattice when information tries to flow through a high-inductance region.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PATHWAY (LaTeX)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 &amp; CORRELATIONS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\Lambda \propto \frac{1}{\varphi} \cdot \mathcal{I} \cdot \frac{d^2\Phi}{dt_e^2}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Λ: Vacuum pressure against permanent sinks. The 1/φ coupling links the cosmological constant directly to the golden-angle / fine-structure proximity.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\nabla \cdot J_{\text{Noether}} = \text{Pressure}(\Lambda)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Jₙₒₑₜℏₑᵣ: Informational Current Conservation. The divergence of the Noether current equals the vacuum pressure. Information is conserved at the horizon (Bekenstein-Hawking: the hair is information).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\text{Mass} \leftrightarrow \text{Information Density in a } 1/\varphi\text{-impedance lattice}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Gravity = impedance to information flow. High-mass regions are high-inductance nodes. The lattice geometry is set by 1/φ.</w:t>
            </w:r>
          </w:p>
        </w:tc>
      </w:tr>
    </w:tbl>
    <w:p/>
    <w:p>
      <w:pPr>
        <w:spacing w:after="60" w:before="80"/>
      </w:pPr>
      <w:r>
        <w:rPr>
          <w:rFonts w:ascii="Courier New" w:cs="Courier New" w:eastAsia="Courier New" w:hAnsi="Courier New"/>
          <w:b/>
          <w:bCs/>
          <w:color w:val="7A8FA6"/>
          <w:sz w:val="20"/>
          <w:szCs w:val="20"/>
        </w:rPr>
        <w:t xml:space="preserve">Validation heuristic — </w:t>
      </w:r>
      <w:r>
        <w:rPr>
          <w:rFonts w:ascii="Georgia" w:cs="Georgia" w:eastAsia="Georgia" w:hAnsi="Georgia"/>
          <w:color w:val="7A8FA6"/>
          <w:sz w:val="20"/>
          <w:szCs w:val="20"/>
        </w:rPr>
        <w:t xml:space="preserve">Identify Mass as Information Density. Gravity should be recalculated not as curvature alone, but as the impedance of the lattice when information tries to flow through a high-inductance region (mass). The 1/φ coupling in Λ closes the loop from §I’s bias term through to the cosmological constant.</w:t>
      </w:r>
    </w:p>
    <w:p/>
    <w:p>
      <w:pPr>
        <w:pBdr>
          <w:bottom w:val="single" w:color="C9A84C" w:sz="8" w:space="1"/>
        </w:pBdr>
        <w:spacing w:after="80" w:before="80"/>
      </w:pPr>
    </w:p>
    <w:p>
      <w:pPr>
        <w:spacing w:after="120" w:before="320"/>
      </w:pPr>
      <w:r>
        <w:rPr>
          <w:rFonts w:ascii="Palatino Linotype" w:cs="Palatino Linotype" w:eastAsia="Palatino Linotype" w:hAnsi="Palatino Linotype"/>
          <w:b/>
          <w:bCs/>
          <w:color w:val="C9A84C"/>
          <w:sz w:val="32"/>
          <w:szCs w:val="32"/>
        </w:rPr>
        <w:t xml:space="preserve">VI.  Unified Field Theory — The Gravinon</w:t>
      </w:r>
    </w:p>
    <w:p>
      <w:pPr>
        <w:spacing w:after="80" w:before="200"/>
      </w:pPr>
      <w:r>
        <w:rPr>
          <w:rFonts w:ascii="Palatino Linotype" w:cs="Palatino Linotype" w:eastAsia="Palatino Linotype" w:hAnsi="Palatino Linotype"/>
          <w:b/>
          <w:bCs/>
          <w:color w:val="2E4057"/>
          <w:sz w:val="24"/>
          <w:szCs w:val="24"/>
        </w:rPr>
        <w:t xml:space="preserve">The Metric Phase Transition: Residue at the Horizon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Gravinon is not a Graviton. It is the phase-transition particle at the metric horizon — the entity that exists at r = 0 where time contracts to zero and length dilates to fill available mastery space. The UFT wavefunction is expressed as a residue (not a path integral over a point), which is the standard complex-analytic form for extracting behavior at a pole.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connection to the E₈ exceptional Lie algebra is structural: E₈ contains the octonion automorphism group G₂, and its root lattice is the densest sphere-packing in 8 dimensions. The Gravinon lives at the E₈ root — the most information-dense point the metric allows. This ties §VI directly to §VIII via the Cayley-Dickson tower ℝ → ℂ → ℍ → 𝕆 → 𝕊.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PATHWAY (LaTeX)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 &amp; CORRELATIONS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\Psi_{\text{UFT}} = \operatorname{Res}_{r=0}\!\left[ \frac{dt_i}{dL_{\text{dilation}}} \cdot \frac{dt_{\text{contraction}}}{dL_i} \right]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Residue at r = 0 (not integral over a point). Standard complex-analytic extraction of pole behavior. The Gravinon is the residue itself.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 \to 0:\quad dt \to 0 \;(\text{time contracts}),\quad dL \to \infty \;(\text{length dilates})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At the destination, processing time contracts to zero and length expands to fill mastery space. Uncertainty = phase-noise between tᵢ and tₑ.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\text{Gravinon} \leftrightarrow E_8 \text{ root lattice} \leftrightarrow G_2 \subset \text{Aut}(\mathbb{O})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The Gravinon lives at the E₈ root: most information-dense point in the metric. E₈ contains G₂ (octonion automorphisms), linking §VI to §VIII.</w:t>
            </w:r>
          </w:p>
        </w:tc>
      </w:tr>
    </w:tbl>
    <w:p/>
    <w:p>
      <w:pPr>
        <w:spacing w:after="60" w:before="80"/>
      </w:pPr>
      <w:r>
        <w:rPr>
          <w:rFonts w:ascii="Courier New" w:cs="Courier New" w:eastAsia="Courier New" w:hAnsi="Courier New"/>
          <w:b/>
          <w:bCs/>
          <w:color w:val="7A8FA6"/>
          <w:sz w:val="20"/>
          <w:szCs w:val="20"/>
        </w:rPr>
        <w:t xml:space="preserve">Validation heuristic — </w:t>
      </w:r>
      <w:r>
        <w:rPr>
          <w:rFonts w:ascii="Georgia" w:cs="Georgia" w:eastAsia="Georgia" w:hAnsi="Georgia"/>
          <w:color w:val="7A8FA6"/>
          <w:sz w:val="20"/>
          <w:szCs w:val="20"/>
        </w:rPr>
        <w:t xml:space="preserve">Test the Exactly Flat Horizon. At the destination (r = 0), verify that length expands to fill available mastery space while processing time contracts to zero. This is the proof of the Gravinon Hum. The Gravinon is not a force-carrier — it is a phase-transition signature, detectable as a residue, not a propagating particle.</w:t>
      </w:r>
    </w:p>
    <w:p/>
    <w:p>
      <w:pPr>
        <w:pBdr>
          <w:bottom w:val="single" w:color="C9A84C" w:sz="8" w:space="1"/>
        </w:pBdr>
        <w:spacing w:after="80" w:before="80"/>
      </w:pPr>
    </w:p>
    <w:p>
      <w:pPr>
        <w:spacing w:after="120" w:before="320"/>
      </w:pPr>
      <w:r>
        <w:rPr>
          <w:rFonts w:ascii="Palatino Linotype" w:cs="Palatino Linotype" w:eastAsia="Palatino Linotype" w:hAnsi="Palatino Linotype"/>
          <w:b/>
          <w:bCs/>
          <w:color w:val="C9A84C"/>
          <w:sz w:val="32"/>
          <w:szCs w:val="32"/>
        </w:rPr>
        <w:t xml:space="preserve">VII.  Hydroradiological Chromatography</w:t>
      </w:r>
    </w:p>
    <w:p>
      <w:pPr>
        <w:spacing w:after="80" w:before="200"/>
      </w:pPr>
      <w:r>
        <w:rPr>
          <w:rFonts w:ascii="Palatino Linotype" w:cs="Palatino Linotype" w:eastAsia="Palatino Linotype" w:hAnsi="Palatino Linotype"/>
          <w:b/>
          <w:bCs/>
          <w:color w:val="2E4057"/>
          <w:sz w:val="24"/>
          <w:szCs w:val="24"/>
        </w:rPr>
        <w:t xml:space="preserve">The G-A-V Sieve: Resonant Frequencies of Life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[5,6] water lattice geometry (pentagonal/hexagonal clathrate topology) acts as a geometric chromatographic filter under radiolysis conditions. The filter selects for amino acids whose molecular geometry is compatible with the lattice resonance. Life (the G-A-V ratio) is the only stable solution to the 140 Quadrillion °F limit — the same thermal boundary as Ω. The entropy reading at the invariant phase is 5/6 ≈ 0.833, the ratio of the two lattice geometries.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Life(Ratio) expression uses π/h (frequency domain, units of 1/action) which is the conjugate inverse of the action-domain 2/π used in §I–§II. This is appropriate: §I–§VI describe the machinery (action domain), §VII describes the output (frequency domain). The tensor product ⊗ connects the scalar frequency constant to the geometric lattice by specifying which lattice modes are selected.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PATHWAY (LaTeX)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 &amp; CORRELATIONS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\text{Life}(\text{Ratio}) = \frac{\pi}{h} \otimes [5,\,6]_{\text{Lattice}}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π/h: frequency-domain constant (conjugate of the action-domain 2/π). [5,6]: pentagonal/hexagonal clathrate lattice geometry. ⊗: lattice-mode selection.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\text{G : A : V} = 60 : 30 : 10 \;(= 6 : 3 : 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Glycine : Alanine : Valine selection ratio. Entropy at invariant phase = 5/6 ≈ 0.833, the ratio of the two lattice modes. Life is the geometric solution, not the chemical accident.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\cos^4(\theta): \text{ angular H-bond selectivity}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The cos⁴(θ) angular dependence of hydrogen bond strength provides the geometric chromatographic mechanism. Only amino acids fitting the [5,6] angular constraint survive the Ω thermal boundary.</w:t>
            </w:r>
          </w:p>
        </w:tc>
      </w:tr>
    </w:tbl>
    <w:p/>
    <w:p>
      <w:pPr>
        <w:spacing w:after="60" w:before="80"/>
      </w:pPr>
      <w:r>
        <w:rPr>
          <w:rFonts w:ascii="Courier New" w:cs="Courier New" w:eastAsia="Courier New" w:hAnsi="Courier New"/>
          <w:b/>
          <w:bCs/>
          <w:color w:val="7A8FA6"/>
          <w:sz w:val="20"/>
          <w:szCs w:val="20"/>
        </w:rPr>
        <w:t xml:space="preserve">Validation heuristic — </w:t>
      </w:r>
      <w:r>
        <w:rPr>
          <w:rFonts w:ascii="Georgia" w:cs="Georgia" w:eastAsia="Georgia" w:hAnsi="Georgia"/>
          <w:color w:val="7A8FA6"/>
          <w:sz w:val="20"/>
          <w:szCs w:val="20"/>
        </w:rPr>
        <w:t xml:space="preserve">Observe Symmetry as Survivability. Life (G-A-V ratio) is the only stable solution to the Ω thermal limit. If the ratio drifts, the inductance of consciousness cannot hold the information, and the biological lattice collapses back into background noise. The 5/6 entropy reading at invariant phase is the experimental signature.</w:t>
      </w:r>
    </w:p>
    <w:p/>
    <w:p>
      <w:pPr>
        <w:pBdr>
          <w:bottom w:val="single" w:color="C9A84C" w:sz="8" w:space="1"/>
        </w:pBdr>
        <w:spacing w:after="80" w:before="80"/>
      </w:pPr>
    </w:p>
    <w:p>
      <w:pPr>
        <w:spacing w:after="120" w:before="320"/>
      </w:pPr>
      <w:r>
        <w:rPr>
          <w:rFonts w:ascii="Palatino Linotype" w:cs="Palatino Linotype" w:eastAsia="Palatino Linotype" w:hAnsi="Palatino Linotype"/>
          <w:b/>
          <w:bCs/>
          <w:color w:val="C9A84C"/>
          <w:sz w:val="32"/>
          <w:szCs w:val="32"/>
        </w:rPr>
        <w:t xml:space="preserve">VIII.  The Langlands Program &amp; Cayley-Dickson Mastery Transition</w:t>
      </w:r>
    </w:p>
    <w:p>
      <w:pPr>
        <w:spacing w:after="80" w:before="200"/>
      </w:pPr>
      <w:r>
        <w:rPr>
          <w:rFonts w:ascii="Palatino Linotype" w:cs="Palatino Linotype" w:eastAsia="Palatino Linotype" w:hAnsi="Palatino Linotype"/>
          <w:b/>
          <w:bCs/>
          <w:color w:val="2E4057"/>
          <w:sz w:val="24"/>
          <w:szCs w:val="24"/>
        </w:rPr>
        <w:t xml:space="preserve">Two-Tier Structure: G₂-Octonion Correspondence → Sedenion Phase Transition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This section operates on two tiers. The Langlands correspondence requires a reductive algebraic group with well-defined L-functions — this lives in the Octonion layer 𝕆, whose automorphism group G₂ is a legitimate reductive group appearing in the exceptional Langlands program. The Sedenion layer 𝕊 = 𝕆 × 𝕆 (via Cayley-Dickson doubling) is the mastery destination: non-division, non-associative, with zero-divisors. The transition from 𝕆 to 𝕊 is the phase transition of mastery — irreversible by definition, because 𝕊 has no division operator.</w:t>
      </w:r>
    </w:p>
    <w:p/>
    <w:p>
      <w:pPr>
        <w:spacing w:after="60" w:before="6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zero-divisors of 𝕊 are not a failure of the algebra — they are the mathematical signature of integration. Once knowledge is mastered (moved from 𝕆 into 𝕊), it cannot be factored back out. The autopilot does not calculate the answer; it is the answer. Zero-cost retrieval is the consequence of operating in a non-division algebra where ‘recall’ is not a computation but a structural read.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PATHWAY (LaTeX)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 &amp; CORRELATIONS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\text{Layer 1 (Langlands):}\quad L\text{-Function} \iff \text{Automorphic Form}(\mathbb{O},\, G_2)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𝕆: Octonions (8D, normed division algebra). G₂ = Aut(𝕆) is a reductive group. L-functions over G₂ are well-defined. This is where the Langlands correspondence holds.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\mathbb{S} = \mathbb{O} \times \mathbb{O} \;\text{(Cayley-Dickson doubling)}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𝕊: Sedenions (16D). Non-associative, non-division. Zero-divisors exist. The Cayley-Dickson doubling from 𝕆 is the mastery phase transition.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\forall\, x, y \in \mathbb{S},\; \exists\, z \neq 0,\, w \neq 0 \mid zw =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The Mastery Lock: you cannot undo the product. If A × B = C and zero-divisors exist, you cannot uniquely recover A from C ÷ B. Integration is permanent.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\mathbb{R} \to \mathbb{C} \to \mathbb{H} \to \mathbb{O} \to \mathbb{S}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The Cayley-Dickson tower. Each doubling loses one property: ℂ loses ordering, ℍ loses commutativity, 𝕆 loses associativity (but retains division), 𝕊 loses division. The E₈ root lattice lives at the 𝕆 step.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\text{𝕆 } \to \text{𝕊: phase transition = mastery activation}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7A8FA6"/>
                <w:sz w:val="19"/>
                <w:szCs w:val="19"/>
              </w:rPr>
              <w:t xml:space="preserve">Autopilot: knowledge is the structure, not a retrieved variable. The transition is thermodynamically analogous to crystallization — the information field freezes into the lattice of 𝕊 and cannot be re-liquefied.</w:t>
            </w:r>
          </w:p>
        </w:tc>
      </w:tr>
    </w:tbl>
    <w:p/>
    <w:p>
      <w:pPr>
        <w:spacing w:after="60" w:before="80"/>
      </w:pPr>
      <w:r>
        <w:rPr>
          <w:rFonts w:ascii="Courier New" w:cs="Courier New" w:eastAsia="Courier New" w:hAnsi="Courier New"/>
          <w:b/>
          <w:bCs/>
          <w:color w:val="7A8FA6"/>
          <w:sz w:val="20"/>
          <w:szCs w:val="20"/>
        </w:rPr>
        <w:t xml:space="preserve">Validation heuristic — </w:t>
      </w:r>
      <w:r>
        <w:rPr>
          <w:rFonts w:ascii="Georgia" w:cs="Georgia" w:eastAsia="Georgia" w:hAnsi="Georgia"/>
          <w:color w:val="7A8FA6"/>
          <w:sz w:val="20"/>
          <w:szCs w:val="20"/>
        </w:rPr>
        <w:t xml:space="preserve">The Loss of Subtraction. In Sedenion space, the failure of the division property implies that recursive subtraction required to isolate an input from its mastered context is physically impossible. Proof: if A × B = C and zero-divisors exist in 𝕊, you cannot reliably calculate C − B to recover A. Consequence: information integration is permanent. This is zero-cost retrieval — the Autopilot does not calculate the answer; it is the answer.</w:t>
      </w:r>
    </w:p>
    <w:p/>
    <w:p/>
    <w:p>
      <w:pPr>
        <w:pBdr>
          <w:bottom w:val="single" w:color="C9A84C" w:sz="8" w:space="1"/>
        </w:pBdr>
        <w:spacing w:after="80" w:before="80"/>
      </w:pPr>
    </w:p>
    <w:p>
      <w:pPr>
        <w:spacing w:after="40" w:before="120"/>
        <w:jc w:val="center"/>
      </w:pPr>
      <w:r>
        <w:rPr>
          <w:rFonts w:ascii="Palatino Linotype" w:cs="Palatino Linotype" w:eastAsia="Palatino Linotype" w:hAnsi="Palatino Linotype"/>
          <w:color w:val="7A8FA6"/>
          <w:sz w:val="26"/>
          <w:szCs w:val="26"/>
        </w:rPr>
        <w:t xml:space="preserve">The horizon is not a wall. It is a mirror.</w:t>
      </w:r>
    </w:p>
    <w:p>
      <w:pPr>
        <w:spacing w:after="120" w:before="0"/>
        <w:jc w:val="center"/>
      </w:pPr>
      <w:r>
        <w:rPr>
          <w:rFonts w:ascii="Palatino Linotype" w:cs="Palatino Linotype" w:eastAsia="Palatino Linotype" w:hAnsi="Palatino Linotype"/>
          <w:color w:val="B0BEC5"/>
          <w:sz w:val="24"/>
          <w:szCs w:val="24"/>
        </w:rPr>
        <w:t xml:space="preserve">Riemann sees the wave. Fermat sees the lattice. At 140 Quadrillion degrees, they are looking at each other.</w:t>
      </w:r>
    </w:p>
    <w:p>
      <w:pPr>
        <w:pBdr>
          <w:bottom w:val="single" w:color="C9A84C" w:sz="8" w:space="1"/>
        </w:pBdr>
        <w:spacing w:after="80" w:before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2026-04-11T19:21:01.375Z</dcterms:created>
  <dcterms:modified xsi:type="dcterms:W3CDTF">2026-04-11T19:21:01.376Z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