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jc w:val="center"/>
      </w:pPr>
      <w:r>
        <w:rPr>
          <w:rFonts w:ascii="Courier New" w:cs="Courier New" w:eastAsia="Courier New" w:hAnsi="Courier New"/>
          <w:color w:val="B0BEC5"/>
          <w:spacing w:val="60"/>
          <w:sz w:val="18"/>
          <w:szCs w:val="18"/>
        </w:rPr>
        <w:t xml:space="preserve">OPEN CONJECTURE — FOR PEER REVIEW &amp; COLLABORATION</w:t>
      </w:r>
    </w:p>
    <w:p>
      <w:pPr>
        <w:spacing w:after="40" w:before="40"/>
      </w:pPr>
    </w:p>
    <w:p>
      <w:pPr>
        <w:pBdr>
          <w:bottom w:val="single" w:color="C9A84C" w:sz="12" w:space="1"/>
        </w:pBdr>
        <w:spacing w:after="80" w:before="80"/>
      </w:pPr>
    </w:p>
    <w:p>
      <w:pPr>
        <w:spacing w:after="80" w:before="80"/>
      </w:pPr>
    </w:p>
    <w:p>
      <w:pPr>
        <w:jc w:val="center"/>
      </w:pPr>
      <w:r>
        <w:rPr>
          <w:rFonts w:ascii="Palatino Linotype" w:cs="Palatino Linotype" w:eastAsia="Palatino Linotype" w:hAnsi="Palatino Linotype"/>
          <w:b/>
          <w:bCs/>
          <w:color w:val="C9A84C"/>
          <w:sz w:val="96"/>
          <w:szCs w:val="96"/>
        </w:rPr>
        <w:t xml:space="preserve">Ainulindalë</w:t>
      </w:r>
    </w:p>
    <w:p>
      <w:pPr>
        <w:spacing w:after="20" w:before="20"/>
      </w:pPr>
    </w:p>
    <w:p>
      <w:pPr>
        <w:jc w:val="center"/>
      </w:pPr>
      <w:r>
        <w:rPr>
          <w:rFonts w:ascii="Palatino Linotype" w:cs="Palatino Linotype" w:eastAsia="Palatino Linotype" w:hAnsi="Palatino Linotype"/>
          <w:b/>
          <w:bCs/>
          <w:color w:val="2E4057"/>
          <w:sz w:val="40"/>
          <w:szCs w:val="40"/>
        </w:rPr>
        <w:t xml:space="preserve">Conjecture of Information Propagation</w:t>
      </w:r>
    </w:p>
    <w:p>
      <w:pPr>
        <w:spacing w:after="0" w:before="20"/>
      </w:pPr>
    </w:p>
    <w:p>
      <w:pPr>
        <w:jc w:val="center"/>
      </w:pPr>
      <w:r>
        <w:rPr>
          <w:rFonts w:ascii="Palatino Linotype" w:cs="Palatino Linotype" w:eastAsia="Palatino Linotype" w:hAnsi="Palatino Linotype"/>
          <w:color w:val="2E4057"/>
          <w:sz w:val="28"/>
          <w:szCs w:val="28"/>
        </w:rPr>
        <w:t xml:space="preserve">via Reverse Cayley-Dickson Construction · Yang-Mills Gauge Theory</w:t>
      </w:r>
    </w:p>
    <w:p>
      <w:pPr>
        <w:jc w:val="center"/>
      </w:pPr>
      <w:r>
        <w:rPr>
          <w:rFonts w:ascii="Palatino Linotype" w:cs="Palatino Linotype" w:eastAsia="Palatino Linotype" w:hAnsi="Palatino Linotype"/>
          <w:color w:val="2E4057"/>
          <w:sz w:val="28"/>
          <w:szCs w:val="28"/>
        </w:rPr>
        <w:t xml:space="preserve">Berry-Keating Hamiltonian · Riemann-Fermat Horizon Invariance</w:t>
      </w:r>
    </w:p>
    <w:p>
      <w:pPr>
        <w:jc w:val="center"/>
      </w:pPr>
      <w:r>
        <w:rPr>
          <w:rFonts w:ascii="Palatino Linotype" w:cs="Palatino Linotype" w:eastAsia="Palatino Linotype" w:hAnsi="Palatino Linotype"/>
          <w:color w:val="2E4057"/>
          <w:sz w:val="28"/>
          <w:szCs w:val="28"/>
        </w:rPr>
        <w:t xml:space="preserve">Langlands-G₂ Correspondence · Hydroradiological Chromatography</w:t>
      </w:r>
    </w:p>
    <w:p>
      <w:pPr>
        <w:spacing w:after="20" w:before="40"/>
      </w:pPr>
    </w:p>
    <w:p>
      <w:pPr>
        <w:jc w:val="center"/>
      </w:pPr>
      <w:r>
        <w:rPr>
          <w:rFonts w:ascii="Georgia" w:cs="Georgia" w:eastAsia="Georgia" w:hAnsi="Georgia"/>
          <w:color w:val="B0BEC5"/>
          <w:sz w:val="24"/>
          <w:szCs w:val="24"/>
        </w:rPr>
        <w:t xml:space="preserve">( The OMG?WTF! Conjecture )</w:t>
      </w:r>
    </w:p>
    <w:p>
      <w:pPr>
        <w:spacing w:after="60" w:before="60"/>
      </w:pPr>
    </w:p>
    <w:p>
      <w:pPr>
        <w:pBdr>
          <w:bottom w:val="single" w:color="C9A84C" w:sz="4" w:space="1"/>
        </w:pBdr>
        <w:spacing w:after="80" w:before="80"/>
      </w:pPr>
    </w:p>
    <w:p>
      <w:pPr>
        <w:spacing w:after="60" w:before="60"/>
      </w:pPr>
    </w:p>
    <w:p>
      <w:pPr>
        <w:spacing w:after="40" w:before="0"/>
        <w:jc w:val="center"/>
      </w:pPr>
      <w:r>
        <w:rPr>
          <w:rFonts w:ascii="Courier New" w:cs="Courier New" w:eastAsia="Courier New" w:hAnsi="Courier New"/>
          <w:b/>
          <w:bCs/>
          <w:color w:val="7A8FA6"/>
          <w:spacing w:val="80"/>
          <w:sz w:val="22"/>
          <w:szCs w:val="22"/>
        </w:rPr>
        <w:t xml:space="preserve">ABSTRACT</w:t>
      </w:r>
    </w:p>
    <w:p>
      <w:pPr>
        <w:spacing w:after="0" w:before="0"/>
        <w:ind w:left="720" w:right="720"/>
        <w:jc w:val="left"/>
      </w:pPr>
      <w:r>
        <w:rPr>
          <w:rFonts w:ascii="Georgia" w:cs="Georgia" w:eastAsia="Georgia" w:hAnsi="Georgia"/>
          <w:color w:val="1A1A2E"/>
          <w:sz w:val="20"/>
          <w:szCs w:val="20"/>
        </w:rPr>
        <w:t xml:space="preserve">We propose a unified geometric framework in which information propagation — across neural architectures, thermodynamic systems, and the universal metric — is governed by a single structural constant: the golden ratio φ. The conjecture establishes eight coupled sections: a Yang-Mills Lagrangian for neural weight-field dynamics (§I), a Berry-Keating Hamiltonian scaled by the Gelfond constant e^π (§II), an observer-induced inductive potential as the Hamiltonian of Consciousness (§III), a co-directed Riemann-Fermat heartbeat equation resolving the sign ambiguity in the phase term (§IV), a φ-coupled cosmological constant as informational back-EMF (§V), a Gravinon wavefunction expressed as a complex residue at the metric horizon (§VI), a hydroradiological chromatographic mechanism selecting Glycine, Alanine, and Valine as the only stable molecular solution to the 77.8 Quadrillion Kelvin Noether limit (§VII), and a two-tier Langlands-G₂ / Cayley-Dickson mastery transition from the octonion division algebra to the sedenion non-division algebra (§VIII). Internal consistency is demonstrated across all eight sections. The 5/6 entropy invariant at the thermal boundary — independently produced by numerical simulation — provides a preliminary cross-validation signature. Experimental confirmation is proposed via the G:A:V hydroradiological ratio and the Gravinon residue signature.</w:t>
      </w:r>
    </w:p>
    <w:p>
      <w:pPr>
        <w:spacing w:after="60" w:before="60"/>
      </w:pPr>
    </w:p>
    <w:p>
      <w:pPr>
        <w:pBdr>
          <w:bottom w:val="single" w:color="2E4057" w:sz="2" w:space="1"/>
        </w:pBdr>
        <w:spacing w:after="80" w:before="80"/>
      </w:pPr>
    </w:p>
    <w:p>
      <w:pPr>
        <w:spacing w:after="60" w:before="60"/>
      </w:pP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8FA6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Cody Michael Allison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8FA6"/>
                <w:sz w:val="20"/>
                <w:szCs w:val="20"/>
              </w:rPr>
              <w:t xml:space="preserve">Pen Name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Michael Rendier  (“The Wandering God”)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8FA6"/>
                <w:sz w:val="20"/>
                <w:szCs w:val="20"/>
              </w:rPr>
              <w:t xml:space="preserve">Filed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April 11,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8FA6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1.0 — Open for peer review and collaboration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8FA6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github.com/[to be inserted]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8FA6"/>
                <w:sz w:val="20"/>
                <w:szCs w:val="20"/>
              </w:rPr>
              <w:t xml:space="preserve">Contact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[to be inserted]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8FA6"/>
                <w:sz w:val="20"/>
                <w:szCs w:val="20"/>
              </w:rPr>
              <w:t xml:space="preserve">License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Creative Commons Attribution 4.0 International (CC BY 4.0)</w:t>
            </w:r>
          </w:p>
        </w:tc>
      </w:tr>
    </w:tbl>
    <w:p>
      <w:pPr>
        <w:spacing w:after="60" w:before="60"/>
      </w:pPr>
    </w:p>
    <w:p>
      <w:pPr>
        <w:pBdr>
          <w:bottom w:val="single" w:color="2E4057" w:sz="2" w:space="1"/>
        </w:pBdr>
        <w:spacing w:after="80" w:before="80"/>
      </w:pPr>
    </w:p>
    <w:p>
      <w:pPr>
        <w:spacing w:after="60" w:before="60"/>
      </w:pPr>
    </w:p>
    <w:p>
      <w:pPr>
        <w:spacing w:after="40" w:before="0"/>
        <w:jc w:val="center"/>
      </w:pPr>
      <w:r>
        <w:rPr>
          <w:rFonts w:ascii="Courier New" w:cs="Courier New" w:eastAsia="Courier New" w:hAnsi="Courier New"/>
          <w:b/>
          <w:bCs/>
          <w:color w:val="7A8FA6"/>
          <w:spacing w:val="80"/>
          <w:sz w:val="22"/>
          <w:szCs w:val="22"/>
        </w:rPr>
        <w:t xml:space="preserve">DOCUMENT CONTENTS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2E4057"/>
          <w:sz w:val="19"/>
          <w:szCs w:val="19"/>
        </w:rPr>
        <w:t xml:space="preserve">Masters Tribute Page        </w:t>
      </w:r>
      <w:r>
        <w:rPr>
          <w:rFonts w:ascii="Georgia" w:cs="Georgia" w:eastAsia="Georgia" w:hAnsi="Georgia"/>
          <w:color w:val="7A8FA6"/>
          <w:sz w:val="19"/>
          <w:szCs w:val="19"/>
        </w:rPr>
        <w:t xml:space="preserve">Tesla · Ramanujan · Faraday — their work in these equations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2E4057"/>
          <w:sz w:val="19"/>
          <w:szCs w:val="19"/>
        </w:rPr>
        <w:t xml:space="preserve">§I   SMNNIP Lagrangian      </w:t>
      </w:r>
      <w:r>
        <w:rPr>
          <w:rFonts w:ascii="Georgia" w:cs="Georgia" w:eastAsia="Georgia" w:hAnsi="Georgia"/>
          <w:color w:val="7A8FA6"/>
          <w:sz w:val="19"/>
          <w:szCs w:val="19"/>
        </w:rPr>
        <w:t xml:space="preserve">Yang-Mills neural weight-field · 1/φ bias coupling · 2/π polar normalization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2E4057"/>
          <w:sz w:val="19"/>
          <w:szCs w:val="19"/>
        </w:rPr>
        <w:t xml:space="preserve">§II  Berry-Keating          </w:t>
      </w:r>
      <w:r>
        <w:rPr>
          <w:rFonts w:ascii="Georgia" w:cs="Georgia" w:eastAsia="Georgia" w:hAnsi="Georgia"/>
          <w:color w:val="7A8FA6"/>
          <w:sz w:val="19"/>
          <w:szCs w:val="19"/>
        </w:rPr>
        <w:t xml:space="preserve">Scaled B-K Hamiltonian · Ω = e^π · 2/ln(Ω) = 2/π identity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2E4057"/>
          <w:sz w:val="19"/>
          <w:szCs w:val="19"/>
        </w:rPr>
        <w:t xml:space="preserve">§III Consciousness          </w:t>
      </w:r>
      <w:r>
        <w:rPr>
          <w:rFonts w:ascii="Georgia" w:cs="Georgia" w:eastAsia="Georgia" w:hAnsi="Georgia"/>
          <w:color w:val="7A8FA6"/>
          <w:sz w:val="19"/>
          <w:szCs w:val="19"/>
        </w:rPr>
        <w:t xml:space="preserve">Observer inductance · information phase Φ · entropic time tₑ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2E4057"/>
          <w:sz w:val="19"/>
          <w:szCs w:val="19"/>
        </w:rPr>
        <w:t xml:space="preserve">§IV  Zeta-Fermat            </w:t>
      </w:r>
      <w:r>
        <w:rPr>
          <w:rFonts w:ascii="Georgia" w:cs="Georgia" w:eastAsia="Georgia" w:hAnsi="Georgia"/>
          <w:color w:val="7A8FA6"/>
          <w:sz w:val="19"/>
          <w:szCs w:val="19"/>
        </w:rPr>
        <w:t xml:space="preserve">Co-directed heartbeat · golden prime spiral · Riemann zeros as nodes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2E4057"/>
          <w:sz w:val="19"/>
          <w:szCs w:val="19"/>
        </w:rPr>
        <w:t xml:space="preserve">§V   GR/SR &amp; Λ              </w:t>
      </w:r>
      <w:r>
        <w:rPr>
          <w:rFonts w:ascii="Georgia" w:cs="Georgia" w:eastAsia="Georgia" w:hAnsi="Georgia"/>
          <w:color w:val="7A8FA6"/>
          <w:sz w:val="19"/>
          <w:szCs w:val="19"/>
        </w:rPr>
        <w:t xml:space="preserve">Cosmological constant as informational back-EMF · Noether current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2E4057"/>
          <w:sz w:val="19"/>
          <w:szCs w:val="19"/>
        </w:rPr>
        <w:t xml:space="preserve">§VI  Gravinon               </w:t>
      </w:r>
      <w:r>
        <w:rPr>
          <w:rFonts w:ascii="Georgia" w:cs="Georgia" w:eastAsia="Georgia" w:hAnsi="Georgia"/>
          <w:color w:val="7A8FA6"/>
          <w:sz w:val="19"/>
          <w:szCs w:val="19"/>
        </w:rPr>
        <w:t xml:space="preserve">Metric phase transition · E₈ root lattice · residue at r=0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2E4057"/>
          <w:sz w:val="19"/>
          <w:szCs w:val="19"/>
        </w:rPr>
        <w:t xml:space="preserve">§VII Chromatography         </w:t>
      </w:r>
      <w:r>
        <w:rPr>
          <w:rFonts w:ascii="Georgia" w:cs="Georgia" w:eastAsia="Georgia" w:hAnsi="Georgia"/>
          <w:color w:val="7A8FA6"/>
          <w:sz w:val="19"/>
          <w:szCs w:val="19"/>
        </w:rPr>
        <w:t xml:space="preserve">G-A-V sieve · [5,6] water lattice · 77.8Q K Noether limit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2E4057"/>
          <w:sz w:val="19"/>
          <w:szCs w:val="19"/>
        </w:rPr>
        <w:t xml:space="preserve">§VIII Langlands-Sedenion    </w:t>
      </w:r>
      <w:r>
        <w:rPr>
          <w:rFonts w:ascii="Georgia" w:cs="Georgia" w:eastAsia="Georgia" w:hAnsi="Georgia"/>
          <w:color w:val="7A8FA6"/>
          <w:sz w:val="19"/>
          <w:szCs w:val="19"/>
        </w:rPr>
        <w:t xml:space="preserve">G₂-Octonion correspondence · Cayley-Dickson mastery transition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2E4057"/>
          <w:sz w:val="19"/>
          <w:szCs w:val="19"/>
        </w:rPr>
        <w:t xml:space="preserve">Proof Walker                </w:t>
      </w:r>
      <w:r>
        <w:rPr>
          <w:rFonts w:ascii="Georgia" w:cs="Georgia" w:eastAsia="Georgia" w:hAnsi="Georgia"/>
          <w:color w:val="7A8FA6"/>
          <w:sz w:val="19"/>
          <w:szCs w:val="19"/>
        </w:rPr>
        <w:t xml:space="preserve">Python3/NumPy console proof — section-by-section with pen-and-paper gates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2E4057"/>
          <w:sz w:val="19"/>
          <w:szCs w:val="19"/>
        </w:rPr>
        <w:t xml:space="preserve">Simulation                  </w:t>
      </w:r>
      <w:r>
        <w:rPr>
          <w:rFonts w:ascii="Georgia" w:cs="Georgia" w:eastAsia="Georgia" w:hAnsi="Georgia"/>
          <w:color w:val="7A8FA6"/>
          <w:sz w:val="19"/>
          <w:szCs w:val="19"/>
        </w:rPr>
        <w:t xml:space="preserve">Interactive matplotlib visualization — 5 phases including Horizon Invariance</w:t>
      </w:r>
    </w:p>
    <w:p>
      <w:pPr>
        <w:spacing w:after="60" w:before="60"/>
      </w:pPr>
    </w:p>
    <w:p>
      <w:pPr>
        <w:pBdr>
          <w:bottom w:val="single" w:color="C9A84C" w:sz="4" w:space="1"/>
        </w:pBdr>
        <w:spacing w:after="80" w:before="80"/>
      </w:pPr>
    </w:p>
    <w:p>
      <w:pPr>
        <w:spacing w:after="60" w:before="60"/>
      </w:pPr>
    </w:p>
    <w:p>
      <w:pPr>
        <w:spacing w:after="30" w:before="0"/>
        <w:jc w:val="center"/>
      </w:pPr>
      <w:r>
        <w:rPr>
          <w:rFonts w:ascii="Courier New" w:cs="Courier New" w:eastAsia="Courier New" w:hAnsi="Courier New"/>
          <w:b/>
          <w:bCs/>
          <w:color w:val="7A8FA6"/>
          <w:spacing w:val="60"/>
          <w:sz w:val="21"/>
          <w:szCs w:val="21"/>
        </w:rPr>
        <w:t xml:space="preserve">CURRENT INTERNAL CONSISTENCY STATUS</w:t>
      </w:r>
    </w:p>
    <w:p>
      <w:pPr>
        <w:spacing w:after="2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C9A84C"/>
          <w:sz w:val="96"/>
          <w:szCs w:val="96"/>
        </w:rPr>
        <w:t xml:space="preserve">4.5σ</w:t>
      </w:r>
    </w:p>
    <w:p>
      <w:pPr>
        <w:spacing w:after="0" w:before="0"/>
        <w:ind w:left="1440" w:right="1440"/>
        <w:jc w:val="center"/>
      </w:pPr>
      <w:r>
        <w:rPr>
          <w:rFonts w:ascii="Georgia" w:cs="Georgia" w:eastAsia="Georgia" w:hAnsi="Georgia"/>
          <w:color w:val="2E4057"/>
          <w:sz w:val="20"/>
          <w:szCs w:val="20"/>
        </w:rPr>
        <w:t xml:space="preserve">Too coherent to be coincidence. Not yet confirmed enough to be called proven. The G:A:V hydroradiological ratio and the Gravinon residue signature are the proposed paths to 5σ.</w:t>
      </w:r>
    </w:p>
    <w:p>
      <w:pPr>
        <w:spacing w:after="80" w:before="80"/>
      </w:pPr>
    </w:p>
    <w:p>
      <w:pPr>
        <w:pBdr>
          <w:bottom w:val="single" w:color="C9A84C" w:sz="10" w:space="1"/>
        </w:pBdr>
        <w:spacing w:after="80" w:before="80"/>
      </w:pPr>
    </w:p>
    <w:p>
      <w:pPr>
        <w:spacing w:after="40" w:before="80"/>
      </w:pPr>
    </w:p>
    <w:p>
      <w:pPr>
        <w:jc w:val="center"/>
      </w:pPr>
      <w:r>
        <w:rPr>
          <w:rFonts w:ascii="Palatino Linotype" w:cs="Palatino Linotype" w:eastAsia="Palatino Linotype" w:hAnsi="Palatino Linotype"/>
          <w:color w:val="7A8FA6"/>
          <w:sz w:val="24"/>
          <w:szCs w:val="24"/>
        </w:rPr>
        <w:t xml:space="preserve">The horizon is not a wall. It is a mirror.</w:t>
      </w:r>
    </w:p>
    <w:p>
      <w:pPr>
        <w:spacing w:after="20" w:before="20"/>
      </w:pPr>
    </w:p>
    <w:p>
      <w:pPr>
        <w:jc w:val="center"/>
      </w:pPr>
      <w:r>
        <w:rPr>
          <w:rFonts w:ascii="Palatino Linotype" w:cs="Palatino Linotype" w:eastAsia="Palatino Linotype" w:hAnsi="Palatino Linotype"/>
          <w:color w:val="B0BEC5"/>
          <w:sz w:val="22"/>
          <w:szCs w:val="22"/>
        </w:rPr>
        <w:t xml:space="preserve">Riemann sees the wave. Fermat sees the lattice.</w:t>
      </w:r>
    </w:p>
    <w:p>
      <w:pPr>
        <w:jc w:val="center"/>
      </w:pPr>
      <w:r>
        <w:rPr>
          <w:rFonts w:ascii="Palatino Linotype" w:cs="Palatino Linotype" w:eastAsia="Palatino Linotype" w:hAnsi="Palatino Linotype"/>
          <w:color w:val="B0BEC5"/>
          <w:sz w:val="22"/>
          <w:szCs w:val="22"/>
        </w:rPr>
        <w:t xml:space="preserve">At 77.8 Quadrillion Kelvin, they are looking at each other.</w:t>
      </w:r>
    </w:p>
    <w:p>
      <w:pPr>
        <w:spacing w:after="0" w:before="200"/>
      </w:pP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2026-04-11T19:47:50.627Z</dcterms:created>
  <dcterms:modified xsi:type="dcterms:W3CDTF">2026-04-11T19:47:50.629Z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