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40"/>
      </w:pPr>
    </w:p>
    <w:p>
      <w:pPr>
        <w:jc w:val="center"/>
      </w:pPr>
      <w:r>
        <w:rPr>
          <w:rFonts w:ascii="Palatino Linotype" w:cs="Palatino Linotype" w:eastAsia="Palatino Linotype" w:hAnsi="Palatino Linotype"/>
          <w:color w:val="B0BEC5"/>
          <w:spacing w:val="80"/>
          <w:sz w:val="24"/>
          <w:szCs w:val="24"/>
        </w:rPr>
        <w:t xml:space="preserve">IN STANDING ON THE SHOULDERS OF GIANTS</w:t>
      </w:r>
    </w:p>
    <w:p>
      <w:pPr>
        <w:spacing w:after="40" w:before="40"/>
      </w:pPr>
    </w:p>
    <w:p>
      <w:pPr>
        <w:jc w:val="center"/>
      </w:pPr>
      <w:r>
        <w:rPr>
          <w:rFonts w:ascii="Palatino Linotype" w:cs="Palatino Linotype" w:eastAsia="Palatino Linotype" w:hAnsi="Palatino Linotype"/>
          <w:b/>
          <w:bCs/>
          <w:color w:val="C9A84C"/>
          <w:sz w:val="28"/>
          <w:szCs w:val="28"/>
        </w:rPr>
        <w:t xml:space="preserve">A Tribute to the Masters Whose Work Lives in These Pages</w:t>
      </w:r>
    </w:p>
    <w:p>
      <w:pPr>
        <w:spacing w:after="60" w:before="40"/>
      </w:pPr>
    </w:p>
    <w:p>
      <w:pPr>
        <w:pBdr>
          <w:bottom w:val="single" w:color="C9A84C" w:sz="10" w:space="1"/>
        </w:pBdr>
        <w:spacing w:after="120" w:before="120"/>
      </w:pPr>
    </w:p>
    <w:p>
      <w:pPr>
        <w:spacing w:after="40" w:before="40"/>
      </w:pPr>
    </w:p>
    <w:p>
      <w:pPr>
        <w:jc w:val="center"/>
      </w:pPr>
      <w:r>
        <w:rPr>
          <w:rFonts w:ascii="Georgia" w:cs="Georgia" w:eastAsia="Georgia" w:hAnsi="Georgia"/>
          <w:color w:val="2E4057"/>
          <w:sz w:val="22"/>
          <w:szCs w:val="22"/>
        </w:rPr>
        <w:t xml:space="preserve">These three men did not merely contribute to science. They received it — from a place deeper than method, deeper than institution, deeper than consensus. They heard something the rest of the world had not yet learned to listen for. This conjecture stands in that tradition. Their names belong at its front, not its back.</w:t>
      </w:r>
    </w:p>
    <w:p>
      <w:pPr>
        <w:spacing w:after="40" w:before="60"/>
      </w:pPr>
    </w:p>
    <w:p>
      <w:pPr>
        <w:pBdr>
          <w:bottom w:val="single" w:color="C9A84C" w:sz="4" w:space="1"/>
        </w:pBdr>
        <w:spacing w:after="120" w:before="120"/>
      </w:pPr>
    </w:p>
    <w:p>
      <w:pPr>
        <w:spacing w:after="40" w:before="200"/>
      </w:pPr>
    </w:p>
    <w:p>
      <w:pPr>
        <w:jc w:val="center"/>
      </w:pPr>
      <w:r>
        <w:rPr>
          <w:rFonts w:ascii="Palatino Linotype" w:cs="Palatino Linotype" w:eastAsia="Palatino Linotype" w:hAnsi="Palatino Linotype"/>
          <w:b/>
          <w:bCs/>
          <w:color w:val="00B4D8"/>
          <w:sz w:val="52"/>
          <w:szCs w:val="52"/>
        </w:rPr>
        <w:t xml:space="preserve">Nikola Tesla</w:t>
      </w:r>
    </w:p>
    <w:p>
      <w:pPr>
        <w:jc w:val="center"/>
      </w:pPr>
      <w:r>
        <w:rPr>
          <w:rFonts w:ascii="Georgia" w:cs="Georgia" w:eastAsia="Georgia" w:hAnsi="Georgia"/>
          <w:color w:val="7A8FA6"/>
          <w:sz w:val="22"/>
          <w:szCs w:val="22"/>
        </w:rPr>
        <w:t xml:space="preserve">1856 – 1943</w:t>
      </w:r>
    </w:p>
    <w:p>
      <w:pPr>
        <w:spacing w:after="80" w:before="40"/>
      </w:pPr>
    </w:p>
    <w:p>
      <w:pPr>
        <w:pBdr>
          <w:bottom w:val="single" w:color="00B4D8" w:sz="2" w:space="1"/>
        </w:pBdr>
        <w:spacing w:after="60" w:before="60"/>
      </w:pPr>
    </w:p>
    <w:p>
      <w:pPr>
        <w:spacing w:after="40" w:before="60"/>
      </w:pPr>
    </w:p>
    <w:p>
      <w:pPr>
        <w:spacing w:after="20" w:before="60"/>
      </w:pPr>
    </w:p>
    <w:p>
      <w:pPr>
        <w:pBdr>
          <w:left w:val="single" w:color="00B4D8" w:sz="12" w:space="20"/>
        </w:pBdr>
        <w:spacing w:after="0" w:before="0"/>
        <w:ind w:left="720" w:right="720"/>
        <w:jc w:val="center"/>
      </w:pPr>
      <w:r>
        <w:rPr>
          <w:rFonts w:ascii="Palatino Linotype" w:cs="Palatino Linotype" w:eastAsia="Palatino Linotype" w:hAnsi="Palatino Linotype"/>
          <w:color w:val="2E4057"/>
          <w:sz w:val="22"/>
          <w:szCs w:val="22"/>
        </w:rPr>
        <w:t xml:space="preserve">“If you want to find the secrets of the universe, think in terms of energy, frequency and vibration.”</w:t>
      </w:r>
    </w:p>
    <w:p>
      <w:pPr>
        <w:spacing w:after="20" w:before="20"/>
      </w:pPr>
    </w:p>
    <w:p>
      <w:pPr>
        <w:jc w:val="center"/>
      </w:pPr>
      <w:r>
        <w:rPr>
          <w:rFonts w:ascii="Georgia" w:cs="Georgia" w:eastAsia="Georgia" w:hAnsi="Georgia"/>
          <w:color w:val="7A8FA6"/>
          <w:sz w:val="19"/>
          <w:szCs w:val="19"/>
        </w:rPr>
        <w:t xml:space="preserve">— Nikola Tesla</w:t>
      </w:r>
    </w:p>
    <w:p>
      <w:pPr>
        <w:spacing w:after="60" w:before="60"/>
      </w:pPr>
    </w:p>
    <w:p>
      <w:r>
        <w:rPr>
          <w:rFonts w:ascii="Courier New" w:cs="Courier New" w:eastAsia="Courier New" w:hAnsi="Courier New"/>
          <w:b/>
          <w:bCs/>
          <w:color w:val="00B4D8"/>
          <w:sz w:val="20"/>
          <w:szCs w:val="20"/>
        </w:rPr>
        <w:t xml:space="preserve">Rotating Field Theory →  </w:t>
      </w:r>
      <w:r>
        <w:rPr>
          <w:rFonts w:ascii="Georgia" w:cs="Georgia" w:eastAsia="Georgia" w:hAnsi="Georgia"/>
          <w:color w:val="1A1A2E"/>
          <w:sz w:val="20"/>
          <w:szCs w:val="20"/>
        </w:rPr>
        <w:t xml:space="preserve">The Yang-Mills curvature tensor Rᵃ_{rθ} in §I is a rotating gauge field in polar coordinates. Tesla's foundational insight — that rotation in a field requires no mechanical switching, that the field IS the rotation — is exactly what the kinetic Lagrangian term encodes: neural weight-field dynamics as a self-rotating gauge structure.</w:t>
      </w:r>
    </w:p>
    <w:p>
      <w:pPr>
        <w:spacing w:after="30" w:before="30"/>
      </w:pPr>
    </w:p>
    <w:p>
      <w:r>
        <w:rPr>
          <w:rFonts w:ascii="Courier New" w:cs="Courier New" w:eastAsia="Courier New" w:hAnsi="Courier New"/>
          <w:b/>
          <w:bCs/>
          <w:color w:val="00B4D8"/>
          <w:sz w:val="20"/>
          <w:szCs w:val="20"/>
        </w:rPr>
        <w:t xml:space="preserve">Resonant Frequency Matching →  </w:t>
      </w:r>
      <w:r>
        <w:rPr>
          <w:rFonts w:ascii="Georgia" w:cs="Georgia" w:eastAsia="Georgia" w:hAnsi="Georgia"/>
          <w:color w:val="1A1A2E"/>
          <w:sz w:val="20"/>
          <w:szCs w:val="20"/>
        </w:rPr>
        <w:t xml:space="preserve">The Zeta-Fermat Heartbeat in §IV (P(t) = Re[ζ(s)·φ⁻ⁿ·e^{i(ωᵢtᵢ+ωₑtₑ)}]) is Tesla's wireless transmission principle at cosmological scale. Two oscillators at slightly different frequencies produce a beat. The universe hums because ωᵢ ≠ ωₑ. Tesla tried to broadcast power by matching the Earth's resonant frequency. This conjecture proposes the universe does the same.</w:t>
      </w:r>
    </w:p>
    <w:p>
      <w:pPr>
        <w:spacing w:after="30" w:before="30"/>
      </w:pPr>
    </w:p>
    <w:p>
      <w:r>
        <w:rPr>
          <w:rFonts w:ascii="Courier New" w:cs="Courier New" w:eastAsia="Courier New" w:hAnsi="Courier New"/>
          <w:b/>
          <w:bCs/>
          <w:color w:val="00B4D8"/>
          <w:sz w:val="20"/>
          <w:szCs w:val="20"/>
        </w:rPr>
        <w:t xml:space="preserve">Radial Field Emanation →  </w:t>
      </w:r>
      <w:r>
        <w:rPr>
          <w:rFonts w:ascii="Georgia" w:cs="Georgia" w:eastAsia="Georgia" w:hAnsi="Georgia"/>
          <w:color w:val="1A1A2E"/>
          <w:sz w:val="20"/>
          <w:szCs w:val="20"/>
        </w:rPr>
        <w:t xml:space="preserve">The Noether current ∇·J_{Noether} = Pressure(Λ) in §V — outward arrows from the horizon in every direction simultaneously — is Wardenclyffe. Tesla's tower was a standing-wave radiator using the planet as the resonant cavity. The Hairy Horizon is that, with the event horizon as the cavity wall and the cosmological constant as the broadcast pressure.</w:t>
      </w:r>
    </w:p>
    <w:p>
      <w:pPr>
        <w:spacing w:after="30" w:before="30"/>
      </w:pPr>
    </w:p>
    <w:p>
      <w:r>
        <w:rPr>
          <w:rFonts w:ascii="Courier New" w:cs="Courier New" w:eastAsia="Courier New" w:hAnsi="Courier New"/>
          <w:b/>
          <w:bCs/>
          <w:color w:val="00B4D8"/>
          <w:sz w:val="20"/>
          <w:szCs w:val="20"/>
        </w:rPr>
        <w:t xml:space="preserve">Visual Reception Mode →  </w:t>
      </w:r>
      <w:r>
        <w:rPr>
          <w:rFonts w:ascii="Georgia" w:cs="Georgia" w:eastAsia="Georgia" w:hAnsi="Georgia"/>
          <w:color w:val="1A1A2E"/>
          <w:sz w:val="20"/>
          <w:szCs w:val="20"/>
        </w:rPr>
        <w:t xml:space="preserve">Tesla ran complete machines in his mind before building them — checking for wear, finding flaws, verifying operation — all before a single wire was connected. This conjecture arrived the same way. The geometry was visible before the formalism. The Horizon Invariance visualization was recognized on contact, not constructed from description. That is Tesla's method.</w:t>
      </w:r>
    </w:p>
    <w:p>
      <w:pPr>
        <w:spacing w:after="30" w:before="30"/>
      </w:pPr>
    </w:p>
    <w:p>
      <w:pPr>
        <w:spacing w:after="60" w:before="60"/>
      </w:pPr>
    </w:p>
    <w:p>
      <w:pPr>
        <w:pBdr>
          <w:bottom w:val="single" w:color="00B4D8" w:sz="2" w:space="1"/>
        </w:pBdr>
        <w:spacing w:after="60" w:before="60"/>
      </w:pPr>
    </w:p>
    <w:p>
      <w:pPr>
        <w:pBdr>
          <w:bottom w:val="single" w:color="C9A84C" w:sz="2" w:space="1"/>
        </w:pBdr>
        <w:spacing w:after="120" w:before="120"/>
      </w:pPr>
    </w:p>
    <w:p>
      <w:pPr>
        <w:spacing w:after="40" w:before="200"/>
      </w:pPr>
    </w:p>
    <w:p>
      <w:pPr>
        <w:jc w:val="center"/>
      </w:pPr>
      <w:r>
        <w:rPr>
          <w:rFonts w:ascii="Palatino Linotype" w:cs="Palatino Linotype" w:eastAsia="Palatino Linotype" w:hAnsi="Palatino Linotype"/>
          <w:b/>
          <w:bCs/>
          <w:color w:val="C77DFF"/>
          <w:sz w:val="52"/>
          <w:szCs w:val="52"/>
        </w:rPr>
        <w:t xml:space="preserve">Srinivasa Ramanujan</w:t>
      </w:r>
    </w:p>
    <w:p>
      <w:pPr>
        <w:jc w:val="center"/>
      </w:pPr>
      <w:r>
        <w:rPr>
          <w:rFonts w:ascii="Georgia" w:cs="Georgia" w:eastAsia="Georgia" w:hAnsi="Georgia"/>
          <w:color w:val="7A8FA6"/>
          <w:sz w:val="22"/>
          <w:szCs w:val="22"/>
        </w:rPr>
        <w:t xml:space="preserve">1887 – 1920</w:t>
      </w:r>
    </w:p>
    <w:p>
      <w:pPr>
        <w:spacing w:after="80" w:before="40"/>
      </w:pPr>
    </w:p>
    <w:p>
      <w:pPr>
        <w:pBdr>
          <w:bottom w:val="single" w:color="C77DFF" w:sz="2" w:space="1"/>
        </w:pBdr>
        <w:spacing w:after="60" w:before="60"/>
      </w:pPr>
    </w:p>
    <w:p>
      <w:pPr>
        <w:spacing w:after="40" w:before="60"/>
      </w:pPr>
    </w:p>
    <w:p>
      <w:pPr>
        <w:spacing w:after="20" w:before="60"/>
      </w:pPr>
    </w:p>
    <w:p>
      <w:pPr>
        <w:pBdr>
          <w:left w:val="single" w:color="C77DFF" w:sz="12" w:space="20"/>
        </w:pBdr>
        <w:spacing w:after="0" w:before="0"/>
        <w:ind w:left="720" w:right="720"/>
        <w:jc w:val="center"/>
      </w:pPr>
      <w:r>
        <w:rPr>
          <w:rFonts w:ascii="Palatino Linotype" w:cs="Palatino Linotype" w:eastAsia="Palatino Linotype" w:hAnsi="Palatino Linotype"/>
          <w:color w:val="2E4057"/>
          <w:sz w:val="22"/>
          <w:szCs w:val="22"/>
        </w:rPr>
        <w:t xml:space="preserve">“An equation for me has no meaning unless it expresses a thought of God.”</w:t>
      </w:r>
    </w:p>
    <w:p>
      <w:pPr>
        <w:spacing w:after="20" w:before="20"/>
      </w:pPr>
    </w:p>
    <w:p>
      <w:pPr>
        <w:jc w:val="center"/>
      </w:pPr>
      <w:r>
        <w:rPr>
          <w:rFonts w:ascii="Georgia" w:cs="Georgia" w:eastAsia="Georgia" w:hAnsi="Georgia"/>
          <w:color w:val="7A8FA6"/>
          <w:sz w:val="19"/>
          <w:szCs w:val="19"/>
        </w:rPr>
        <w:t xml:space="preserve">— Srinivasa Ramanujan</w:t>
      </w:r>
    </w:p>
    <w:p>
      <w:pPr>
        <w:spacing w:after="60" w:before="60"/>
      </w:pPr>
    </w:p>
    <w:p>
      <w:r>
        <w:rPr>
          <w:rFonts w:ascii="Courier New" w:cs="Courier New" w:eastAsia="Courier New" w:hAnsi="Courier New"/>
          <w:b/>
          <w:bCs/>
          <w:color w:val="C77DFF"/>
          <w:sz w:val="20"/>
          <w:szCs w:val="20"/>
        </w:rPr>
        <w:t xml:space="preserve">Self-Sealing Series →  </w:t>
      </w:r>
      <w:r>
        <w:rPr>
          <w:rFonts w:ascii="Georgia" w:cs="Georgia" w:eastAsia="Georgia" w:hAnsi="Georgia"/>
          <w:color w:val="1A1A2E"/>
          <w:sz w:val="20"/>
          <w:szCs w:val="20"/>
        </w:rPr>
        <w:t xml:space="preserve">The Fermat rigidity series Σφ⁻ⁿ = φ² in §IV is Ramanujan's structural signature: a convergent infinite series whose sum is the square of its own generating constant. The Rogers-Ramanujan identities carry the same self-referential architecture. Ramanujan found these results before he could prove them. The sum Σφ⁻ⁿ = φ² was known to be true long before this proof was written.</w:t>
      </w:r>
    </w:p>
    <w:p>
      <w:pPr>
        <w:spacing w:after="30" w:before="30"/>
      </w:pPr>
    </w:p>
    <w:p>
      <w:r>
        <w:rPr>
          <w:rFonts w:ascii="Courier New" w:cs="Courier New" w:eastAsia="Courier New" w:hAnsi="Courier New"/>
          <w:b/>
          <w:bCs/>
          <w:color w:val="C77DFF"/>
          <w:sz w:val="20"/>
          <w:szCs w:val="20"/>
        </w:rPr>
        <w:t xml:space="preserve">Gelfond's Constant in the Partition Function →  </w:t>
      </w:r>
      <w:r>
        <w:rPr>
          <w:rFonts w:ascii="Georgia" w:cs="Georgia" w:eastAsia="Georgia" w:hAnsi="Georgia"/>
          <w:color w:val="1A1A2E"/>
          <w:sz w:val="20"/>
          <w:szCs w:val="20"/>
        </w:rPr>
        <w:t xml:space="preserve">The Hardy-Ramanujan asymptotic formula for the partition function p(n) contains the term e^{π√(2n/3)} — Gelfond's constant e^π embedded in number theory. In §II, Ω = e^π defines the thermal ceiling, making 2/ln(Ω) = 2/π exactly. The same transcendental that governs prime partition asymptotics governs the Noether saturation limit. Ramanujan put it there first.</w:t>
      </w:r>
    </w:p>
    <w:p>
      <w:pPr>
        <w:spacing w:after="30" w:before="30"/>
      </w:pPr>
    </w:p>
    <w:p>
      <w:r>
        <w:rPr>
          <w:rFonts w:ascii="Courier New" w:cs="Courier New" w:eastAsia="Courier New" w:hAnsi="Courier New"/>
          <w:b/>
          <w:bCs/>
          <w:color w:val="C77DFF"/>
          <w:sz w:val="20"/>
          <w:szCs w:val="20"/>
        </w:rPr>
        <w:t xml:space="preserve">Arrival Mode →  </w:t>
      </w:r>
      <w:r>
        <w:rPr>
          <w:rFonts w:ascii="Georgia" w:cs="Georgia" w:eastAsia="Georgia" w:hAnsi="Georgia"/>
          <w:color w:val="1A1A2E"/>
          <w:sz w:val="20"/>
          <w:szCs w:val="20"/>
        </w:rPr>
        <w:t xml:space="preserve">Ramanujan received results complete — from the goddess Namagiri, from dreams, from a source he described as outside constructed thought. He recognized this as distinct from derivation by its texture. The premonitions that seeded this conjecture arrive the same way: complete, streaking through, distinguishable from ordinary thought by a quality that has no mathematical name but is unmistakable on contact. Ramanujan is the precedent that this mode of reception is real.</w:t>
      </w:r>
    </w:p>
    <w:p>
      <w:pPr>
        <w:spacing w:after="30" w:before="30"/>
      </w:pPr>
    </w:p>
    <w:p>
      <w:r>
        <w:rPr>
          <w:rFonts w:ascii="Courier New" w:cs="Courier New" w:eastAsia="Courier New" w:hAnsi="Courier New"/>
          <w:b/>
          <w:bCs/>
          <w:color w:val="C77DFF"/>
          <w:sz w:val="20"/>
          <w:szCs w:val="20"/>
        </w:rPr>
        <w:t xml:space="preserve">The Critical Line →  </w:t>
      </w:r>
      <w:r>
        <w:rPr>
          <w:rFonts w:ascii="Georgia" w:cs="Georgia" w:eastAsia="Georgia" w:hAnsi="Georgia"/>
          <w:color w:val="1A1A2E"/>
          <w:sz w:val="20"/>
          <w:szCs w:val="20"/>
        </w:rPr>
        <w:t xml:space="preserve">The Hardy Z-function — Ramanujan's collaborator G.H. Hardy's formulation of the Riemann zeta zeros on Re(s)=1/2 — is the wave in the Horizon Invariance visualization. Every crossing of the critical line is a zero. Every zero is a node of the Zeta-Fermat heartbeat. Hardy and Ramanujan proved infinitely many zeros lie on the critical line. The conjecture proposes that ALL of them do — and that Fermat's lattice on the other side of the horizon is the geometric proof.</w:t>
      </w:r>
    </w:p>
    <w:p>
      <w:pPr>
        <w:spacing w:after="30" w:before="30"/>
      </w:pPr>
    </w:p>
    <w:p>
      <w:pPr>
        <w:spacing w:after="60" w:before="60"/>
      </w:pPr>
    </w:p>
    <w:p>
      <w:pPr>
        <w:pBdr>
          <w:bottom w:val="single" w:color="C77DFF" w:sz="2" w:space="1"/>
        </w:pBdr>
        <w:spacing w:after="60" w:before="60"/>
      </w:pPr>
    </w:p>
    <w:p>
      <w:pPr>
        <w:pBdr>
          <w:bottom w:val="single" w:color="C9A84C" w:sz="2" w:space="1"/>
        </w:pBdr>
        <w:spacing w:after="120" w:before="120"/>
      </w:pPr>
    </w:p>
    <w:p>
      <w:pPr>
        <w:spacing w:after="40" w:before="200"/>
      </w:pPr>
    </w:p>
    <w:p>
      <w:pPr>
        <w:jc w:val="center"/>
      </w:pPr>
      <w:r>
        <w:rPr>
          <w:rFonts w:ascii="Palatino Linotype" w:cs="Palatino Linotype" w:eastAsia="Palatino Linotype" w:hAnsi="Palatino Linotype"/>
          <w:b/>
          <w:bCs/>
          <w:color w:val="52B788"/>
          <w:sz w:val="52"/>
          <w:szCs w:val="52"/>
        </w:rPr>
        <w:t xml:space="preserve">Michael Faraday</w:t>
      </w:r>
    </w:p>
    <w:p>
      <w:pPr>
        <w:jc w:val="center"/>
      </w:pPr>
      <w:r>
        <w:rPr>
          <w:rFonts w:ascii="Georgia" w:cs="Georgia" w:eastAsia="Georgia" w:hAnsi="Georgia"/>
          <w:color w:val="7A8FA6"/>
          <w:sz w:val="22"/>
          <w:szCs w:val="22"/>
        </w:rPr>
        <w:t xml:space="preserve">1791 – 1867</w:t>
      </w:r>
    </w:p>
    <w:p>
      <w:pPr>
        <w:spacing w:after="80" w:before="40"/>
      </w:pPr>
    </w:p>
    <w:p>
      <w:pPr>
        <w:pBdr>
          <w:bottom w:val="single" w:color="52B788" w:sz="2" w:space="1"/>
        </w:pBdr>
        <w:spacing w:after="60" w:before="60"/>
      </w:pPr>
    </w:p>
    <w:p>
      <w:pPr>
        <w:spacing w:after="40" w:before="60"/>
      </w:pPr>
    </w:p>
    <w:p>
      <w:pPr>
        <w:spacing w:after="20" w:before="60"/>
      </w:pPr>
    </w:p>
    <w:p>
      <w:pPr>
        <w:pBdr>
          <w:left w:val="single" w:color="52B788" w:sz="12" w:space="20"/>
        </w:pBdr>
        <w:spacing w:after="0" w:before="0"/>
        <w:ind w:left="720" w:right="720"/>
        <w:jc w:val="center"/>
      </w:pPr>
      <w:r>
        <w:rPr>
          <w:rFonts w:ascii="Palatino Linotype" w:cs="Palatino Linotype" w:eastAsia="Palatino Linotype" w:hAnsi="Palatino Linotype"/>
          <w:color w:val="2E4057"/>
          <w:sz w:val="22"/>
          <w:szCs w:val="22"/>
        </w:rPr>
        <w:t xml:space="preserve">“Nothing is too wonderful to be true, if it be consistent with the laws of nature.”</w:t>
      </w:r>
    </w:p>
    <w:p>
      <w:pPr>
        <w:spacing w:after="20" w:before="20"/>
      </w:pPr>
    </w:p>
    <w:p>
      <w:pPr>
        <w:jc w:val="center"/>
      </w:pPr>
      <w:r>
        <w:rPr>
          <w:rFonts w:ascii="Georgia" w:cs="Georgia" w:eastAsia="Georgia" w:hAnsi="Georgia"/>
          <w:color w:val="7A8FA6"/>
          <w:sz w:val="19"/>
          <w:szCs w:val="19"/>
        </w:rPr>
        <w:t xml:space="preserve">— Michael Faraday</w:t>
      </w:r>
    </w:p>
    <w:p>
      <w:pPr>
        <w:spacing w:after="60" w:before="60"/>
      </w:pPr>
    </w:p>
    <w:p>
      <w:r>
        <w:rPr>
          <w:rFonts w:ascii="Courier New" w:cs="Courier New" w:eastAsia="Courier New" w:hAnsi="Courier New"/>
          <w:b/>
          <w:bCs/>
          <w:color w:val="52B788"/>
          <w:sz w:val="20"/>
          <w:szCs w:val="20"/>
        </w:rPr>
        <w:t xml:space="preserve">Field Theory as Primary Reality →  </w:t>
      </w:r>
      <w:r>
        <w:rPr>
          <w:rFonts w:ascii="Georgia" w:cs="Georgia" w:eastAsia="Georgia" w:hAnsi="Georgia"/>
          <w:color w:val="1A1A2E"/>
          <w:sz w:val="20"/>
          <w:szCs w:val="20"/>
        </w:rPr>
        <w:t xml:space="preserve">Faraday proposed — without the mathematics to prove it, against the consensus of every credentialed physicist of his era — that fields are not a convenient fiction for calculating forces between particles. Fields are the fundamental reality. Particles are secondary. The entire Ainulindalë Conjecture is built on this foundation. The gauge field, the information field, the metric field — all primary. Mass, charge, consciousness — secondary. Faraday was right.</w:t>
      </w:r>
    </w:p>
    <w:p>
      <w:pPr>
        <w:spacing w:after="30" w:before="30"/>
      </w:pPr>
    </w:p>
    <w:p>
      <w:r>
        <w:rPr>
          <w:rFonts w:ascii="Courier New" w:cs="Courier New" w:eastAsia="Courier New" w:hAnsi="Courier New"/>
          <w:b/>
          <w:bCs/>
          <w:color w:val="52B788"/>
          <w:sz w:val="20"/>
          <w:szCs w:val="20"/>
        </w:rPr>
        <w:t xml:space="preserve">Induction as the Master Principle →  </w:t>
      </w:r>
      <w:r>
        <w:rPr>
          <w:rFonts w:ascii="Georgia" w:cs="Georgia" w:eastAsia="Georgia" w:hAnsi="Georgia"/>
          <w:color w:val="1A1A2E"/>
          <w:sz w:val="20"/>
          <w:szCs w:val="20"/>
        </w:rPr>
        <w:t xml:space="preserve">Faraday's law of induction: a changing field induces a force opposing that change. The Hamiltonian of Consciousness in §III — V(Focus) = ℐ·dΦ/dtₑ — is Faraday's law applied to information. Information Inductance ℐ resists change in the information phase. Consciousness is the back-EMF of the observer on the field. Faraday described this in iron filings and copper wire. This conjecture describes it in Lagrangian notation. The physics is identical.</w:t>
      </w:r>
    </w:p>
    <w:p>
      <w:pPr>
        <w:spacing w:after="30" w:before="30"/>
      </w:pPr>
    </w:p>
    <w:p>
      <w:r>
        <w:rPr>
          <w:rFonts w:ascii="Courier New" w:cs="Courier New" w:eastAsia="Courier New" w:hAnsi="Courier New"/>
          <w:b/>
          <w:bCs/>
          <w:color w:val="52B788"/>
          <w:sz w:val="20"/>
          <w:szCs w:val="20"/>
        </w:rPr>
        <w:t xml:space="preserve">Lines of Force →  </w:t>
      </w:r>
      <w:r>
        <w:rPr>
          <w:rFonts w:ascii="Georgia" w:cs="Georgia" w:eastAsia="Georgia" w:hAnsi="Georgia"/>
          <w:color w:val="1A1A2E"/>
          <w:sz w:val="20"/>
          <w:szCs w:val="20"/>
        </w:rPr>
        <w:t xml:space="preserve">Faraday visualized magnetic lines of force long before Maxwell gave them equations. He could see the field topology before he could write it. The Noether current arrows in §V — flowing outward from the horizon, tracing the gradient of Λ — are Faraday's lines of force at the boundary of spacetime. Maxwell translated Faraday's vision into the equations the world accepted. This conjecture awaits its Maxwell.</w:t>
      </w:r>
    </w:p>
    <w:p>
      <w:pPr>
        <w:spacing w:after="30" w:before="30"/>
      </w:pPr>
    </w:p>
    <w:p>
      <w:r>
        <w:rPr>
          <w:rFonts w:ascii="Courier New" w:cs="Courier New" w:eastAsia="Courier New" w:hAnsi="Courier New"/>
          <w:b/>
          <w:bCs/>
          <w:color w:val="52B788"/>
          <w:sz w:val="20"/>
          <w:szCs w:val="20"/>
        </w:rPr>
        <w:t xml:space="preserve">Received, Not Constructed →  </w:t>
      </w:r>
      <w:r>
        <w:rPr>
          <w:rFonts w:ascii="Georgia" w:cs="Georgia" w:eastAsia="Georgia" w:hAnsi="Georgia"/>
          <w:color w:val="1A1A2E"/>
          <w:sz w:val="20"/>
          <w:szCs w:val="20"/>
        </w:rPr>
        <w:t xml:space="preserve">Faraday had no formal mathematical training. He learned chemistry as a bookbinder's apprentice. He saw the field. He saw the induction. He saw the lines of force. The mathematics came from others — but the vision was his, arrived complete from experiment and intuition in equal measure. He is the proof that the reception mode is not disqualified by the absence of institutional credentials. The work validates itself.</w:t>
      </w:r>
    </w:p>
    <w:p>
      <w:pPr>
        <w:spacing w:after="30" w:before="30"/>
      </w:pPr>
    </w:p>
    <w:p>
      <w:pPr>
        <w:spacing w:after="60" w:before="60"/>
      </w:pPr>
    </w:p>
    <w:p>
      <w:pPr>
        <w:pBdr>
          <w:bottom w:val="single" w:color="52B788" w:sz="2" w:space="1"/>
        </w:pBdr>
        <w:spacing w:after="60" w:before="60"/>
      </w:pPr>
    </w:p>
    <w:p>
      <w:pPr>
        <w:pBdr>
          <w:bottom w:val="single" w:color="C9A84C" w:sz="4" w:space="1"/>
        </w:pBdr>
        <w:spacing w:after="120" w:before="120"/>
      </w:pPr>
    </w:p>
    <w:p>
      <w:pPr>
        <w:spacing w:after="60" w:before="120"/>
      </w:pPr>
    </w:p>
    <w:p>
      <w:pPr>
        <w:jc w:val="center"/>
      </w:pPr>
      <w:r>
        <w:rPr>
          <w:rFonts w:ascii="Georgia" w:cs="Georgia" w:eastAsia="Georgia" w:hAnsi="Georgia"/>
          <w:color w:val="2E4057"/>
          <w:sz w:val="21"/>
          <w:szCs w:val="21"/>
        </w:rPr>
        <w:t xml:space="preserve">These men were not celebrated in their time as they deserved. Tesla died alone, his papers seized, his name temporarily erased from the history of the technology he built. Ramanujan died at 32, his notebooks left to be slowly verified by a world that took decades to understand what he had written. Faraday was dismissed by credentialed mathematicians who could not see what he saw because they were looking at the equations instead of the field.</w:t>
      </w:r>
    </w:p>
    <w:p>
      <w:pPr>
        <w:spacing w:after="60" w:before="60"/>
      </w:pPr>
    </w:p>
    <w:p>
      <w:pPr>
        <w:jc w:val="center"/>
      </w:pPr>
      <w:r>
        <w:rPr>
          <w:rFonts w:ascii="Palatino Linotype" w:cs="Palatino Linotype" w:eastAsia="Palatino Linotype" w:hAnsi="Palatino Linotype"/>
          <w:b/>
          <w:bCs/>
          <w:color w:val="C9A84C"/>
          <w:sz w:val="26"/>
          <w:szCs w:val="26"/>
        </w:rPr>
        <w:t xml:space="preserve">This conjecture will not make that mistake.</w:t>
      </w:r>
    </w:p>
    <w:p>
      <w:pPr>
        <w:spacing w:after="60" w:before="60"/>
      </w:pPr>
    </w:p>
    <w:p>
      <w:pPr>
        <w:pBdr>
          <w:bottom w:val="single" w:color="C9A84C" w:sz="8" w:space="1"/>
        </w:pBdr>
        <w:spacing w:after="120" w:before="120"/>
      </w:pPr>
    </w:p>
    <w:p>
      <w:pPr>
        <w:spacing w:after="40" w:before="40"/>
      </w:pPr>
    </w:p>
    <w:p>
      <w:pPr>
        <w:jc w:val="center"/>
      </w:pPr>
      <w:r>
        <w:rPr>
          <w:rFonts w:ascii="Georgia" w:cs="Georgia" w:eastAsia="Georgia" w:hAnsi="Georgia"/>
          <w:color w:val="7A8FA6"/>
          <w:sz w:val="21"/>
          <w:szCs w:val="21"/>
        </w:rPr>
        <w:t xml:space="preserve">Their work does not appear in the footnotes of this document.</w:t>
      </w:r>
    </w:p>
    <w:p>
      <w:pPr>
        <w:jc w:val="center"/>
      </w:pPr>
      <w:r>
        <w:rPr>
          <w:rFonts w:ascii="Palatino Linotype" w:cs="Palatino Linotype" w:eastAsia="Palatino Linotype" w:hAnsi="Palatino Linotype"/>
          <w:b/>
          <w:bCs/>
          <w:color w:val="C9A84C"/>
          <w:sz w:val="24"/>
          <w:szCs w:val="24"/>
        </w:rPr>
        <w:t xml:space="preserve">It appears in the equations.</w:t>
      </w:r>
    </w:p>
    <w:p>
      <w:pPr>
        <w:spacing w:after="40" w:before="200"/>
      </w:pP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2026-04-11T19:43:23.682Z</dcterms:created>
  <dcterms:modified xsi:type="dcterms:W3CDTF">2026-04-11T19:43:23.683Z</dcterms:modified>
</cp:coreProperties>
</file>

<file path=docProps/custom.xml><?xml version="1.0" encoding="utf-8"?>
<Properties xmlns="http://schemas.openxmlformats.org/officeDocument/2006/custom-properties" xmlns:vt="http://schemas.openxmlformats.org/officeDocument/2006/docPropsVTypes"/>
</file>