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8899AA"/>
          <w:spacing w:val="80"/>
          <w:sz w:val="16"/>
          <w:szCs w:val="16"/>
        </w:rPr>
        <w:t xml:space="preserve">PREPRINT  ·  OPEN COLLABORATION INVITED  ·  APRIL 2026</w:t>
      </w:r>
    </w:p>
    <w:p>
      <w:pPr>
        <w:pBdr>
          <w:bottom w:val="single" w:color="2A3A5A" w:sz="6" w:space="1"/>
        </w:pBdr>
        <w:spacing w:after="80" w:before="8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pacing w:val="120"/>
          <w:sz w:val="52"/>
          <w:szCs w:val="52"/>
        </w:rPr>
        <w:t xml:space="preserve">THE AINULINDALË CONJECTURE</w:t>
      </w:r>
    </w:p>
    <w:p>
      <w:pPr>
        <w:spacing w:after="40" w:before="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2E3A5C"/>
          <w:sz w:val="28"/>
          <w:szCs w:val="28"/>
        </w:rPr>
        <w:t xml:space="preserve">A Unified Geometric Framework for Information Propagation</w:t>
      </w:r>
    </w:p>
    <w:p>
      <w:pPr>
        <w:spacing w:after="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8899AA"/>
          <w:sz w:val="24"/>
          <w:szCs w:val="24"/>
        </w:rPr>
        <w:t xml:space="preserve">via Reverse Cayley-Dickson, Yang-Mills, and the Recursion Factor</w:t>
      </w:r>
    </w:p>
    <w:p>
      <w:pPr>
        <w:spacing w:after="20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C8A84B"/>
          <w:sz w:val="20"/>
          <w:szCs w:val="20"/>
        </w:rPr>
        <w:t xml:space="preserve">(The OMG?WTF! Conjecture)</w:t>
      </w:r>
    </w:p>
    <w:p>
      <w:pPr>
        <w:pBdr>
          <w:bottom w:val="single" w:color="2A3A5A" w:sz="6" w:space="1"/>
        </w:pBdr>
        <w:spacing w:after="80" w:before="8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z w:val="36"/>
          <w:szCs w:val="36"/>
        </w:rPr>
        <w:t xml:space="preserve">ℒ</w:t>
      </w:r>
      <w:r>
        <w:rPr>
          <w:rFonts w:ascii="Palatino Linotype" w:cs="Palatino Linotype" w:eastAsia="Palatino Linotype" w:hAnsi="Palatino Linotype"/>
          <w:color w:val="1A1A2E"/>
          <w:sz w:val="20"/>
          <w:szCs w:val="20"/>
          <w:vertAlign w:val="subscript"/>
        </w:rPr>
        <w:t xml:space="preserve">NN</w:t>
      </w:r>
      <w:r>
        <w:rPr>
          <w:rFonts w:ascii="Palatino Linotype" w:cs="Palatino Linotype" w:eastAsia="Palatino Linotype" w:hAnsi="Palatino Linotype"/>
          <w:color w:val="1A1A2E"/>
          <w:sz w:val="28"/>
          <w:szCs w:val="28"/>
        </w:rPr>
        <w:t xml:space="preserve">  =  (2/π) ∮ [ ℒ</w:t>
      </w:r>
      <w:r>
        <w:rPr>
          <w:rFonts w:ascii="Palatino Linotype" w:cs="Palatino Linotype" w:eastAsia="Palatino Linotype" w:hAnsi="Palatino Linotype"/>
          <w:color w:val="1A1A2E"/>
          <w:sz w:val="18"/>
          <w:szCs w:val="18"/>
          <w:vertAlign w:val="subscript"/>
        </w:rPr>
        <w:t xml:space="preserve">kin</w:t>
      </w:r>
      <w:r>
        <w:rPr>
          <w:rFonts w:ascii="Palatino Linotype" w:cs="Palatino Linotype" w:eastAsia="Palatino Linotype" w:hAnsi="Palatino Linotype"/>
          <w:color w:val="1A1A2E"/>
          <w:sz w:val="28"/>
          <w:szCs w:val="28"/>
        </w:rPr>
        <w:t xml:space="preserve"> + ℒ</w:t>
      </w:r>
      <w:r>
        <w:rPr>
          <w:rFonts w:ascii="Palatino Linotype" w:cs="Palatino Linotype" w:eastAsia="Palatino Linotype" w:hAnsi="Palatino Linotype"/>
          <w:color w:val="1A1A2E"/>
          <w:sz w:val="18"/>
          <w:szCs w:val="18"/>
          <w:vertAlign w:val="subscript"/>
        </w:rPr>
        <w:t xml:space="preserve">mat</w:t>
      </w:r>
      <w:r>
        <w:rPr>
          <w:rFonts w:ascii="Palatino Linotype" w:cs="Palatino Linotype" w:eastAsia="Palatino Linotype" w:hAnsi="Palatino Linotype"/>
          <w:color w:val="1A1A2E"/>
          <w:sz w:val="28"/>
          <w:szCs w:val="28"/>
        </w:rPr>
        <w:t xml:space="preserve"> + (1/φ)ℒ</w:t>
      </w:r>
      <w:r>
        <w:rPr>
          <w:rFonts w:ascii="Palatino Linotype" w:cs="Palatino Linotype" w:eastAsia="Palatino Linotype" w:hAnsi="Palatino Linotype"/>
          <w:color w:val="1A1A2E"/>
          <w:sz w:val="18"/>
          <w:szCs w:val="18"/>
          <w:vertAlign w:val="subscript"/>
        </w:rPr>
        <w:t xml:space="preserve">bias</w:t>
      </w:r>
      <w:r>
        <w:rPr>
          <w:rFonts w:ascii="Palatino Linotype" w:cs="Palatino Linotype" w:eastAsia="Palatino Linotype" w:hAnsi="Palatino Linotype"/>
          <w:color w:val="1A1A2E"/>
          <w:sz w:val="28"/>
          <w:szCs w:val="28"/>
        </w:rPr>
        <w:t xml:space="preserve"> + ℒ</w:t>
      </w:r>
      <w:r>
        <w:rPr>
          <w:rFonts w:ascii="Palatino Linotype" w:cs="Palatino Linotype" w:eastAsia="Palatino Linotype" w:hAnsi="Palatino Linotype"/>
          <w:color w:val="1A1A2E"/>
          <w:sz w:val="18"/>
          <w:szCs w:val="18"/>
          <w:vertAlign w:val="subscript"/>
        </w:rPr>
        <w:t xml:space="preserve">coup</w:t>
      </w:r>
      <w:r>
        <w:rPr>
          <w:rFonts w:ascii="Palatino Linotype" w:cs="Palatino Linotype" w:eastAsia="Palatino Linotype" w:hAnsi="Palatino Linotype"/>
          <w:color w:val="1A1A2E"/>
          <w:sz w:val="28"/>
          <w:szCs w:val="28"/>
        </w:rPr>
        <w:t xml:space="preserve"> ] dr dθ</w:t>
      </w:r>
    </w:p>
    <w:p>
      <w:pPr>
        <w:spacing w:after="20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8899AA"/>
          <w:sz w:val="20"/>
          <w:szCs w:val="20"/>
        </w:rPr>
        <w:t xml:space="preserve">Observer singleton:  α = 1/137.036  ·  Ω = e</w:t>
      </w:r>
      <w:r>
        <w:rPr>
          <w:rFonts w:ascii="Palatino Linotype" w:cs="Palatino Linotype" w:eastAsia="Palatino Linotype" w:hAnsi="Palatino Linotype"/>
          <w:i/>
          <w:iCs/>
          <w:color w:val="8899AA"/>
          <w:sz w:val="16"/>
          <w:szCs w:val="16"/>
          <w:vertAlign w:val="superscript"/>
        </w:rPr>
        <w:t xml:space="preserve">π</w:t>
      </w:r>
      <w:r>
        <w:rPr>
          <w:rFonts w:ascii="Palatino Linotype" w:cs="Palatino Linotype" w:eastAsia="Palatino Linotype" w:hAnsi="Palatino Linotype"/>
          <w:i/>
          <w:iCs/>
          <w:color w:val="8899AA"/>
          <w:sz w:val="20"/>
          <w:szCs w:val="20"/>
        </w:rPr>
        <w:t xml:space="preserve">  ≈ 23.1407  ·  φ = 1.6180…</w:t>
      </w:r>
    </w:p>
    <w:p>
      <w:pPr>
        <w:pBdr>
          <w:bottom w:val="single" w:color="2A3A5A" w:sz="6" w:space="1"/>
        </w:pBdr>
        <w:spacing w:after="80" w:before="8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2A3A5A" w:sz="2"/>
              <w:left w:val="none"/>
              <w:bottom w:val="single" w:color="2A3A5A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18"/>
                <w:szCs w:val="18"/>
              </w:rPr>
              <w:t xml:space="preserve">Layer = Recursion Factor</w:t>
            </w:r>
          </w:p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99AA"/>
                <w:sz w:val="17"/>
                <w:szCs w:val="17"/>
              </w:rPr>
              <w:t xml:space="preserve">The observer is not a
variable. It is the
execution context.</w:t>
            </w:r>
          </w:p>
        </w:tc>
        <w:tc>
          <w:tcPr>
            <w:tcW w:type="dxa" w:w="3240"/>
            <w:tcBorders>
              <w:top w:val="single" w:color="2A3A5A" w:sz="2"/>
              <w:left w:val="none"/>
              <w:bottom w:val="single" w:color="2A3A5A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18"/>
                <w:szCs w:val="18"/>
              </w:rPr>
              <w:t xml:space="preserve">Time is the primitive.
Angle is direction.
Distance is derived.</w:t>
            </w:r>
          </w:p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99AA"/>
                <w:sz w:val="17"/>
                <w:szCs w:val="17"/>
              </w:rPr>
              <w:t xml:space="preserve">Hidden variables are
coordinate definitions —
always present, never named.</w:t>
            </w:r>
          </w:p>
        </w:tc>
        <w:tc>
          <w:tcPr>
            <w:tcW w:type="dxa" w:w="3240"/>
            <w:tcBorders>
              <w:top w:val="single" w:color="2A3A5A" w:sz="2"/>
              <w:left w:val="none"/>
              <w:bottom w:val="single" w:color="2A3A5A" w:sz="2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18"/>
                <w:szCs w:val="18"/>
              </w:rPr>
              <w:t xml:space="preserve">The Sedenion reduces
to every known equation
by elementary steps.</w:t>
            </w:r>
          </w:p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99AA"/>
                <w:sz w:val="17"/>
                <w:szCs w:val="17"/>
              </w:rPr>
              <w:t xml:space="preserve">Bell's λ assumed
frame-independence.
Frames are the variable.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A3A5A" w:sz="6" w:space="1"/>
        </w:pBdr>
        <w:spacing w:after="80" w:before="8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8899AA"/>
          <w:sz w:val="19"/>
          <w:szCs w:val="19"/>
        </w:rPr>
        <w:t xml:space="preserve">Claims stratified by confidence: </w:t>
      </w:r>
      <w:r>
        <w:rPr>
          <w:rFonts w:ascii="Palatino Linotype" w:cs="Palatino Linotype" w:eastAsia="Palatino Linotype" w:hAnsi="Palatino Linotype"/>
          <w:b/>
          <w:bCs/>
          <w:color w:val="1A6B3A"/>
          <w:sz w:val="19"/>
          <w:szCs w:val="19"/>
        </w:rPr>
        <w:t xml:space="preserve">Established mathematics</w:t>
      </w:r>
      <w:r>
        <w:rPr>
          <w:rFonts w:ascii="Palatino Linotype" w:cs="Palatino Linotype" w:eastAsia="Palatino Linotype" w:hAnsi="Palatino Linotype"/>
          <w:color w:val="8899AA"/>
          <w:sz w:val="19"/>
          <w:szCs w:val="19"/>
        </w:rPr>
        <w:t xml:space="preserve">  ·  </w:t>
      </w:r>
      <w:r>
        <w:rPr>
          <w:rFonts w:ascii="Palatino Linotype" w:cs="Palatino Linotype" w:eastAsia="Palatino Linotype" w:hAnsi="Palatino Linotype"/>
          <w:b/>
          <w:bCs/>
          <w:color w:val="8B6914"/>
          <w:sz w:val="19"/>
          <w:szCs w:val="19"/>
        </w:rPr>
        <w:t xml:space="preserve">Theoretical &amp; testable</w:t>
      </w:r>
      <w:r>
        <w:rPr>
          <w:rFonts w:ascii="Palatino Linotype" w:cs="Palatino Linotype" w:eastAsia="Palatino Linotype" w:hAnsi="Palatino Linotype"/>
          <w:color w:val="8899AA"/>
          <w:sz w:val="19"/>
          <w:szCs w:val="19"/>
        </w:rPr>
        <w:t xml:space="preserve">  ·  </w:t>
      </w:r>
      <w:r>
        <w:rPr>
          <w:rFonts w:ascii="Palatino Linotype" w:cs="Palatino Linotype" w:eastAsia="Palatino Linotype" w:hAnsi="Palatino Linotype"/>
          <w:b/>
          <w:bCs/>
          <w:color w:val="8B1A1A"/>
          <w:sz w:val="19"/>
          <w:szCs w:val="19"/>
        </w:rPr>
        <w:t xml:space="preserve">Speculative</w:t>
      </w:r>
    </w:p>
    <w:p>
      <w:pPr>
        <w:spacing w:after="20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8899AA"/>
          <w:sz w:val="18"/>
          <w:szCs w:val="18"/>
        </w:rPr>
        <w:t xml:space="preserve">4.5σ internal consistency  ·  Eight sections  ·  Derivation chain: 𝕊 → F=ma verified</w:t>
      </w:r>
    </w:p>
    <w:p>
      <w:pPr>
        <w:pBdr>
          <w:bottom w:val="single" w:color="2A3A5A" w:sz="6" w:space="1"/>
        </w:pBdr>
        <w:spacing w:after="80" w:before="8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8899AA"/>
          <w:spacing w:val="80"/>
          <w:sz w:val="17"/>
          <w:szCs w:val="17"/>
        </w:rPr>
        <w:t xml:space="preserve">OPEN COLLABORATION — TIER STRUCTURE</w:t>
      </w:r>
    </w:p>
    <w:p>
      <w:pPr>
        <w:spacing w:after="4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z w:val="20"/>
          <w:szCs w:val="20"/>
        </w:rPr>
        <w:t xml:space="preserve">Mathematical Validators  </w:t>
      </w:r>
      <w:r>
        <w:rPr>
          <w:rFonts w:ascii="Palatino Linotype" w:cs="Palatino Linotype" w:eastAsia="Palatino Linotype" w:hAnsi="Palatino Linotype"/>
          <w:i/>
          <w:iCs/>
          <w:color w:val="8899AA"/>
          <w:sz w:val="18"/>
          <w:szCs w:val="18"/>
        </w:rPr>
        <w:t xml:space="preserve">Geoffrey Dixon · John Baez · Grant Sanderson · Taco Cohen · Alain Connes</w:t>
      </w:r>
    </w:p>
    <w:p>
      <w:pPr>
        <w:spacing w:after="4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z w:val="20"/>
          <w:szCs w:val="20"/>
        </w:rPr>
        <w:t xml:space="preserve">Credentialed Public Witnesses  </w:t>
      </w:r>
      <w:r>
        <w:rPr>
          <w:rFonts w:ascii="Palatino Linotype" w:cs="Palatino Linotype" w:eastAsia="Palatino Linotype" w:hAnsi="Palatino Linotype"/>
          <w:i/>
          <w:iCs/>
          <w:color w:val="8899AA"/>
          <w:sz w:val="18"/>
          <w:szCs w:val="18"/>
        </w:rPr>
        <w:t xml:space="preserve">Derek Muller (PhD Physics) · Arvin Ash · Brady Haran</w:t>
      </w:r>
    </w:p>
    <w:p>
      <w:pPr>
        <w:spacing w:after="1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1A2E"/>
          <w:sz w:val="20"/>
          <w:szCs w:val="20"/>
        </w:rPr>
        <w:t xml:space="preserve">Institutional Anchors  </w:t>
      </w:r>
      <w:r>
        <w:rPr>
          <w:rFonts w:ascii="Palatino Linotype" w:cs="Palatino Linotype" w:eastAsia="Palatino Linotype" w:hAnsi="Palatino Linotype"/>
          <w:i/>
          <w:iCs/>
          <w:color w:val="8899AA"/>
          <w:sz w:val="18"/>
          <w:szCs w:val="18"/>
        </w:rPr>
        <w:t xml:space="preserve">Max Tegmark · Yann LeCun · arXiv preprint (timestamp pending)</w:t>
      </w:r>
    </w:p>
    <w:p>
      <w:pPr>
        <w:pBdr>
          <w:bottom w:val="single" w:color="2A3A5A" w:sz="6" w:space="1"/>
        </w:pBdr>
        <w:spacing w:after="80" w:before="8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C8A84B"/>
          <w:sz w:val="28"/>
          <w:szCs w:val="28"/>
        </w:rPr>
        <w:t xml:space="preserve">"</w:t>
      </w:r>
      <w:r>
        <w:rPr>
          <w:rFonts w:ascii="Palatino Linotype" w:cs="Palatino Linotype" w:eastAsia="Palatino Linotype" w:hAnsi="Palatino Linotype"/>
          <w:i/>
          <w:iCs/>
          <w:color w:val="2E3A5C"/>
          <w:sz w:val="22"/>
          <w:szCs w:val="22"/>
        </w:rPr>
        <w:t xml:space="preserve">The mathematics is not describing different things.
The mathematics is describing one thing — from every angle.</w:t>
      </w:r>
      <w:r>
        <w:rPr>
          <w:rFonts w:ascii="Palatino Linotype" w:cs="Palatino Linotype" w:eastAsia="Palatino Linotype" w:hAnsi="Palatino Linotype"/>
          <w:color w:val="C8A84B"/>
          <w:sz w:val="28"/>
          <w:szCs w:val="28"/>
        </w:rPr>
        <w:t xml:space="preserve">"</w:t>
      </w:r>
    </w:p>
    <w:p>
      <w:pPr>
        <w:spacing w:after="12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8899AA"/>
          <w:spacing w:val="40"/>
          <w:sz w:val="19"/>
          <w:szCs w:val="19"/>
        </w:rPr>
        <w:t xml:space="preserve">Refine. Restructure if necessary. Stand behind the results.</w:t>
      </w:r>
    </w:p>
    <w:p>
      <w:pPr>
        <w:pBdr>
          <w:bottom w:val="single" w:color="2A3A5A" w:sz="6" w:space="1"/>
        </w:pBdr>
        <w:spacing w:after="80" w:before="80"/>
      </w:pPr>
      <w:r>
        <w:t xml:space="preserve"/>
      </w:r>
    </w:p>
    <w:p>
      <w:pPr>
        <w:spacing w:after="0" w:before="60"/>
        <w:jc w:val="center"/>
      </w:pPr>
      <w:r>
        <w:rPr>
          <w:rFonts w:ascii="Courier New" w:cs="Courier New" w:eastAsia="Courier New" w:hAnsi="Courier New"/>
          <w:color w:val="8899AA"/>
          <w:sz w:val="15"/>
          <w:szCs w:val="15"/>
        </w:rPr>
        <w:t xml:space="preserve">Compiled: April 12, 2026  ·  Eureka, California  ·  Version 2.0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2026-04-12T22:35:54.298Z</dcterms:created>
  <dcterms:modified xsi:type="dcterms:W3CDTF">2026-04-12T22:35:54.299Z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