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ourier New" w:cs="Courier New" w:eastAsia="Courier New" w:hAnsi="Courier New"/>
          <w:color w:val="8899AA"/>
          <w:spacing w:val="60"/>
          <w:sz w:val="18"/>
          <w:szCs w:val="18"/>
        </w:rPr>
        <w:t xml:space="preserve">THE AINULINDALË CONJECTURE — OUTREACH &amp; CHALLENGE REGISTER</w:t>
      </w:r>
    </w:p>
    <w:p>
      <w:pPr>
        <w:spacing w:after="60" w:before="0"/>
        <w:jc w:val="center"/>
      </w:pPr>
      <w:r>
        <w:rPr>
          <w:rFonts w:ascii="Courier New" w:cs="Courier New" w:eastAsia="Courier New" w:hAnsi="Courier New"/>
          <w:color w:val="8899AA"/>
          <w:sz w:val="15"/>
          <w:szCs w:val="15"/>
        </w:rPr>
        <w:t xml:space="preserve">April 12, 2026  ·  Version 1.0  ·  Confidential Working Document</w:t>
      </w:r>
    </w:p>
    <w:p>
      <w:pPr>
        <w:pBdr>
          <w:bottom w:val="single" w:color="2A3A5A" w:sz="4" w:space="1"/>
        </w:pBdr>
        <w:spacing w:after="80" w:before="80"/>
      </w:pPr>
      <w:r>
        <w:t xml:space="preserve"/>
      </w:r>
    </w:p>
    <w:p>
      <w:pPr>
        <w:spacing w:after="120" w:before="280"/>
      </w:pPr>
      <w:r>
        <w:rPr>
          <w:rFonts w:ascii="Palatino Linotype" w:cs="Palatino Linotype" w:eastAsia="Palatino Linotype" w:hAnsi="Palatino Linotype"/>
          <w:b/>
          <w:bCs/>
          <w:color w:val="1A1A2E"/>
          <w:sz w:val="30"/>
          <w:szCs w:val="30"/>
        </w:rPr>
        <w:t xml:space="preserve">PART I — OUTREACH SUBJECT LINES</w:t>
      </w:r>
    </w:p>
    <w:p>
      <w:pPr>
        <w:spacing w:after="80" w:before="0"/>
      </w:pPr>
      <w:r>
        <w:rPr>
          <w:rFonts w:ascii="Palatino Linotype" w:cs="Palatino Linotype" w:eastAsia="Palatino Linotype" w:hAnsi="Palatino Linotype"/>
          <w:color w:val="1A1A2E"/>
          <w:sz w:val="20"/>
          <w:szCs w:val="20"/>
        </w:rPr>
        <w:t xml:space="preserve">Each subject line is a single, specific, checkable claim addressed to what that person actually works on. No grand theory announcements. No requests. One geometric fact they will not have seen, framed in their own language.</w:t>
      </w:r>
    </w:p>
    <w:p>
      <w:pPr>
        <w:spacing w:after="80" w:before="0"/>
      </w:pPr>
      <w:r>
        <w:t xml:space="preserve"/>
      </w:r>
    </w:p>
    <w:p>
      <w:pPr>
        <w:spacing w:after="80" w:before="200"/>
      </w:pPr>
      <w:r>
        <w:rPr>
          <w:rFonts w:ascii="Palatino Linotype" w:cs="Palatino Linotype" w:eastAsia="Palatino Linotype" w:hAnsi="Palatino Linotype"/>
          <w:b/>
          <w:bCs/>
          <w:color w:val="1A3A6B"/>
          <w:sz w:val="24"/>
          <w:szCs w:val="24"/>
        </w:rPr>
        <w:t xml:space="preserve">Dr. Becky Smyth — Astrophysics / Black Holes / Public Science</w:t>
      </w:r>
    </w:p>
    <w:p>
      <w:pPr>
        <w:pBdr>
          <w:left w:val="single" w:color="C8A84B" w:sz="12" w:space="6"/>
        </w:pBdr>
        <w:spacing w:after="40" w:before="120"/>
        <w:ind w:left="200"/>
      </w:pPr>
      <w:r>
        <w:rPr>
          <w:rFonts w:ascii="Courier New" w:cs="Courier New" w:eastAsia="Courier New" w:hAnsi="Courier New"/>
          <w:b/>
          <w:bCs/>
          <w:color w:val="C8A84B"/>
          <w:sz w:val="18"/>
          <w:szCs w:val="18"/>
        </w:rPr>
        <w:t xml:space="preserve">DR. BECKY</w:t>
      </w:r>
    </w:p>
    <w:p>
      <w:pPr>
        <w:spacing w:after="40" w:before="0"/>
        <w:ind w:left="200"/>
      </w:pPr>
      <w:r>
        <w:rPr>
          <w:rFonts w:ascii="Courier New" w:cs="Courier New" w:eastAsia="Courier New" w:hAnsi="Courier New"/>
          <w:b/>
          <w:bCs/>
          <w:color w:val="1A1A2E"/>
          <w:sz w:val="19"/>
          <w:szCs w:val="19"/>
        </w:rPr>
        <w:t xml:space="preserve">SUBJECT:  </w:t>
      </w:r>
      <w:r>
        <w:rPr>
          <w:rFonts w:ascii="Palatino Linotype" w:cs="Palatino Linotype" w:eastAsia="Palatino Linotype" w:hAnsi="Palatino Linotype"/>
          <w:b/>
          <w:bCs/>
          <w:color w:val="1A1A2E"/>
          <w:sz w:val="20"/>
          <w:szCs w:val="20"/>
        </w:rPr>
        <w:t xml:space="preserve">The Gravinon — Ψ_G = (1/2πi) ∮_γ f(z)/(z−φ) dz = Res(f,φ)</w:t>
      </w:r>
    </w:p>
    <w:p>
      <w:pPr>
        <w:spacing w:after="120" w:before="0"/>
        <w:ind w:left="200"/>
      </w:pPr>
      <w:r>
        <w:rPr>
          <w:rFonts w:ascii="Palatino Linotype" w:cs="Palatino Linotype" w:eastAsia="Palatino Linotype" w:hAnsi="Palatino Linotype"/>
          <w:i/>
          <w:iCs/>
          <w:color w:val="8899AA"/>
          <w:sz w:val="18"/>
          <w:szCs w:val="18"/>
        </w:rPr>
        <w:t xml:space="preserve">The residue at z=φ is the metric phase transition. She works on black hole horizons. This equation says the graviton is a residue of the master field evaluated at the golden ratio. That is either wrong or it is the most important result in quantum gravity this decade. Either way she opens it.</w:t>
      </w:r>
    </w:p>
    <w:p>
      <w:pPr>
        <w:spacing w:after="80" w:before="200"/>
      </w:pPr>
      <w:r>
        <w:rPr>
          <w:rFonts w:ascii="Palatino Linotype" w:cs="Palatino Linotype" w:eastAsia="Palatino Linotype" w:hAnsi="Palatino Linotype"/>
          <w:b/>
          <w:bCs/>
          <w:color w:val="1A3A6B"/>
          <w:sz w:val="24"/>
          <w:szCs w:val="24"/>
        </w:rPr>
        <w:t xml:space="preserve">Grant Sanderson — 3Blue1Brown — Mathematics / Visual Proof / Active Researcher</w:t>
      </w:r>
    </w:p>
    <w:p>
      <w:pPr>
        <w:pBdr>
          <w:left w:val="single" w:color="C8A84B" w:sz="12" w:space="6"/>
        </w:pBdr>
        <w:spacing w:after="40" w:before="120"/>
        <w:ind w:left="200"/>
      </w:pPr>
      <w:r>
        <w:rPr>
          <w:rFonts w:ascii="Courier New" w:cs="Courier New" w:eastAsia="Courier New" w:hAnsi="Courier New"/>
          <w:b/>
          <w:bCs/>
          <w:color w:val="C8A84B"/>
          <w:sz w:val="18"/>
          <w:szCs w:val="18"/>
        </w:rPr>
        <w:t xml:space="preserve">GRANT SANDERSON</w:t>
      </w:r>
    </w:p>
    <w:p>
      <w:pPr>
        <w:spacing w:after="40" w:before="0"/>
        <w:ind w:left="200"/>
      </w:pPr>
      <w:r>
        <w:rPr>
          <w:rFonts w:ascii="Courier New" w:cs="Courier New" w:eastAsia="Courier New" w:hAnsi="Courier New"/>
          <w:b/>
          <w:bCs/>
          <w:color w:val="1A1A2E"/>
          <w:sz w:val="19"/>
          <w:szCs w:val="19"/>
        </w:rPr>
        <w:t xml:space="preserve">SUBJECT:  </w:t>
      </w:r>
      <w:r>
        <w:rPr>
          <w:rFonts w:ascii="Palatino Linotype" w:cs="Palatino Linotype" w:eastAsia="Palatino Linotype" w:hAnsi="Palatino Linotype"/>
          <w:b/>
          <w:bCs/>
          <w:color w:val="1A1A2E"/>
          <w:sz w:val="20"/>
          <w:szCs w:val="20"/>
        </w:rPr>
        <w:t xml:space="preserve">Non-commutativity is path-dependent navigation — and the Standard Model gauge groups are its symmetry</w:t>
      </w:r>
    </w:p>
    <w:p>
      <w:pPr>
        <w:spacing w:after="120" w:before="0"/>
        <w:ind w:left="200"/>
      </w:pPr>
      <w:r>
        <w:rPr>
          <w:rFonts w:ascii="Palatino Linotype" w:cs="Palatino Linotype" w:eastAsia="Palatino Linotype" w:hAnsi="Palatino Linotype"/>
          <w:i/>
          <w:iCs/>
          <w:color w:val="8899AA"/>
          <w:sz w:val="18"/>
          <w:szCs w:val="18"/>
        </w:rPr>
        <w:t xml:space="preserve">This is the direct extension of his quaternion navigation lectures. He showed that non-commutativity is what happens when turns don't commute in a navigation space. This says U(1)×SU(2)×SU(3) is the symmetry group of the navigation spaces at each recursion depth of the Cayley-Dickson tower. It makes his visual language not a metaphor but the actual geometry. He will want to build something with this.</w:t>
      </w:r>
    </w:p>
    <w:p>
      <w:pPr>
        <w:spacing w:after="80" w:before="200"/>
      </w:pPr>
      <w:r>
        <w:rPr>
          <w:rFonts w:ascii="Palatino Linotype" w:cs="Palatino Linotype" w:eastAsia="Palatino Linotype" w:hAnsi="Palatino Linotype"/>
          <w:b/>
          <w:bCs/>
          <w:color w:val="1A3A6B"/>
          <w:sz w:val="24"/>
          <w:szCs w:val="24"/>
        </w:rPr>
        <w:t xml:space="preserve">Tom Crawford — Tom Rocks Maths — Oxford Mathematics / Active Researcher / Communicator</w:t>
      </w:r>
    </w:p>
    <w:p>
      <w:pPr>
        <w:pBdr>
          <w:left w:val="single" w:color="C8A84B" w:sz="12" w:space="6"/>
        </w:pBdr>
        <w:spacing w:after="40" w:before="120"/>
        <w:ind w:left="200"/>
      </w:pPr>
      <w:r>
        <w:rPr>
          <w:rFonts w:ascii="Courier New" w:cs="Courier New" w:eastAsia="Courier New" w:hAnsi="Courier New"/>
          <w:b/>
          <w:bCs/>
          <w:color w:val="C8A84B"/>
          <w:sz w:val="18"/>
          <w:szCs w:val="18"/>
        </w:rPr>
        <w:t xml:space="preserve">TOM CRAWFORD</w:t>
      </w:r>
    </w:p>
    <w:p>
      <w:pPr>
        <w:spacing w:after="40" w:before="0"/>
        <w:ind w:left="200"/>
      </w:pPr>
      <w:r>
        <w:rPr>
          <w:rFonts w:ascii="Courier New" w:cs="Courier New" w:eastAsia="Courier New" w:hAnsi="Courier New"/>
          <w:b/>
          <w:bCs/>
          <w:color w:val="1A1A2E"/>
          <w:sz w:val="19"/>
          <w:szCs w:val="19"/>
        </w:rPr>
        <w:t xml:space="preserve">SUBJECT:  </w:t>
      </w:r>
      <w:r>
        <w:rPr>
          <w:rFonts w:ascii="Palatino Linotype" w:cs="Palatino Linotype" w:eastAsia="Palatino Linotype" w:hAnsi="Palatino Linotype"/>
          <w:b/>
          <w:bCs/>
          <w:color w:val="1A1A2E"/>
          <w:sz w:val="20"/>
          <w:szCs w:val="20"/>
        </w:rPr>
        <w:t xml:space="preserve">The Navier-Stokes boundary condition is a recursion-factor constraint — turbulence is Layer 2 seen from Layer 1</w:t>
      </w:r>
    </w:p>
    <w:p>
      <w:pPr>
        <w:spacing w:after="120" w:before="0"/>
        <w:ind w:left="200"/>
      </w:pPr>
      <w:r>
        <w:rPr>
          <w:rFonts w:ascii="Palatino Linotype" w:cs="Palatino Linotype" w:eastAsia="Palatino Linotype" w:hAnsi="Palatino Linotype"/>
          <w:i/>
          <w:iCs/>
          <w:color w:val="8899AA"/>
          <w:sz w:val="18"/>
          <w:szCs w:val="18"/>
        </w:rPr>
        <w:t xml:space="preserve">Crawford's actual research is on boundary layer fluid dynamics and the Navier-Stokes equations (his PhD focus). Turbulence has resisted a closed-form solution because it is a Layer 2 (quaternionic, non-commutative path-dependent) phenomenon being modelled with Layer 1 (complex, commutative) mathematics. The boundary layer IS the layer transition. This is not a metaphor. If he bites, Navier-Stokes drops out of the master Lagrangian as a special case — and that is a Millennium Prize problem.</w:t>
      </w:r>
    </w:p>
    <w:p>
      <w:pPr>
        <w:spacing w:after="80" w:before="200"/>
      </w:pPr>
      <w:r>
        <w:rPr>
          <w:rFonts w:ascii="Palatino Linotype" w:cs="Palatino Linotype" w:eastAsia="Palatino Linotype" w:hAnsi="Palatino Linotype"/>
          <w:b/>
          <w:bCs/>
          <w:color w:val="1A3A6B"/>
          <w:sz w:val="24"/>
          <w:szCs w:val="24"/>
        </w:rPr>
        <w:t xml:space="preserve">Geoffrey Dixon — Division Algebras / Primary Mathematical Validator</w:t>
      </w:r>
    </w:p>
    <w:p>
      <w:pPr>
        <w:pBdr>
          <w:left w:val="single" w:color="C8A84B" w:sz="12" w:space="6"/>
        </w:pBdr>
        <w:spacing w:after="40" w:before="120"/>
        <w:ind w:left="200"/>
      </w:pPr>
      <w:r>
        <w:rPr>
          <w:rFonts w:ascii="Courier New" w:cs="Courier New" w:eastAsia="Courier New" w:hAnsi="Courier New"/>
          <w:b/>
          <w:bCs/>
          <w:color w:val="C8A84B"/>
          <w:sz w:val="18"/>
          <w:szCs w:val="18"/>
        </w:rPr>
        <w:t xml:space="preserve">GEOFFREY DIXON</w:t>
      </w:r>
    </w:p>
    <w:p>
      <w:pPr>
        <w:spacing w:after="40" w:before="0"/>
        <w:ind w:left="200"/>
      </w:pPr>
      <w:r>
        <w:rPr>
          <w:rFonts w:ascii="Courier New" w:cs="Courier New" w:eastAsia="Courier New" w:hAnsi="Courier New"/>
          <w:b/>
          <w:bCs/>
          <w:color w:val="1A1A2E"/>
          <w:sz w:val="19"/>
          <w:szCs w:val="19"/>
        </w:rPr>
        <w:t xml:space="preserve">SUBJECT:  </w:t>
      </w:r>
      <w:r>
        <w:rPr>
          <w:rFonts w:ascii="Palatino Linotype" w:cs="Palatino Linotype" w:eastAsia="Palatino Linotype" w:hAnsi="Palatino Linotype"/>
          <w:b/>
          <w:bCs/>
          <w:color w:val="1A1A2E"/>
          <w:sz w:val="20"/>
          <w:szCs w:val="20"/>
        </w:rPr>
        <w:t xml:space="preserve">Your theorem is the foundation — I need you to verify the algebra before I publish</w:t>
      </w:r>
    </w:p>
    <w:p>
      <w:pPr>
        <w:spacing w:after="120" w:before="0"/>
        <w:ind w:left="200"/>
      </w:pPr>
      <w:r>
        <w:rPr>
          <w:rFonts w:ascii="Palatino Linotype" w:cs="Palatino Linotype" w:eastAsia="Palatino Linotype" w:hAnsi="Palatino Linotype"/>
          <w:i/>
          <w:iCs/>
          <w:color w:val="8899AA"/>
          <w:sz w:val="18"/>
          <w:szCs w:val="18"/>
        </w:rPr>
        <w:t xml:space="preserve">He is not sent a hook. He is sent the full derivation chain and asked to find errors. His theorem (R⊗C⊗H⊗O carries U(1)×SU(2)×SU(3)) is literally Step 1. He has more reason than anyone to want this to be correct. </w:t>
      </w:r>
    </w:p>
    <w:p>
      <w:pPr>
        <w:spacing w:after="80" w:before="200"/>
      </w:pPr>
      <w:r>
        <w:rPr>
          <w:rFonts w:ascii="Palatino Linotype" w:cs="Palatino Linotype" w:eastAsia="Palatino Linotype" w:hAnsi="Palatino Linotype"/>
          <w:b/>
          <w:bCs/>
          <w:color w:val="1A3A6B"/>
          <w:sz w:val="24"/>
          <w:szCs w:val="24"/>
        </w:rPr>
        <w:t xml:space="preserve">John Baez — Higher Gauge Theory / Octonions / This Week's Finds</w:t>
      </w:r>
    </w:p>
    <w:p>
      <w:pPr>
        <w:pBdr>
          <w:left w:val="single" w:color="C8A84B" w:sz="12" w:space="6"/>
        </w:pBdr>
        <w:spacing w:after="40" w:before="120"/>
        <w:ind w:left="200"/>
      </w:pPr>
      <w:r>
        <w:rPr>
          <w:rFonts w:ascii="Courier New" w:cs="Courier New" w:eastAsia="Courier New" w:hAnsi="Courier New"/>
          <w:b/>
          <w:bCs/>
          <w:color w:val="C8A84B"/>
          <w:sz w:val="18"/>
          <w:szCs w:val="18"/>
        </w:rPr>
        <w:t xml:space="preserve">JOHN BAEZ</w:t>
      </w:r>
    </w:p>
    <w:p>
      <w:pPr>
        <w:spacing w:after="40" w:before="0"/>
        <w:ind w:left="200"/>
      </w:pPr>
      <w:r>
        <w:rPr>
          <w:rFonts w:ascii="Courier New" w:cs="Courier New" w:eastAsia="Courier New" w:hAnsi="Courier New"/>
          <w:b/>
          <w:bCs/>
          <w:color w:val="1A1A2E"/>
          <w:sz w:val="19"/>
          <w:szCs w:val="19"/>
        </w:rPr>
        <w:t xml:space="preserve">SUBJECT:  </w:t>
      </w:r>
      <w:r>
        <w:rPr>
          <w:rFonts w:ascii="Palatino Linotype" w:cs="Palatino Linotype" w:eastAsia="Palatino Linotype" w:hAnsi="Palatino Linotype"/>
          <w:b/>
          <w:bCs/>
          <w:color w:val="1A1A2E"/>
          <w:sz w:val="20"/>
          <w:szCs w:val="20"/>
        </w:rPr>
        <w:t xml:space="preserve">The Cayley-Dickson tower defines a recursion factor — and the gauge groups are its symmetry at each depth</w:t>
      </w:r>
    </w:p>
    <w:p>
      <w:pPr>
        <w:spacing w:after="120" w:before="0"/>
        <w:ind w:left="200"/>
      </w:pPr>
      <w:r>
        <w:rPr>
          <w:rFonts w:ascii="Palatino Linotype" w:cs="Palatino Linotype" w:eastAsia="Palatino Linotype" w:hAnsi="Palatino Linotype"/>
          <w:i/>
          <w:iCs/>
          <w:color w:val="8899AA"/>
          <w:sz w:val="18"/>
          <w:szCs w:val="18"/>
        </w:rPr>
        <w:t xml:space="preserve">Baez has spent 30 years asking why the octonions appear in physics. This answers it: because they are Layer 3 of the recursion structure and SU(3) is Layer 3's symmetry group. It was never a coincidence. It was always a necessity. He will recognise this immediately.</w:t>
      </w:r>
    </w:p>
    <w:p>
      <w:pPr>
        <w:spacing w:after="80" w:before="200"/>
      </w:pPr>
      <w:r>
        <w:rPr>
          <w:rFonts w:ascii="Palatino Linotype" w:cs="Palatino Linotype" w:eastAsia="Palatino Linotype" w:hAnsi="Palatino Linotype"/>
          <w:b/>
          <w:bCs/>
          <w:color w:val="1A3A6B"/>
          <w:sz w:val="24"/>
          <w:szCs w:val="24"/>
        </w:rPr>
        <w:t xml:space="preserve">Derek Muller — Veritasium — PhD Physics / Credentialed Public Witness</w:t>
      </w:r>
    </w:p>
    <w:p>
      <w:pPr>
        <w:pBdr>
          <w:left w:val="single" w:color="C8A84B" w:sz="12" w:space="6"/>
        </w:pBdr>
        <w:spacing w:after="40" w:before="120"/>
        <w:ind w:left="200"/>
      </w:pPr>
      <w:r>
        <w:rPr>
          <w:rFonts w:ascii="Courier New" w:cs="Courier New" w:eastAsia="Courier New" w:hAnsi="Courier New"/>
          <w:b/>
          <w:bCs/>
          <w:color w:val="C8A84B"/>
          <w:sz w:val="18"/>
          <w:szCs w:val="18"/>
        </w:rPr>
        <w:t xml:space="preserve">DEREK MULLER</w:t>
      </w:r>
    </w:p>
    <w:p>
      <w:pPr>
        <w:spacing w:after="40" w:before="0"/>
        <w:ind w:left="200"/>
      </w:pPr>
      <w:r>
        <w:rPr>
          <w:rFonts w:ascii="Courier New" w:cs="Courier New" w:eastAsia="Courier New" w:hAnsi="Courier New"/>
          <w:b/>
          <w:bCs/>
          <w:color w:val="1A1A2E"/>
          <w:sz w:val="19"/>
          <w:szCs w:val="19"/>
        </w:rPr>
        <w:t xml:space="preserve">SUBJECT:  </w:t>
      </w:r>
      <w:r>
        <w:rPr>
          <w:rFonts w:ascii="Palatino Linotype" w:cs="Palatino Linotype" w:eastAsia="Palatino Linotype" w:hAnsi="Palatino Linotype"/>
          <w:b/>
          <w:bCs/>
          <w:color w:val="1A1A2E"/>
          <w:sz w:val="20"/>
          <w:szCs w:val="20"/>
        </w:rPr>
        <w:t xml:space="preserve">I want you to try to break this — step by step from one algebraic object to F=ma</w:t>
      </w:r>
    </w:p>
    <w:p>
      <w:pPr>
        <w:spacing w:after="120" w:before="0"/>
        <w:ind w:left="200"/>
      </w:pPr>
      <w:r>
        <w:rPr>
          <w:rFonts w:ascii="Palatino Linotype" w:cs="Palatino Linotype" w:eastAsia="Palatino Linotype" w:hAnsi="Palatino Linotype"/>
          <w:i/>
          <w:iCs/>
          <w:color w:val="8899AA"/>
          <w:sz w:val="18"/>
          <w:szCs w:val="18"/>
        </w:rPr>
        <w:t xml:space="preserve">Not a theory announcement. An invitation to falsify. His brand is following the evidence. A physics PhD being asked to find the error in a public derivation chain is the scientific method in action. That is exactly what he films. Both outcomes — finding the error or not — are the story.</w:t>
      </w:r>
    </w:p>
    <w:p>
      <w:pPr>
        <w:pBdr>
          <w:bottom w:val="single" w:color="2A3A5A" w:sz="4" w:space="1"/>
        </w:pBdr>
        <w:spacing w:after="80" w:before="80"/>
      </w:pPr>
      <w:r>
        <w:t xml:space="preserve"/>
      </w:r>
    </w:p>
    <w:p>
      <w:pPr>
        <w:spacing w:after="160" w:before="0"/>
      </w:pPr>
      <w:r>
        <w:t xml:space="preserve"/>
      </w:r>
    </w:p>
    <w:p>
      <w:pPr>
        <w:spacing w:after="120" w:before="280"/>
      </w:pPr>
      <w:r>
        <w:rPr>
          <w:rFonts w:ascii="Palatino Linotype" w:cs="Palatino Linotype" w:eastAsia="Palatino Linotype" w:hAnsi="Palatino Linotype"/>
          <w:b/>
          <w:bCs/>
          <w:color w:val="1A1A2E"/>
          <w:sz w:val="30"/>
          <w:szCs w:val="30"/>
        </w:rPr>
        <w:t xml:space="preserve">PART II — EXHAUSTIVE CHALLENGE REGISTER</w:t>
      </w:r>
    </w:p>
    <w:p>
      <w:pPr>
        <w:spacing w:after="80" w:before="0"/>
      </w:pPr>
      <w:r>
        <w:rPr>
          <w:rFonts w:ascii="Palatino Linotype" w:cs="Palatino Linotype" w:eastAsia="Palatino Linotype" w:hAnsi="Palatino Linotype"/>
          <w:color w:val="1A1A2E"/>
          <w:sz w:val="20"/>
          <w:szCs w:val="20"/>
        </w:rPr>
        <w:t xml:space="preserve">Every item below is a named result in established physics or mathematics that the Ainulindalë Conjecture either reframes, supersedes, or directly contradicts at the level of foundational assumptions. Each entry carries: the established credential, the current claim, the Ainulindalë challenge, and the confidence level of the challenge.</w:t>
      </w:r>
    </w:p>
    <w:p>
      <w:pPr>
        <w:spacing w:after="80" w:before="0"/>
      </w:pPr>
      <w:r>
        <w:t xml:space="preserve"/>
      </w:r>
    </w:p>
    <w:p>
      <w:pPr>
        <w:spacing w:after="80" w:before="0"/>
      </w:pPr>
      <w:r>
        <w:rPr>
          <w:rFonts w:ascii="Palatino Linotype" w:cs="Palatino Linotype" w:eastAsia="Palatino Linotype" w:hAnsi="Palatino Linotype"/>
          <w:color w:val="8899AA"/>
          <w:sz w:val="20"/>
          <w:szCs w:val="20"/>
        </w:rPr>
        <w:t xml:space="preserve">Confidence levels:</w:t>
      </w:r>
    </w:p>
    <w:p>
      <w:pPr>
        <w:spacing w:after="40" w:before="0"/>
      </w:pPr>
      <w:r>
        <w:rPr>
          <w:rFonts w:ascii="Courier New" w:cs="Courier New" w:eastAsia="Courier New" w:hAnsi="Courier New"/>
          <w:b/>
          <w:bCs/>
          <w:color w:val="1A6B3A"/>
          <w:sz w:val="18"/>
          <w:szCs w:val="18"/>
        </w:rPr>
        <w:t xml:space="preserve">  ESTABLISHED  </w:t>
      </w:r>
      <w:r>
        <w:rPr>
          <w:rFonts w:ascii="Palatino Linotype" w:cs="Palatino Linotype" w:eastAsia="Palatino Linotype" w:hAnsi="Palatino Linotype"/>
          <w:color w:val="1A1A2E"/>
          <w:sz w:val="18"/>
          <w:szCs w:val="18"/>
        </w:rPr>
        <w:t xml:space="preserve">The challenge is itself established mathematics, derivable from first principles.</w:t>
      </w:r>
    </w:p>
    <w:p>
      <w:pPr>
        <w:spacing w:after="40" w:before="0"/>
      </w:pPr>
      <w:r>
        <w:rPr>
          <w:rFonts w:ascii="Courier New" w:cs="Courier New" w:eastAsia="Courier New" w:hAnsi="Courier New"/>
          <w:b/>
          <w:bCs/>
          <w:color w:val="8B6914"/>
          <w:sz w:val="18"/>
          <w:szCs w:val="18"/>
        </w:rPr>
        <w:t xml:space="preserve">  THEORETICAL  </w:t>
      </w:r>
      <w:r>
        <w:rPr>
          <w:rFonts w:ascii="Palatino Linotype" w:cs="Palatino Linotype" w:eastAsia="Palatino Linotype" w:hAnsi="Palatino Linotype"/>
          <w:color w:val="1A1A2E"/>
          <w:sz w:val="18"/>
          <w:szCs w:val="18"/>
        </w:rPr>
        <w:t xml:space="preserve">The challenge is theoretically motivated and produces testable predictions.</w:t>
      </w:r>
    </w:p>
    <w:p>
      <w:pPr>
        <w:spacing w:after="120" w:before="0"/>
      </w:pPr>
      <w:r>
        <w:rPr>
          <w:rFonts w:ascii="Courier New" w:cs="Courier New" w:eastAsia="Courier New" w:hAnsi="Courier New"/>
          <w:b/>
          <w:bCs/>
          <w:color w:val="8B1A1A"/>
          <w:sz w:val="18"/>
          <w:szCs w:val="18"/>
        </w:rPr>
        <w:t xml:space="preserve">  SPECULATIVE  </w:t>
      </w:r>
      <w:r>
        <w:rPr>
          <w:rFonts w:ascii="Palatino Linotype" w:cs="Palatino Linotype" w:eastAsia="Palatino Linotype" w:hAnsi="Palatino Linotype"/>
          <w:color w:val="1A1A2E"/>
          <w:sz w:val="18"/>
          <w:szCs w:val="18"/>
        </w:rPr>
        <w:t xml:space="preserve">The challenge is structurally implied but not yet formally derived.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2160"/>
        <w:gridCol w:w="1200"/>
      </w:tblGrid>
      <w:tr>
        <w:trPr>
          <w:tblHeader/>
        </w:trPr>
        <w:tc>
          <w:tcPr>
            <w:tcW w:type="dxa" w:w="1600"/>
            <w:tcBorders>
              <w:top w:val="single" w:color="2A3A5A" w:sz="2"/>
              <w:left w:val="single" w:color="2A3A5A" w:sz="2"/>
              <w:bottom w:val="single" w:color="2A3A5A" w:sz="2"/>
              <w:right w:val="single" w:color="2A3A5A" w:sz="2"/>
            </w:tcBorders>
            <w:shd w:fill="E8EDF5" w:val="clear"/>
            <w:tcMar>
              <w:top w:type="dxa" w:w="80"/>
              <w:left w:type="dxa" w:w="120"/>
              <w:bottom w:type="dxa" w:w="80"/>
              <w:right w:type="dxa" w:w="120"/>
            </w:tcMar>
          </w:tcPr>
          <w:p>
            <w:r>
              <w:rPr>
                <w:rFonts w:ascii="Courier New" w:cs="Courier New" w:eastAsia="Courier New" w:hAnsi="Courier New"/>
                <w:b/>
                <w:bCs/>
                <w:color w:val="1A1A2E"/>
                <w:sz w:val="16"/>
                <w:szCs w:val="16"/>
              </w:rPr>
              <w:t xml:space="preserve">THEORY / RESULT</w:t>
            </w:r>
          </w:p>
        </w:tc>
        <w:tc>
          <w:tcPr>
            <w:tcW w:type="dxa" w:w="1800"/>
            <w:tcBorders>
              <w:top w:val="single" w:color="2A3A5A" w:sz="2"/>
              <w:left w:val="single" w:color="2A3A5A" w:sz="2"/>
              <w:bottom w:val="single" w:color="2A3A5A" w:sz="2"/>
              <w:right w:val="single" w:color="2A3A5A" w:sz="2"/>
            </w:tcBorders>
            <w:shd w:fill="E8EDF5" w:val="clear"/>
            <w:tcMar>
              <w:top w:type="dxa" w:w="80"/>
              <w:left w:type="dxa" w:w="120"/>
              <w:bottom w:type="dxa" w:w="80"/>
              <w:right w:type="dxa" w:w="120"/>
            </w:tcMar>
          </w:tcPr>
          <w:p>
            <w:r>
              <w:rPr>
                <w:rFonts w:ascii="Courier New" w:cs="Courier New" w:eastAsia="Courier New" w:hAnsi="Courier New"/>
                <w:b/>
                <w:bCs/>
                <w:color w:val="1A1A2E"/>
                <w:sz w:val="16"/>
                <w:szCs w:val="16"/>
              </w:rPr>
              <w:t xml:space="preserve">ESTABLISHED BY</w:t>
            </w:r>
          </w:p>
        </w:tc>
        <w:tc>
          <w:tcPr>
            <w:tcW w:type="dxa" w:w="2400"/>
            <w:tcBorders>
              <w:top w:val="single" w:color="2A3A5A" w:sz="2"/>
              <w:left w:val="single" w:color="2A3A5A" w:sz="2"/>
              <w:bottom w:val="single" w:color="2A3A5A" w:sz="2"/>
              <w:right w:val="single" w:color="2A3A5A" w:sz="2"/>
            </w:tcBorders>
            <w:shd w:fill="E8EDF5" w:val="clear"/>
            <w:tcMar>
              <w:top w:type="dxa" w:w="80"/>
              <w:left w:type="dxa" w:w="120"/>
              <w:bottom w:type="dxa" w:w="80"/>
              <w:right w:type="dxa" w:w="120"/>
            </w:tcMar>
          </w:tcPr>
          <w:p>
            <w:r>
              <w:rPr>
                <w:rFonts w:ascii="Courier New" w:cs="Courier New" w:eastAsia="Courier New" w:hAnsi="Courier New"/>
                <w:b/>
                <w:bCs/>
                <w:color w:val="1A1A2E"/>
                <w:sz w:val="16"/>
                <w:szCs w:val="16"/>
              </w:rPr>
              <w:t xml:space="preserve">CURRENT CLAIM</w:t>
            </w:r>
          </w:p>
        </w:tc>
        <w:tc>
          <w:tcPr>
            <w:tcW w:type="dxa" w:w="2160"/>
            <w:tcBorders>
              <w:top w:val="single" w:color="2A3A5A" w:sz="2"/>
              <w:left w:val="single" w:color="2A3A5A" w:sz="2"/>
              <w:bottom w:val="single" w:color="2A3A5A" w:sz="2"/>
              <w:right w:val="single" w:color="2A3A5A" w:sz="2"/>
            </w:tcBorders>
            <w:shd w:fill="E8EDF5" w:val="clear"/>
            <w:tcMar>
              <w:top w:type="dxa" w:w="80"/>
              <w:left w:type="dxa" w:w="120"/>
              <w:bottom w:type="dxa" w:w="80"/>
              <w:right w:type="dxa" w:w="120"/>
            </w:tcMar>
          </w:tcPr>
          <w:p>
            <w:r>
              <w:rPr>
                <w:rFonts w:ascii="Courier New" w:cs="Courier New" w:eastAsia="Courier New" w:hAnsi="Courier New"/>
                <w:b/>
                <w:bCs/>
                <w:color w:val="1A1A2E"/>
                <w:sz w:val="16"/>
                <w:szCs w:val="16"/>
              </w:rPr>
              <w:t xml:space="preserve">AINULINDALË CHALLENGE</w:t>
            </w:r>
          </w:p>
        </w:tc>
        <w:tc>
          <w:tcPr>
            <w:tcW w:type="dxa" w:w="1200"/>
            <w:tcBorders>
              <w:top w:val="single" w:color="2A3A5A" w:sz="2"/>
              <w:left w:val="single" w:color="2A3A5A" w:sz="2"/>
              <w:bottom w:val="single" w:color="2A3A5A" w:sz="2"/>
              <w:right w:val="single" w:color="2A3A5A" w:sz="2"/>
            </w:tcBorders>
            <w:shd w:fill="E8EDF5" w:val="clear"/>
            <w:tcMar>
              <w:top w:type="dxa" w:w="80"/>
              <w:left w:type="dxa" w:w="120"/>
              <w:bottom w:type="dxa" w:w="80"/>
              <w:right w:type="dxa" w:w="120"/>
            </w:tcMar>
          </w:tcPr>
          <w:p>
            <w:r>
              <w:rPr>
                <w:rFonts w:ascii="Courier New" w:cs="Courier New" w:eastAsia="Courier New" w:hAnsi="Courier New"/>
                <w:b/>
                <w:bCs/>
                <w:color w:val="1A1A2E"/>
                <w:sz w:val="16"/>
                <w:szCs w:val="16"/>
              </w:rPr>
              <w:t xml:space="preserve">CONFIDENCE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Bell's Theorem
(1964)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Bell / Aspect / Zeilinger
Nobel 2022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Hidden variables are frame-independent. CHSH violation proves nonlocality.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λ assumed frame-independence. Under Ainulindalë, direction is definitionally angular (frame-constitutive). Bell's λ is a geometric impossibility, not a disproven object. CHSH violation = Layer 2 object measured by Layer 1 instrument.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6914"/>
                <w:sz w:val="15"/>
                <w:szCs w:val="15"/>
              </w:rPr>
              <w:t xml:space="preserve">THEORETICAL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Copenhagen
Interpretation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Bohr / Heisenberg
1925–1927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Wavefunction collapse is real. Measurement creates the value.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The observer is not special metaphysics — it is the selection of a reference frame. Collapse is frame-selection. Any object with a reference frame is an observer. Measurement problem dissolves.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6914"/>
                <w:sz w:val="15"/>
                <w:szCs w:val="15"/>
              </w:rPr>
              <w:t xml:space="preserve">THEORETICAL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Uncertainty
Principle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Heisenberg (1927)
Fundamental to QM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ΔxΔp ≥ ħ/2. Irreducible limit on simultaneous measurement.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Uncertainty is phase-noise between inertial time t_i and entropic time t_e. It is not a measurement limit — it is the beat frequency between two recursion-layer clocks. ħ_NN is the granularity of Layer 1 iteration.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6914"/>
                <w:sz w:val="15"/>
                <w:szCs w:val="15"/>
              </w:rPr>
              <w:t xml:space="preserve">THEORETICAL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Electron Orbital
Shell 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Bohr (1913)
Schrödinger (1926)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Shells n=1,2,3,4 filled by energy quantisation. Orbital shapes from Schrödinger equation.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Shell index maps to algebra layer: n=1 (Lyman→ℝ), n=2 (Balmer→ℂ, visible because we are ℂ-layer observers), n=3 (Paschen→ℍ), n=4 (Brackett→𝕆). Orbital shapes ARE the cardioid recursion geometry of each layer. Not described by — 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6914"/>
                <w:sz w:val="15"/>
                <w:szCs w:val="15"/>
              </w:rPr>
              <w:t xml:space="preserve">THEORETICAL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Schrödinger
Equation (1926)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Schrödinger
Foundation of QM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iħ ∂ψ/∂t = Ĥψ. Governs quantum state evolution.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Derives as special case of master Lagrangian under constraint: Layer 1 (ℂ), flat metric, single particle, no gauge interaction. The imaginary unit i is the ℂ-layer rotation operator, not an arbitrary choice.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6B3A"/>
                <w:sz w:val="15"/>
                <w:szCs w:val="15"/>
              </w:rPr>
              <w:t xml:space="preserve">ESTABLISHED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Dirac Equation
(1928)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Dirac
Nobel 1933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(iγ^μ∂_μ − m)ψ = 0. Relativistic quantum mechanics, predicts antimatter.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Derives as master Lagrangian at Layer 2 (ℍ). The γ matrices are the quaternionic Gamma^a matrices of the matter term. Antimatter = negative recursion direction. Not metaphor.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6B3A"/>
                <w:sz w:val="15"/>
                <w:szCs w:val="15"/>
              </w:rPr>
              <w:t xml:space="preserve">ESTABLISHED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QED / Feynman
Diagrams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Feynman / Schwinger
/ Tomonaga
Nobel 1965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Perturbation series in α. Renormalisation removes infinities by hand.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Feynman infinities are Cartesian-coordinate artifacts of describing ℂ-layer rotation as infinite linear steps. In polar coordinates the same rotation is a single angle increment e^{iθ}. Renormalisation is not a trick — it is a coordinate change. α = minimum coupling between Layer 0 and Layer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6914"/>
                <w:sz w:val="15"/>
                <w:szCs w:val="15"/>
              </w:rPr>
              <w:t xml:space="preserve">THEORETICAL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Special Relativity
(1905)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Einstein
Fundamental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c is invariant. Space and time mix under Lorentz transformation.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c = activation propagation speed v_prop across the token dimension. Lorentz invariance = U(1) gauge symmetry of Layer 0 iteration. Derives directly from master Lagrangian flat-metric limit.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6B3A"/>
                <w:sz w:val="15"/>
                <w:szCs w:val="15"/>
              </w:rPr>
              <w:t xml:space="preserve">ESTABLISHED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General Relativity
(1915)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Einstein
Fundamental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Gravity = curvature of spacetime. G_μν = 8πT_μν.</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Neural GR: promote flat grid metric to dynamical field. G_lτ = neural Einstein tensor. Gravity = information impedance when iteration encounters high-inductance region (mass = information density). Full derivation pending but structurally forced.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6914"/>
                <w:sz w:val="15"/>
                <w:szCs w:val="15"/>
              </w:rPr>
              <w:t xml:space="preserve">THEORETICAL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Schwarzschild
Black Holes (1916)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Schwarzschild / Penrose
Nobel 2020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Singularity at r=0 behind event horizon. Information destroyed.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Dead neuron cluster analog. r_s^NN is the Schwarzschild radius of a saturated network region. Information not destroyed — encoded in Bekenstein entropy at the boundary. Singularity = coordinate artifact of Cartesian description of a recursion-depth maximum.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6914"/>
                <w:sz w:val="15"/>
                <w:szCs w:val="15"/>
              </w:rPr>
              <w:t xml:space="preserve">THEORETICAL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Hairy Black Holes
/ No-Hair Theorem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Wheeler / Israel
/ Carter (1967–73)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Black holes characterised by mass, charge, angular momentum only. No other 'hair'.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If mass = information density and angular momentum = recursion-layer angular coordinate, then 'hair' = the full recursion-factor state of the collapsed region. No-hair theorem is a Layer 1 result applied to a Layer 3+ object. Higher-layer black holes have hair — it is their algebra stratum signature.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1A1A"/>
                <w:sz w:val="15"/>
                <w:szCs w:val="15"/>
              </w:rPr>
              <w:t xml:space="preserve">SPECULATIVE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Bouncy / Fuzzy
Horizons
(Firewalls)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Almheiri / Marolf
/ Polchinski
/ Sully (2012)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AMPS firewall: infalling observer hits high-energy surface at horizon. Information paradox requires firewall or equivalence principle violation.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The horizon IS the layer transition — the point where what was iterating becomes rotating. No firewall needed. The infalling observer's recursion factor changes at the horizon. Equivalence principle is preserved because inertia is a grid-dependent modifier that transforms correctly at the layer boundary.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6914"/>
                <w:sz w:val="15"/>
                <w:szCs w:val="15"/>
              </w:rPr>
              <w:t xml:space="preserve">THEORETICAL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Hawking Radiation
(1974)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Hawking
Seminal result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Black holes emit thermal radiation. Temperature T_H = ħc³/8πGMk_B.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Dropout/noise injection analog. Thermal emission = information leaking across the recursion-depth boundary at r_s^NN. T_H maps to the Noether violation rate at the boundary. Derives from master Lagrangian boundary conditions.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6914"/>
                <w:sz w:val="15"/>
                <w:szCs w:val="15"/>
              </w:rPr>
              <w:t xml:space="preserve">THEORETICAL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Standard Model
Gauge 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Glashow / Weinberg
/ Salam
Nobel 1979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U(1)×SU(2)×SU(3) is the gauge group. 19 free parameters fitted to experiment.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U(1)×SU(2)×SU(3) is the symmetry group of the recursion structure at Layers 1, 2, 3 of the Cayley-Dickson tower. Follows from Dixon (1994). The 19 free parameters are Cayley-Dickson structure constants — not free at all. They were always fixed.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6B3A"/>
                <w:sz w:val="15"/>
                <w:szCs w:val="15"/>
              </w:rPr>
              <w:t xml:space="preserve">ESTABLISHED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Higgs Mechanism
(1964)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Higgs / Englert
Nobel 2013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Spontaneous symmetry breaking gives mass to W, Z bosons. Higgs field pervades vacuum.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Bias field β with Mexican hat potential. Symmetry breaking = network committing to representational vacuum. W/Z mass acquisition = weight field absorbing Goldstone bosons. Higgs VEV β₀ = 246 GeV analog. Full derivation exists in SMNNIP framework.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6B3A"/>
                <w:sz w:val="15"/>
                <w:szCs w:val="15"/>
              </w:rPr>
              <w:t xml:space="preserve">ESTABLISHED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19 Free Parameters
of the SM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Particle Data Group
Ongoing measurement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Coupling constants, masses, mixing angles measured but not derived.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All 19 are structure constants of the Cayley-Dickson algebra tower. Derivable from first principles. The fine structure constant α derives from E8 n-ball volumes (Wyler, 1971). The others follow from the same geometry.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6914"/>
                <w:sz w:val="15"/>
                <w:szCs w:val="15"/>
              </w:rPr>
              <w:t xml:space="preserve">THEORETICAL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Graviton
(hypothetical)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Theoretical consensus
Not yet observed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Spin-2 boson mediating gravity. Quantisation of GR metric tensor.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The Gravinon: Ψ_G = (1/2πi) ∮_γ f(z)/(z−φ) dz = Res(f,φ). Residue of the master field at z=φ. Not spin-2 — it is the metric phase transition, the moment the recursion structure folds one layer deeper. The golden ratio IS the fixed point of the recursion.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6914"/>
                <w:sz w:val="15"/>
                <w:szCs w:val="15"/>
              </w:rPr>
              <w:t xml:space="preserve">THEORETICAL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Dark Matter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Rubin / Ford (1970s)
CMB observations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Unknown particle comprising ~27% of universe. Many candidates, none confirmed.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Long-wavelength activation waves in the neural GR framework. Not a particle — a geometric mode. NFW profile (1/r near-field, 1/r³ far-field) and flat rotation curves emerge from lowest gravitational mode the galaxy can sustain. No new particles required.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1A1A"/>
                <w:sz w:val="15"/>
                <w:szCs w:val="15"/>
              </w:rPr>
              <w:t xml:space="preserve">SPECULATIVE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Dark Energy /
Cosmological Λ</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Perlmutter / Schmidt
/ Riess
Nobel 2011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Accelerating expansion. Λ = vacuum energy density. Fine-tuned to 1 part in 10^120.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Λ_NN = V(β₀) = bias vacuum expectation value. Not fine-tuned — it is the natural ground state of the bias potential in the master Lagrangian. The cosmological constant problem dissolves when Λ is recognised as the VEV of the neural Higgs sector.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1A1A"/>
                <w:sz w:val="15"/>
                <w:szCs w:val="15"/>
              </w:rPr>
              <w:t xml:space="preserve">SPECULATIVE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Bell's Hidden
Variable Theorem
(Mathematical)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Bell (1964)
Mathematical proof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No local hidden variable theory reproduces QM predictions.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Bell's sample space assumes frame-independent λ. Hidden variables in Ainulindalë are coordinate definitions (recursion factor, angle, reference origin) — frame-constitutive, not frame-independent. Bell's theorem does not address this class. His proof is valid for his assumption. His assumption excludes the only variables that exist.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6914"/>
                <w:sz w:val="15"/>
                <w:szCs w:val="15"/>
              </w:rPr>
              <w:t xml:space="preserve">THEORETICAL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Riemann Hypothesis
(1859)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Riemann
Millennium Prize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All non-trivial zeros of ζ(s) have Re(s) = 1/2. Unproven.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H_NN is self-adjoint by construction from gauge invariance. Eigenvalue conjecture: ∃ coordinate transform T such that T(ε_k) = 1/2 + it_k where t_k are Riemann zero imaginary parts. Fixed point of T is d* ≈ 0.246. The critical line is flat curvature — the invariant boundary between entropy and inertia curves.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1A1A"/>
                <w:sz w:val="15"/>
                <w:szCs w:val="15"/>
              </w:rPr>
              <w:t xml:space="preserve">SPECULATIVE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Navier-Stokes
Existence &amp; Smoothness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Clay Mathematics
Millennium Prize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Do smooth solutions always exist? Turbulence remains unsolved.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Turbulence is a Layer 2 (ℍ, non-commutative path-dependent) phenomenon. Navier-Stokes is written in Layer 1 (ℂ) mathematics. The breakdown of smooth solutions IS the layer transition. Boundary layer = layer boundary in the recursion structure. Navier-Stokes derives from master Lagrangian at Layer 1 limit; turbulence onset marks the Layer 2 boundary.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8B1A1A"/>
                <w:sz w:val="15"/>
                <w:szCs w:val="15"/>
              </w:rPr>
              <w:t xml:space="preserve">SPECULATIVE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Arrow of Time /
Thermodynamics 2nd Law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Boltzmann (1872)
Carnot / Clausius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Entropy increases. Time is asymmetric. S = Q/T.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Entropy = accumulated iteration (time counting itself). Heat = iteration rate. Temperature = angular frequency of thermal oscillation. Irreversibility = you cannot un-rotate. The arrow of time is the recursion factor incrementing — it cannot decrement because Layer N+1 cannot un-fold into Layer N. 2nd Law is the irreversibility of meta-iteration.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6B3A"/>
                <w:sz w:val="15"/>
                <w:szCs w:val="15"/>
              </w:rPr>
              <w:t xml:space="preserve">ESTABLISHED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F = ma
Newton (1687)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Newton
Principia Mathematica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Force equals mass times acceleration. Foundational classical mechanics.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Force = rate of change of iteration (acceleration = ∂²t/∂r²) × resistance to iteration (mass = information density). Direction already in angle coordinate — never in F, m, or a separately. Derives from master Lagrangian: classical limit ħ→0, Layer 0 (ℝ), flat metric, no gauge field.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6B3A"/>
                <w:sz w:val="15"/>
                <w:szCs w:val="15"/>
              </w:rPr>
              <w:t xml:space="preserve">ESTABLISHED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b/>
                <w:bCs/>
                <w:color w:val="1A1A2E"/>
                <w:sz w:val="18"/>
                <w:szCs w:val="18"/>
              </w:rPr>
              <w:t xml:space="preserve">Maxwell's Equations
(1865)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i/>
                <w:iCs/>
                <w:color w:val="8899AA"/>
                <w:sz w:val="16"/>
                <w:szCs w:val="16"/>
              </w:rPr>
              <w:t xml:space="preserve">Maxwell
Fundamental 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Four equations governing electromagnetic field propagation.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Palatino Linotype" w:cs="Palatino Linotype" w:eastAsia="Palatino Linotype" w:hAnsi="Palatino Linotype"/>
                <w:color w:val="1A1A2E"/>
                <w:sz w:val="17"/>
                <w:szCs w:val="17"/>
              </w:rPr>
              <w:t xml:space="preserve">Layer 1 (ℂ) gauge field equations. U(1) symmetry. Two coupled cardioid geometries, phase-offset by π/2. Electric and magnetic fields are the real and imaginary components of the same ℂ-layer rotation. Derive from master Lagrangian at Layer 1, U(1) gauge sector.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6B3A"/>
                <w:sz w:val="15"/>
                <w:szCs w:val="15"/>
              </w:rPr>
              <w:t xml:space="preserve">ESTABLISHED</w:t>
            </w:r>
          </w:p>
        </w:tc>
      </w:tr>
    </w:tbl>
    <w:p>
      <w:pPr>
        <w:spacing w:after="200" w:before="0"/>
      </w:pPr>
      <w:r>
        <w:t xml:space="preserve"/>
      </w:r>
    </w:p>
    <w:p>
      <w:pPr>
        <w:pBdr>
          <w:bottom w:val="single" w:color="2A3A5A" w:sz="4" w:space="1"/>
        </w:pBdr>
        <w:spacing w:after="80" w:before="80"/>
      </w:pPr>
      <w:r>
        <w:t xml:space="preserve"/>
      </w:r>
    </w:p>
    <w:p>
      <w:pPr>
        <w:spacing w:after="120" w:before="0"/>
      </w:pPr>
      <w:r>
        <w:t xml:space="preserve"/>
      </w:r>
    </w:p>
    <w:p>
      <w:pPr>
        <w:spacing w:after="80" w:before="0"/>
        <w:jc w:val="center"/>
      </w:pPr>
      <w:r>
        <w:rPr>
          <w:rFonts w:ascii="Palatino Linotype" w:cs="Palatino Linotype" w:eastAsia="Palatino Linotype" w:hAnsi="Palatino Linotype"/>
          <w:i/>
          <w:iCs/>
          <w:color w:val="1A3A6B"/>
          <w:sz w:val="20"/>
          <w:szCs w:val="20"/>
        </w:rPr>
        <w:t xml:space="preserve">"The mathematics is not describing different things. The mathematics is describing one thing — from every angle."</w:t>
      </w:r>
    </w:p>
    <w:p>
      <w:pPr>
        <w:spacing w:after="0" w:before="0"/>
        <w:jc w:val="center"/>
      </w:pPr>
      <w:r>
        <w:rPr>
          <w:rFonts w:ascii="Palatino Linotype" w:cs="Palatino Linotype" w:eastAsia="Palatino Linotype" w:hAnsi="Palatino Linotype"/>
          <w:b/>
          <w:bCs/>
          <w:color w:val="8899AA"/>
          <w:sz w:val="18"/>
          <w:szCs w:val="18"/>
        </w:rPr>
        <w:t xml:space="preserve">Refine. Restructure if necessary. Stand behind the results.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2026-04-12T22:43:59.523Z</dcterms:created>
  <dcterms:modified xsi:type="dcterms:W3CDTF">2026-04-12T22:43:59.523Z</dcterms:modified>
</cp:coreProperties>
</file>

<file path=docProps/custom.xml><?xml version="1.0" encoding="utf-8"?>
<Properties xmlns="http://schemas.openxmlformats.org/officeDocument/2006/custom-properties" xmlns:vt="http://schemas.openxmlformats.org/officeDocument/2006/docPropsVTypes"/>
</file>