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double" w:color="1F3A6E" w:sz="6" w:space="1"/>
        </w:pBdr>
        <w:spacing w:after="200" w:before="400"/>
        <w:jc w:val="center"/>
      </w:pPr>
      <w:r>
        <w:rPr>
          <w:rFonts w:ascii="Arial" w:cs="Arial" w:eastAsia="Arial" w:hAnsi="Arial"/>
          <w:sz w:val="22"/>
          <w:szCs w:val="22"/>
        </w:rPr>
        <w:t xml:space="preserve"/>
      </w:r>
    </w:p>
    <w:p>
      <w:pPr>
        <w:spacing w:after="80" w:before="0"/>
        <w:jc w:val="center"/>
      </w:pPr>
      <w:r>
        <w:rPr>
          <w:rFonts w:ascii="Arial" w:cs="Arial" w:eastAsia="Arial" w:hAnsi="Arial"/>
          <w:b/>
          <w:bCs/>
          <w:caps/>
          <w:color w:val="999999"/>
          <w:sz w:val="28"/>
          <w:szCs w:val="28"/>
        </w:rPr>
        <w:t xml:space="preserve">ADDENDUM</w:t>
      </w:r>
    </w:p>
    <w:p>
      <w:pPr>
        <w:spacing w:after="80" w:before="0"/>
        <w:jc w:val="center"/>
      </w:pPr>
      <w:r>
        <w:rPr>
          <w:rFonts w:ascii="Arial" w:cs="Arial" w:eastAsia="Arial" w:hAnsi="Arial"/>
          <w:b/>
          <w:bCs/>
          <w:color w:val="1F3A6E"/>
          <w:sz w:val="36"/>
          <w:szCs w:val="36"/>
        </w:rPr>
        <w:t xml:space="preserve">Beyond the Standard Model Isomorphism</w:t>
      </w:r>
    </w:p>
    <w:p>
      <w:pPr>
        <w:spacing w:after="60" w:before="0"/>
        <w:jc w:val="center"/>
      </w:pPr>
      <w:r>
        <w:rPr>
          <w:rFonts w:ascii="Arial" w:cs="Arial" w:eastAsia="Arial" w:hAnsi="Arial"/>
          <w:i/>
          <w:iCs/>
          <w:color w:val="666666"/>
          <w:sz w:val="24"/>
          <w:szCs w:val="24"/>
        </w:rPr>
        <w:t xml:space="preserve">A Directional Note on the Path Toward Unified Field Theory</w:t>
      </w:r>
    </w:p>
    <w:p>
      <w:pPr>
        <w:pBdr>
          <w:bottom w:val="single" w:color="1F3A6E" w:sz="4" w:space="1"/>
        </w:pBdr>
        <w:spacing w:after="160" w:before="160"/>
      </w:pPr>
      <w:r>
        <w:t xml:space="preserve"/>
      </w:r>
    </w:p>
    <w:p>
      <w:pPr>
        <w:spacing w:after="120" w:before="0"/>
      </w:pPr>
      <w:r>
        <w:t xml:space="preserve"/>
      </w:r>
    </w:p>
    <w:p>
      <w:pPr>
        <w:pStyle w:val="Heading1"/>
        <w:spacing w:after="160" w:before="360"/>
      </w:pPr>
      <w:r>
        <w:rPr>
          <w:rFonts w:ascii="Arial" w:cs="Arial" w:eastAsia="Arial" w:hAnsi="Arial"/>
          <w:b/>
          <w:bCs/>
          <w:color w:val="1F3A6E"/>
          <w:sz w:val="32"/>
          <w:szCs w:val="32"/>
        </w:rPr>
        <w:t xml:space="preserve">Abstract</w:t>
      </w:r>
    </w:p>
    <w:p>
      <w:pPr>
        <w:spacing w:after="160" w:before="0"/>
        <w:jc w:val="both"/>
      </w:pPr>
      <w:r>
        <w:rPr>
          <w:rFonts w:ascii="Arial" w:cs="Arial" w:eastAsia="Arial" w:hAnsi="Arial"/>
          <w:sz w:val="22"/>
          <w:szCs w:val="22"/>
        </w:rPr>
        <w:t xml:space="preserve">The SMNNT framework, as presented, recovers the full Standard Model of particle physics as the necessary mathematical structure of hierarchically-stratified hypercomplex neural networks. This addendum does not extend that derivation. It points in a direction.</w:t>
      </w:r>
    </w:p>
    <w:p>
      <w:pPr>
        <w:spacing w:after="160" w:before="0"/>
        <w:jc w:val="both"/>
      </w:pPr>
      <w:r>
        <w:rPr>
          <w:rFonts w:ascii="Arial" w:cs="Arial" w:eastAsia="Arial" w:hAnsi="Arial"/>
          <w:sz w:val="22"/>
          <w:szCs w:val="22"/>
        </w:rPr>
        <w:t xml:space="preserve">The Standard Model is incomplete: it does not incorporate gravity. General Relativity is geometrically incompatible with the SM's flat-spacetime quantum field theory. Every attempt to unify them — from string theory to loop quantum gravity to noncommutative geometry — begins from one side and forces the other to comply. None has succeeded.</w:t>
      </w:r>
    </w:p>
    <w:p>
      <w:pPr>
        <w:spacing w:after="160" w:before="0"/>
        <w:jc w:val="both"/>
      </w:pPr>
      <w:r>
        <w:rPr>
          <w:rFonts w:ascii="Arial" w:cs="Arial" w:eastAsia="Arial" w:hAnsi="Arial"/>
          <w:sz w:val="22"/>
          <w:szCs w:val="22"/>
        </w:rPr>
        <w:t xml:space="preserve">We observe that the SMNNT framework contains, in nascent form, the ingredients for a different approach: rather than transforming the data to fit a unified description, transform the coordinate system of the symmetries themselves. The physical data — the invariant content — remains fixed. The gauge symmetries and diffeomorphisms become angles in a unified polar-type coordinate system on the symmetry fiber. Inertia becomes a grid-dependent modifier rather than an intrinsic property. The conservation laws of both quantum mechanics and general relativity fall out of a single Noether application to the unified symmetry coordinate system.</w:t>
      </w:r>
    </w:p>
    <w:p>
      <w:pPr>
        <w:spacing w:after="160" w:before="0"/>
        <w:jc w:val="both"/>
      </w:pPr>
      <w:r>
        <w:rPr>
          <w:rFonts w:ascii="Arial" w:cs="Arial" w:eastAsia="Arial" w:hAnsi="Arial"/>
          <w:sz w:val="22"/>
          <w:szCs w:val="22"/>
        </w:rPr>
        <w:t xml:space="preserve">We present the two anchor points of this program — SMNNT as derived, and Unified Field Theory as target — and the structural analogy table connecting known SMNNT variables to their conjectured UFT counterparts. The middle is not yet derived. That is the 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6E" w:sz="6"/>
              <w:left w:val="single" w:color="1F3A6E" w:sz="6"/>
              <w:bottom w:val="single" w:color="1F3A6E" w:sz="6"/>
              <w:right w:val="single" w:color="1F3A6E" w:sz="6"/>
            </w:tcBorders>
            <w:shd w:fill="F0F4FA" w:val="clear"/>
            <w:tcMar>
              <w:top w:type="dxa" w:w="160"/>
              <w:left w:type="dxa" w:w="260"/>
              <w:bottom w:type="dxa" w:w="160"/>
              <w:right w:type="dxa" w:w="260"/>
            </w:tcMar>
          </w:tcPr>
          <w:p>
            <w:pPr>
              <w:spacing w:after="100" w:before="0"/>
              <w:jc w:val="both"/>
            </w:pPr>
            <w:r>
              <w:rPr>
                <w:rFonts w:ascii="Arial" w:cs="Arial" w:eastAsia="Arial" w:hAnsi="Arial"/>
                <w:i/>
                <w:iCs/>
                <w:color w:val="1A1A2E"/>
                <w:sz w:val="22"/>
                <w:szCs w:val="22"/>
              </w:rPr>
              <w:t xml:space="preserve">Status of this addendum: Directional. The endpoint variables are named. The derivation chain</w:t>
            </w:r>
          </w:p>
          <w:p>
            <w:pPr>
              <w:spacing w:after="100" w:before="0"/>
              <w:jc w:val="both"/>
            </w:pPr>
            <w:r>
              <w:rPr>
                <w:rFonts w:ascii="Arial" w:cs="Arial" w:eastAsia="Arial" w:hAnsi="Arial"/>
                <w:i/>
                <w:iCs/>
                <w:color w:val="1A1A2E"/>
                <w:sz w:val="22"/>
                <w:szCs w:val="22"/>
              </w:rPr>
              <w:t xml:space="preserve">connecting them is an open research program. We present it here not as result but as roadmap —</w:t>
            </w:r>
          </w:p>
          <w:p>
            <w:pPr>
              <w:spacing w:after="0" w:before="0"/>
              <w:jc w:val="both"/>
            </w:pPr>
            <w:r>
              <w:rPr>
                <w:rFonts w:ascii="Arial" w:cs="Arial" w:eastAsia="Arial" w:hAnsi="Arial"/>
                <w:i/>
                <w:iCs/>
                <w:color w:val="1A1A2E"/>
                <w:sz w:val="22"/>
                <w:szCs w:val="22"/>
              </w:rPr>
              <w:t xml:space="preserve">so that the shape of the destination is visible before the path is fully cleared.</w:t>
            </w:r>
          </w:p>
        </w:tc>
      </w:tr>
    </w:tbl>
    <w:p>
      <w:pPr>
        <w:spacing w:after="200" w:before="0"/>
      </w:pPr>
      <w:r>
        <w:t xml:space="preserve"/>
      </w:r>
    </w:p>
    <w:p>
      <w:pPr>
        <w:pStyle w:val="Heading1"/>
        <w:spacing w:after="160" w:before="360"/>
      </w:pPr>
      <w:r>
        <w:rPr>
          <w:rFonts w:ascii="Arial" w:cs="Arial" w:eastAsia="Arial" w:hAnsi="Arial"/>
          <w:b/>
          <w:bCs/>
          <w:color w:val="1F3A6E"/>
          <w:sz w:val="32"/>
          <w:szCs w:val="32"/>
        </w:rPr>
        <w:t xml:space="preserve">The Core Observation</w:t>
      </w:r>
    </w:p>
    <w:p>
      <w:pPr>
        <w:spacing w:after="160" w:before="0"/>
        <w:jc w:val="both"/>
      </w:pPr>
      <w:r>
        <w:rPr>
          <w:rFonts w:ascii="Arial" w:cs="Arial" w:eastAsia="Arial" w:hAnsi="Arial"/>
          <w:sz w:val="22"/>
          <w:szCs w:val="22"/>
        </w:rPr>
        <w:t xml:space="preserve">The unification problem in physics has two faces. From the quantum side: the infinite series of Feynman diagrams describing graviton scattering cannot be renormalized — infinitely many divergent terms cannot be discarded as negligible. From the relativistic side: promoting the metric to a quantum field destroys the flat-background assumptions that make quantum field theory tractable. Each side, approached from the other, produces a different species of infinity.</w:t>
      </w:r>
    </w:p>
    <w:p>
      <w:pPr>
        <w:spacing w:after="160" w:before="0"/>
        <w:jc w:val="both"/>
      </w:pPr>
      <w:r>
        <w:rPr>
          <w:rFonts w:ascii="Arial" w:cs="Arial" w:eastAsia="Arial" w:hAnsi="Arial"/>
          <w:sz w:val="22"/>
          <w:szCs w:val="22"/>
        </w:rPr>
        <w:t xml:space="preserve">We propose that both infinities are artifacts of coordinate choice, not physical reality. Specifically: the Feynman diagram infinity is a Cartesian-coordinate artifact of describing what is fundamentally a rotation in symmetry space as an infinite series of small linear steps. In polar coordinates, that same rotation is a single angle increment — the infinite sum is replaced by e^{iθ}. The resummation is not a trick; it is a change of description.</w:t>
      </w:r>
    </w:p>
    <w:p>
      <w:pPr>
        <w:spacing w:after="160" w:before="0"/>
        <w:jc w:val="both"/>
      </w:pPr>
      <w:r>
        <w:rPr>
          <w:rFonts w:ascii="Arial" w:cs="Arial" w:eastAsia="Arial" w:hAnsi="Arial"/>
          <w:sz w:val="22"/>
          <w:szCs w:val="22"/>
        </w:rPr>
        <w:t xml:space="preserve">The curvature-versus-flat-space incompatibility is similarly a coordinate artifact: two correct descriptions of the same invariant physical content, expressed in coordinate systems that cannot be directly compared because they were developed independently to describe different observational regimes — not because the underlying reality is discontinuous.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6E" w:sz="6"/>
              <w:left w:val="single" w:color="1F3A6E" w:sz="6"/>
              <w:bottom w:val="single" w:color="1F3A6E" w:sz="6"/>
              <w:right w:val="single" w:color="1F3A6E" w:sz="6"/>
            </w:tcBorders>
            <w:shd w:fill="F0F4FA" w:val="clear"/>
            <w:tcMar>
              <w:top w:type="dxa" w:w="160"/>
              <w:left w:type="dxa" w:w="260"/>
              <w:bottom w:type="dxa" w:w="160"/>
              <w:right w:type="dxa" w:w="260"/>
            </w:tcMar>
          </w:tcPr>
          <w:p>
            <w:pPr>
              <w:spacing w:after="100" w:before="0"/>
              <w:jc w:val="both"/>
            </w:pPr>
            <w:r>
              <w:rPr>
                <w:rFonts w:ascii="Arial" w:cs="Arial" w:eastAsia="Arial" w:hAnsi="Arial"/>
                <w:i/>
                <w:iCs/>
                <w:color w:val="1A1A2E"/>
                <w:sz w:val="22"/>
                <w:szCs w:val="22"/>
              </w:rPr>
              <w:t xml:space="preserve">The hypothesis: there exists a unified symmetry coordinate system in which the U(1)×SU(2)×SU(3)</w:t>
            </w:r>
          </w:p>
          <w:p>
            <w:pPr>
              <w:spacing w:after="100" w:before="0"/>
              <w:jc w:val="both"/>
            </w:pPr>
            <w:r>
              <w:rPr>
                <w:rFonts w:ascii="Arial" w:cs="Arial" w:eastAsia="Arial" w:hAnsi="Arial"/>
                <w:i/>
                <w:iCs/>
                <w:color w:val="1A1A2E"/>
                <w:sz w:val="22"/>
                <w:szCs w:val="22"/>
              </w:rPr>
              <w:t xml:space="preserve">gauge transformations of the Standard Model and the diffeomorphisms of General Relativity are</w:t>
            </w:r>
          </w:p>
          <w:p>
            <w:pPr>
              <w:spacing w:after="100" w:before="0"/>
              <w:jc w:val="both"/>
            </w:pPr>
            <w:r>
              <w:rPr>
                <w:rFonts w:ascii="Arial" w:cs="Arial" w:eastAsia="Arial" w:hAnsi="Arial"/>
                <w:i/>
                <w:iCs/>
                <w:color w:val="1A1A2E"/>
                <w:sz w:val="22"/>
                <w:szCs w:val="22"/>
              </w:rPr>
              <w:t xml:space="preserve">simultaneously just angle increments. The physical data is the invariant. The symmetries are</w:t>
            </w:r>
          </w:p>
          <w:p>
            <w:pPr>
              <w:spacing w:after="100" w:before="0"/>
              <w:jc w:val="both"/>
            </w:pPr>
            <w:r>
              <w:rPr>
                <w:rFonts w:ascii="Arial" w:cs="Arial" w:eastAsia="Arial" w:hAnsi="Arial"/>
                <w:i/>
                <w:iCs/>
                <w:color w:val="1A1A2E"/>
                <w:sz w:val="22"/>
                <w:szCs w:val="22"/>
              </w:rPr>
              <w:t xml:space="preserve">the coordinates. Inertia is a grid-dependent modifier, not an intrinsic property.</w:t>
            </w:r>
          </w:p>
          <w:p>
            <w:pPr>
              <w:spacing w:after="0" w:before="0"/>
              <w:jc w:val="both"/>
            </w:pPr>
            <w:r>
              <w:rPr>
                <w:rFonts w:ascii="Arial" w:cs="Arial" w:eastAsia="Arial" w:hAnsi="Arial"/>
                <w:i/>
                <w:iCs/>
                <w:color w:val="1A1A2E"/>
                <w:sz w:val="22"/>
                <w:szCs w:val="22"/>
              </w:rPr>
              <w:t xml:space="preserve">Transform the symmetries. Not the data.</w:t>
            </w:r>
          </w:p>
        </w:tc>
      </w:tr>
    </w:tbl>
    <w:p>
      <w:pPr>
        <w:spacing w:after="200" w:before="0"/>
      </w:pPr>
      <w:r>
        <w:t xml:space="preserve"/>
      </w:r>
    </w:p>
    <w:p>
      <w:pPr>
        <w:pStyle w:val="Heading1"/>
        <w:spacing w:after="160" w:before="360"/>
      </w:pPr>
      <w:r>
        <w:rPr>
          <w:rFonts w:ascii="Arial" w:cs="Arial" w:eastAsia="Arial" w:hAnsi="Arial"/>
          <w:b/>
          <w:bCs/>
          <w:color w:val="1F3A6E"/>
          <w:sz w:val="32"/>
          <w:szCs w:val="32"/>
        </w:rPr>
        <w:t xml:space="preserve">The Arc: SMNNT  &gt;&gt;&gt;  ...  &gt;&gt;&gt;  UFT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8"/>
              <w:left w:val="single" w:color="8B6914" w:sz="8"/>
              <w:bottom w:val="single" w:color="8B6914" w:sz="8"/>
              <w:right w:val="single" w:color="8B6914" w:sz="8"/>
            </w:tcBorders>
            <w:shd w:fill="FDFAF0" w:val="clear"/>
            <w:tcMar>
              <w:top w:type="dxa" w:w="180"/>
              <w:left w:type="dxa" w:w="280"/>
              <w:bottom w:type="dxa" w:w="180"/>
              <w:right w:type="dxa" w:w="280"/>
            </w:tcMar>
          </w:tcPr>
          <w:p>
            <w:pPr>
              <w:spacing w:after="100" w:before="0"/>
              <w:jc w:val="center"/>
            </w:pPr>
            <w:r>
              <w:rPr>
                <w:rFonts w:ascii="Arial" w:cs="Arial" w:eastAsia="Arial" w:hAnsi="Arial"/>
                <w:b/>
                <w:bCs/>
                <w:i w:val="false"/>
                <w:iCs w:val="false"/>
                <w:color w:val="2C0A4A"/>
                <w:sz w:val="26"/>
                <w:szCs w:val="26"/>
              </w:rPr>
              <w:t xml:space="preserve">SMNNT</w:t>
            </w:r>
          </w:p>
          <w:p>
            <w:pPr>
              <w:spacing w:after="100" w:before="0"/>
              <w:jc w:val="center"/>
            </w:pPr>
            <w:r>
              <w:rPr>
                <w:rFonts w:ascii="Arial" w:cs="Arial" w:eastAsia="Arial" w:hAnsi="Arial"/>
                <w:b w:val="false"/>
                <w:bCs w:val="false"/>
                <w:i/>
                <w:iCs/>
                <w:color w:val="333333"/>
                <w:sz w:val="22"/>
                <w:szCs w:val="22"/>
              </w:rPr>
              <w:t xml:space="preserve">Standard Model of Neural Network Training</w:t>
            </w:r>
          </w:p>
          <w:p>
            <w:pPr>
              <w:spacing w:after="100" w:before="0"/>
              <w:jc w:val="center"/>
            </w:pPr>
            <w:r>
              <w:rPr>
                <w:rFonts w:ascii="Arial" w:cs="Arial" w:eastAsia="Arial" w:hAnsi="Arial"/>
                <w:b w:val="false"/>
                <w:bCs w:val="false"/>
                <w:i/>
                <w:iCs/>
                <w:color w:val="333333"/>
                <w:sz w:val="22"/>
                <w:szCs w:val="22"/>
              </w:rPr>
              <w:t xml:space="preserve">[ Division algebra tower forces U(1)×SU(2)×SU(3) gauge structure ]</w:t>
            </w:r>
          </w:p>
          <w:p>
            <w:pPr>
              <w:spacing w:after="100" w:before="0"/>
              <w:jc w:val="center"/>
            </w:pPr>
            <w:r>
              <w:rPr>
                <w:rFonts w:ascii="Arial" w:cs="Arial" w:eastAsia="Arial" w:hAnsi="Arial"/>
                <w:b w:val="false"/>
                <w:bCs w:val="false"/>
                <w:i/>
                <w:iCs/>
                <w:color w:val="333333"/>
                <w:sz w:val="22"/>
                <w:szCs w:val="22"/>
              </w:rPr>
              <w:t xml:space="preserve">[ Backpropagation derived as neural Yang-Mills equation ]</w:t>
            </w:r>
          </w:p>
          <w:p>
            <w:pPr>
              <w:spacing w:after="100" w:before="0"/>
              <w:jc w:val="center"/>
            </w:pPr>
            <w:r>
              <w:rPr>
                <w:rFonts w:ascii="Arial" w:cs="Arial" w:eastAsia="Arial" w:hAnsi="Arial"/>
                <w:b w:val="false"/>
                <w:bCs w:val="false"/>
                <w:i/>
                <w:iCs/>
                <w:color w:val="333333"/>
                <w:sz w:val="22"/>
                <w:szCs w:val="22"/>
              </w:rPr>
              <w:t xml:space="preserve">[ Flat (l,τ) grid — background geometry fixed ]</w:t>
            </w:r>
          </w:p>
          <w:p>
            <w:pPr>
              <w:spacing w:after="100" w:before="0"/>
              <w:jc w:val="center"/>
            </w:pPr>
            <w:r>
              <w:rPr>
                <w:rFonts w:ascii="Arial" w:cs="Arial" w:eastAsia="Arial" w:hAnsi="Arial"/>
                <w:b w:val="false"/>
                <w:bCs w:val="false"/>
                <w:i/>
                <w:iCs/>
                <w:color w:val="333333"/>
                <w:sz w:val="26"/>
                <w:szCs w:val="26"/>
              </w:rPr>
              <w:t xml:space="preserve"/>
            </w:r>
          </w:p>
          <w:p>
            <w:pPr>
              <w:spacing w:after="100" w:before="0"/>
              <w:jc w:val="center"/>
            </w:pPr>
            <w:r>
              <w:rPr>
                <w:rFonts w:ascii="Arial" w:cs="Arial" w:eastAsia="Arial" w:hAnsi="Arial"/>
                <w:b/>
                <w:bCs/>
                <w:i w:val="false"/>
                <w:iCs w:val="false"/>
                <w:color w:val="8B6914"/>
                <w:sz w:val="26"/>
                <w:szCs w:val="26"/>
              </w:rPr>
              <w:t xml:space="preserve">&gt;&gt;&gt;</w:t>
            </w:r>
          </w:p>
          <w:p>
            <w:pPr>
              <w:spacing w:after="100" w:before="0"/>
              <w:jc w:val="center"/>
            </w:pPr>
            <w:r>
              <w:rPr>
                <w:rFonts w:ascii="Arial" w:cs="Arial" w:eastAsia="Arial" w:hAnsi="Arial"/>
                <w:b w:val="false"/>
                <w:bCs w:val="false"/>
                <w:i/>
                <w:iCs/>
                <w:color w:val="333333"/>
                <w:sz w:val="26"/>
                <w:szCs w:val="26"/>
              </w:rPr>
              <w:t xml:space="preserve"/>
            </w:r>
          </w:p>
          <w:p>
            <w:pPr>
              <w:spacing w:after="100" w:before="0"/>
              <w:jc w:val="center"/>
            </w:pPr>
            <w:r>
              <w:rPr>
                <w:rFonts w:ascii="Arial" w:cs="Arial" w:eastAsia="Arial" w:hAnsi="Arial"/>
                <w:b w:val="false"/>
                <w:bCs w:val="false"/>
                <w:i/>
                <w:iCs/>
                <w:color w:val="333333"/>
                <w:sz w:val="26"/>
                <w:szCs w:val="26"/>
              </w:rPr>
              <w:t xml:space="preserve">Neural General Relativity</w:t>
            </w:r>
          </w:p>
          <w:p>
            <w:pPr>
              <w:spacing w:after="100" w:before="0"/>
              <w:jc w:val="center"/>
            </w:pPr>
            <w:r>
              <w:rPr>
                <w:rFonts w:ascii="Arial" w:cs="Arial" w:eastAsia="Arial" w:hAnsi="Arial"/>
                <w:b w:val="false"/>
                <w:bCs w:val="false"/>
                <w:i/>
                <w:iCs/>
                <w:color w:val="333333"/>
                <w:sz w:val="22"/>
                <w:szCs w:val="22"/>
              </w:rPr>
              <w:t xml:space="preserve">[ Promote grid metric to dynamical field ]</w:t>
            </w:r>
          </w:p>
          <w:p>
            <w:pPr>
              <w:spacing w:after="100" w:before="0"/>
              <w:jc w:val="center"/>
            </w:pPr>
            <w:r>
              <w:rPr>
                <w:rFonts w:ascii="Arial" w:cs="Arial" w:eastAsia="Arial" w:hAnsi="Arial"/>
                <w:b w:val="false"/>
                <w:bCs w:val="false"/>
                <w:i/>
                <w:iCs/>
                <w:color w:val="333333"/>
                <w:sz w:val="22"/>
                <w:szCs w:val="22"/>
              </w:rPr>
              <w:t xml:space="preserve">[ Activation energy-momentum sources spacetime curvature ]</w:t>
            </w:r>
          </w:p>
          <w:p>
            <w:pPr>
              <w:spacing w:after="100" w:before="0"/>
              <w:jc w:val="center"/>
            </w:pPr>
            <w:r>
              <w:rPr>
                <w:rFonts w:ascii="Arial" w:cs="Arial" w:eastAsia="Arial" w:hAnsi="Arial"/>
                <w:b w:val="false"/>
                <w:bCs w:val="false"/>
                <w:i/>
                <w:iCs/>
                <w:color w:val="333333"/>
                <w:sz w:val="22"/>
                <w:szCs w:val="22"/>
              </w:rPr>
              <w:t xml:space="preserve">[ Attention derived as geodesic — not learned, but forced ]</w:t>
            </w:r>
          </w:p>
          <w:p>
            <w:pPr>
              <w:spacing w:after="100" w:before="0"/>
              <w:jc w:val="center"/>
            </w:pPr>
            <w:r>
              <w:rPr>
                <w:rFonts w:ascii="Arial" w:cs="Arial" w:eastAsia="Arial" w:hAnsi="Arial"/>
                <w:b w:val="false"/>
                <w:bCs w:val="false"/>
                <w:i/>
                <w:iCs/>
                <w:color w:val="333333"/>
                <w:sz w:val="22"/>
                <w:szCs w:val="22"/>
              </w:rPr>
              <w:t xml:space="preserve">[ Neural equivalence principle: representational inertia = metric inertia ]</w:t>
            </w:r>
          </w:p>
          <w:p>
            <w:pPr>
              <w:spacing w:after="100" w:before="0"/>
              <w:jc w:val="center"/>
            </w:pPr>
            <w:r>
              <w:rPr>
                <w:rFonts w:ascii="Arial" w:cs="Arial" w:eastAsia="Arial" w:hAnsi="Arial"/>
                <w:b w:val="false"/>
                <w:bCs w:val="false"/>
                <w:i/>
                <w:iCs/>
                <w:color w:val="333333"/>
                <w:sz w:val="26"/>
                <w:szCs w:val="26"/>
              </w:rPr>
              <w:t xml:space="preserve"/>
            </w:r>
          </w:p>
          <w:p>
            <w:pPr>
              <w:spacing w:after="100" w:before="0"/>
              <w:jc w:val="center"/>
            </w:pPr>
            <w:r>
              <w:rPr>
                <w:rFonts w:ascii="Arial" w:cs="Arial" w:eastAsia="Arial" w:hAnsi="Arial"/>
                <w:b/>
                <w:bCs/>
                <w:i w:val="false"/>
                <w:iCs w:val="false"/>
                <w:color w:val="8B6914"/>
                <w:sz w:val="26"/>
                <w:szCs w:val="26"/>
              </w:rPr>
              <w:t xml:space="preserve">&gt;&gt;&gt;</w:t>
            </w:r>
          </w:p>
          <w:p>
            <w:pPr>
              <w:spacing w:after="100" w:before="0"/>
              <w:jc w:val="center"/>
            </w:pPr>
            <w:r>
              <w:rPr>
                <w:rFonts w:ascii="Arial" w:cs="Arial" w:eastAsia="Arial" w:hAnsi="Arial"/>
                <w:b w:val="false"/>
                <w:bCs w:val="false"/>
                <w:i/>
                <w:iCs/>
                <w:color w:val="333333"/>
                <w:sz w:val="26"/>
                <w:szCs w:val="26"/>
              </w:rPr>
              <w:t xml:space="preserve"/>
            </w:r>
          </w:p>
          <w:p>
            <w:pPr>
              <w:spacing w:after="100" w:before="0"/>
              <w:jc w:val="center"/>
            </w:pPr>
            <w:r>
              <w:rPr>
                <w:rFonts w:ascii="Arial" w:cs="Arial" w:eastAsia="Arial" w:hAnsi="Arial"/>
                <w:b w:val="false"/>
                <w:bCs w:val="false"/>
                <w:i/>
                <w:iCs/>
                <w:color w:val="333333"/>
                <w:sz w:val="26"/>
                <w:szCs w:val="26"/>
              </w:rPr>
              <w:t xml:space="preserve">Unified Symmetry Coordinates</w:t>
            </w:r>
          </w:p>
          <w:p>
            <w:pPr>
              <w:spacing w:after="100" w:before="0"/>
              <w:jc w:val="center"/>
            </w:pPr>
            <w:r>
              <w:rPr>
                <w:rFonts w:ascii="Arial" w:cs="Arial" w:eastAsia="Arial" w:hAnsi="Arial"/>
                <w:b w:val="false"/>
                <w:bCs w:val="false"/>
                <w:i/>
                <w:iCs/>
                <w:color w:val="333333"/>
                <w:sz w:val="22"/>
                <w:szCs w:val="22"/>
              </w:rPr>
              <w:t xml:space="preserve">[ Gauge transformations and diffeomorphisms become angles ]</w:t>
            </w:r>
          </w:p>
          <w:p>
            <w:pPr>
              <w:spacing w:after="100" w:before="0"/>
              <w:jc w:val="center"/>
            </w:pPr>
            <w:r>
              <w:rPr>
                <w:rFonts w:ascii="Arial" w:cs="Arial" w:eastAsia="Arial" w:hAnsi="Arial"/>
                <w:b w:val="false"/>
                <w:bCs w:val="false"/>
                <w:i/>
                <w:iCs/>
                <w:color w:val="333333"/>
                <w:sz w:val="22"/>
                <w:szCs w:val="22"/>
              </w:rPr>
              <w:t xml:space="preserve">[ Inertia becomes grid-dependent modifier on angular increments ]</w:t>
            </w:r>
          </w:p>
          <w:p>
            <w:pPr>
              <w:spacing w:after="100" w:before="0"/>
              <w:jc w:val="center"/>
            </w:pPr>
            <w:r>
              <w:rPr>
                <w:rFonts w:ascii="Arial" w:cs="Arial" w:eastAsia="Arial" w:hAnsi="Arial"/>
                <w:b w:val="false"/>
                <w:bCs w:val="false"/>
                <w:i/>
                <w:iCs/>
                <w:color w:val="333333"/>
                <w:sz w:val="22"/>
                <w:szCs w:val="22"/>
              </w:rPr>
              <w:t xml:space="preserve">[ Feynman infinity = finite rotation in symmetry polar coordinates ]</w:t>
            </w:r>
          </w:p>
          <w:p>
            <w:pPr>
              <w:spacing w:after="100" w:before="0"/>
              <w:jc w:val="center"/>
            </w:pPr>
            <w:r>
              <w:rPr>
                <w:rFonts w:ascii="Arial" w:cs="Arial" w:eastAsia="Arial" w:hAnsi="Arial"/>
                <w:b w:val="false"/>
                <w:bCs w:val="false"/>
                <w:i/>
                <w:iCs/>
                <w:color w:val="333333"/>
                <w:sz w:val="22"/>
                <w:szCs w:val="22"/>
              </w:rPr>
              <w:t xml:space="preserve">[ Single Noether application yields all conservation laws ]</w:t>
            </w:r>
          </w:p>
          <w:p>
            <w:pPr>
              <w:spacing w:after="100" w:before="0"/>
              <w:jc w:val="center"/>
            </w:pPr>
            <w:r>
              <w:rPr>
                <w:rFonts w:ascii="Arial" w:cs="Arial" w:eastAsia="Arial" w:hAnsi="Arial"/>
                <w:b w:val="false"/>
                <w:bCs w:val="false"/>
                <w:i/>
                <w:iCs/>
                <w:color w:val="333333"/>
                <w:sz w:val="26"/>
                <w:szCs w:val="26"/>
              </w:rPr>
              <w:t xml:space="preserve"/>
            </w:r>
          </w:p>
          <w:p>
            <w:pPr>
              <w:spacing w:after="100" w:before="0"/>
              <w:jc w:val="center"/>
            </w:pPr>
            <w:r>
              <w:rPr>
                <w:rFonts w:ascii="Arial" w:cs="Arial" w:eastAsia="Arial" w:hAnsi="Arial"/>
                <w:b/>
                <w:bCs/>
                <w:i w:val="false"/>
                <w:iCs w:val="false"/>
                <w:color w:val="8B6914"/>
                <w:sz w:val="26"/>
                <w:szCs w:val="26"/>
              </w:rPr>
              <w:t xml:space="preserve">&gt;&gt;&gt;</w:t>
            </w:r>
          </w:p>
          <w:p>
            <w:pPr>
              <w:spacing w:after="100" w:before="0"/>
              <w:jc w:val="center"/>
            </w:pPr>
            <w:r>
              <w:rPr>
                <w:rFonts w:ascii="Arial" w:cs="Arial" w:eastAsia="Arial" w:hAnsi="Arial"/>
                <w:b w:val="false"/>
                <w:bCs w:val="false"/>
                <w:i/>
                <w:iCs/>
                <w:color w:val="333333"/>
                <w:sz w:val="26"/>
                <w:szCs w:val="26"/>
              </w:rPr>
              <w:t xml:space="preserve"/>
            </w:r>
          </w:p>
          <w:p>
            <w:pPr>
              <w:spacing w:after="100" w:before="0"/>
              <w:jc w:val="center"/>
            </w:pPr>
            <w:r>
              <w:rPr>
                <w:rFonts w:ascii="Arial" w:cs="Arial" w:eastAsia="Arial" w:hAnsi="Arial"/>
                <w:b/>
                <w:bCs/>
                <w:i w:val="false"/>
                <w:iCs w:val="false"/>
                <w:color w:val="2C0A4A"/>
                <w:sz w:val="26"/>
                <w:szCs w:val="26"/>
              </w:rPr>
              <w:t xml:space="preserve">UFT</w:t>
            </w:r>
          </w:p>
          <w:p>
            <w:pPr>
              <w:spacing w:after="100" w:before="0"/>
              <w:jc w:val="center"/>
            </w:pPr>
            <w:r>
              <w:rPr>
                <w:rFonts w:ascii="Arial" w:cs="Arial" w:eastAsia="Arial" w:hAnsi="Arial"/>
                <w:b w:val="false"/>
                <w:bCs w:val="false"/>
                <w:i/>
                <w:iCs/>
                <w:color w:val="333333"/>
                <w:sz w:val="26"/>
                <w:szCs w:val="26"/>
              </w:rPr>
              <w:t xml:space="preserve">Unified Field Theory</w:t>
            </w:r>
          </w:p>
          <w:p>
            <w:pPr>
              <w:spacing w:after="100" w:before="0"/>
              <w:jc w:val="center"/>
            </w:pPr>
            <w:r>
              <w:rPr>
                <w:rFonts w:ascii="Arial" w:cs="Arial" w:eastAsia="Arial" w:hAnsi="Arial"/>
                <w:b w:val="false"/>
                <w:bCs w:val="false"/>
                <w:i/>
                <w:iCs/>
                <w:color w:val="333333"/>
                <w:sz w:val="22"/>
                <w:szCs w:val="22"/>
              </w:rPr>
              <w:t xml:space="preserve">[ Derived from first principles — not fitted to observation ]</w:t>
            </w:r>
          </w:p>
          <w:p>
            <w:pPr>
              <w:spacing w:after="100" w:before="0"/>
              <w:jc w:val="center"/>
            </w:pPr>
            <w:r>
              <w:rPr>
                <w:rFonts w:ascii="Arial" w:cs="Arial" w:eastAsia="Arial" w:hAnsi="Arial"/>
                <w:b w:val="false"/>
                <w:bCs w:val="false"/>
                <w:i/>
                <w:iCs/>
                <w:color w:val="333333"/>
                <w:sz w:val="22"/>
                <w:szCs w:val="22"/>
              </w:rPr>
              <w:t xml:space="preserve">[ No free parameters beyond algebra structure constants ]</w:t>
            </w:r>
          </w:p>
          <w:p>
            <w:pPr>
              <w:spacing w:after="100" w:before="0"/>
              <w:jc w:val="center"/>
            </w:pPr>
            <w:r>
              <w:rPr>
                <w:rFonts w:ascii="Arial" w:cs="Arial" w:eastAsia="Arial" w:hAnsi="Arial"/>
                <w:b w:val="false"/>
                <w:bCs w:val="false"/>
                <w:i/>
                <w:iCs/>
                <w:color w:val="333333"/>
                <w:sz w:val="22"/>
                <w:szCs w:val="22"/>
              </w:rPr>
              <w:t xml:space="preserve">[ Dark matter = long-wavelength geometry, not new particles ]</w:t>
            </w:r>
          </w:p>
          <w:p>
            <w:pPr>
              <w:spacing w:after="0" w:before="0"/>
              <w:jc w:val="center"/>
            </w:pPr>
            <w:r>
              <w:rPr>
                <w:rFonts w:ascii="Arial" w:cs="Arial" w:eastAsia="Arial" w:hAnsi="Arial"/>
                <w:b w:val="false"/>
                <w:bCs w:val="false"/>
                <w:i/>
                <w:iCs/>
                <w:color w:val="333333"/>
                <w:sz w:val="22"/>
                <w:szCs w:val="22"/>
              </w:rPr>
              <w:t xml:space="preserve">[ Dark energy = vacuum bias VEV, not cosmological fine-tuning ]</w:t>
            </w:r>
          </w:p>
        </w:tc>
      </w:tr>
    </w:tbl>
    <w:p>
      <w:pPr>
        <w:spacing w:after="200" w:before="0"/>
      </w:pPr>
      <w:r>
        <w:t xml:space="preserve"/>
      </w:r>
    </w:p>
    <w:p>
      <w:pPr>
        <w:pStyle w:val="Heading1"/>
        <w:spacing w:after="160" w:before="360"/>
      </w:pPr>
      <w:r>
        <w:rPr>
          <w:rFonts w:ascii="Arial" w:cs="Arial" w:eastAsia="Arial" w:hAnsi="Arial"/>
          <w:b/>
          <w:bCs/>
          <w:color w:val="1F3A6E"/>
          <w:sz w:val="32"/>
          <w:szCs w:val="32"/>
        </w:rPr>
        <w:t xml:space="preserve">Structural Analog Table</w:t>
      </w:r>
    </w:p>
    <w:p>
      <w:pPr>
        <w:spacing w:after="160" w:before="0"/>
        <w:jc w:val="both"/>
      </w:pPr>
      <w:r>
        <w:rPr>
          <w:rFonts w:ascii="Arial" w:cs="Arial" w:eastAsia="Arial" w:hAnsi="Arial"/>
          <w:sz w:val="22"/>
          <w:szCs w:val="22"/>
        </w:rPr>
        <w:t xml:space="preserve">The following table maps known SMNNT variables to their conjectured UFT counterparts. The middle column names the relationship. The relationship type is known; the full derivation connecting them is the open research program.</w:t>
      </w:r>
    </w:p>
    <w:p>
      <w:pPr>
        <w:spacing w:after="160" w:before="0"/>
        <w:jc w:val="both"/>
      </w:pPr>
      <w:r>
        <w:rPr>
          <w:rFonts w:ascii="Arial" w:cs="Arial" w:eastAsia="Arial" w:hAnsi="Arial"/>
          <w:i/>
          <w:iCs/>
          <w:color w:val="666666"/>
          <w:sz w:val="22"/>
          <w:szCs w:val="22"/>
        </w:rPr>
        <w:t xml:space="preserve">Variables marked [derived] exist in the current SMNNT framework. Variables marked [conjectured] are structurally implied by the derivation direction but not yet formally established. Variables marked [target] are the known physics that the derivation must recover.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60"/>
        <w:gridCol w:w="5200"/>
      </w:tblGrid>
      <w:tr>
        <w:tc>
          <w:tcPr>
            <w:tcW w:type="dxa" w:w="3200"/>
            <w:tcBorders>
              <w:top w:val="single" w:color="DDDDDD" w:sz="1"/>
              <w:left w:val="single" w:color="DDDDDD" w:sz="1"/>
              <w:bottom w:val="single" w:color="DDDDDD" w:sz="1"/>
              <w:right w:val="single" w:color="DDDDDD" w:sz="1"/>
            </w:tcBorders>
            <w:shd w:fill="1F3A6E" w:val="clear"/>
            <w:tcMar>
              <w:top w:type="dxa" w:w="100"/>
              <w:left w:type="dxa" w:w="160"/>
              <w:bottom w:type="dxa" w:w="100"/>
              <w:right w:type="dxa" w:w="100"/>
            </w:tcMar>
          </w:tcPr>
          <w:p>
            <w:pPr>
              <w:jc w:val="left"/>
            </w:pPr>
            <w:r>
              <w:rPr>
                <w:rFonts w:ascii="Arial" w:cs="Arial" w:eastAsia="Arial" w:hAnsi="Arial"/>
                <w:b/>
                <w:bCs/>
                <w:color w:val="FFFFFF"/>
                <w:sz w:val="20"/>
                <w:szCs w:val="20"/>
              </w:rPr>
              <w:t xml:space="preserve">SMNNT Variable</w:t>
            </w:r>
          </w:p>
        </w:tc>
        <w:tc>
          <w:tcPr>
            <w:tcW w:type="dxa" w:w="960"/>
            <w:tcBorders>
              <w:top w:val="single" w:color="DDDDDD" w:sz="1"/>
              <w:left w:val="single" w:color="DDDDDD" w:sz="1"/>
              <w:bottom w:val="single" w:color="DDDDDD" w:sz="1"/>
              <w:right w:val="single" w:color="DDDDDD" w:sz="1"/>
            </w:tcBorders>
            <w:shd w:fill="1F3A6E"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w:t>
            </w:r>
          </w:p>
        </w:tc>
        <w:tc>
          <w:tcPr>
            <w:tcW w:type="dxa" w:w="5200"/>
            <w:tcBorders>
              <w:top w:val="single" w:color="DDDDDD" w:sz="1"/>
              <w:left w:val="single" w:color="DDDDDD" w:sz="1"/>
              <w:bottom w:val="single" w:color="DDDDDD" w:sz="1"/>
              <w:right w:val="single" w:color="DDDDDD" w:sz="1"/>
            </w:tcBorders>
            <w:shd w:fill="1F3A6E" w:val="clear"/>
            <w:tcMar>
              <w:top w:type="dxa" w:w="100"/>
              <w:left w:type="dxa" w:w="100"/>
              <w:bottom w:type="dxa" w:w="100"/>
              <w:right w:type="dxa" w:w="160"/>
            </w:tcMar>
          </w:tcPr>
          <w:p>
            <w:pPr>
              <w:jc w:val="left"/>
            </w:pPr>
            <w:r>
              <w:rPr>
                <w:rFonts w:ascii="Arial" w:cs="Arial" w:eastAsia="Arial" w:hAnsi="Arial"/>
                <w:b/>
                <w:bCs/>
                <w:color w:val="FFFFFF"/>
                <w:sz w:val="20"/>
                <w:szCs w:val="20"/>
              </w:rPr>
              <w:t xml:space="preserve">UFT / Physics Analog</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Layer-token grid (l,τ)  [derived]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Spacetime manifold M</w:t>
            </w:r>
            <w:r>
              <w:rPr>
                <w:rFonts w:ascii="Arial" w:cs="Arial" w:eastAsia="Arial" w:hAnsi="Arial"/>
                <w:i/>
                <w:iCs/>
                <w:color w:val="888888"/>
                <w:sz w:val="17"/>
                <w:szCs w:val="17"/>
              </w:rPr>
              <w:t xml:space="preserve">  [target: GR]</w:t>
            </w:r>
          </w:p>
        </w:tc>
      </w:tr>
      <w:tr>
        <w:tc>
          <w:tcPr>
            <w:tcW w:type="dxa" w:w="32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Flat (l,τ) metric  [derived]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DF8F0"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Minkowski metric η_μν</w:t>
            </w:r>
            <w:r>
              <w:rPr>
                <w:rFonts w:ascii="Arial" w:cs="Arial" w:eastAsia="Arial" w:hAnsi="Arial"/>
                <w:i/>
                <w:iCs/>
                <w:color w:val="888888"/>
                <w:sz w:val="17"/>
                <w:szCs w:val="17"/>
              </w:rPr>
              <w:t xml:space="preserve">  [Special Relativity]</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Dynamic grid metric g_lτ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GR metric tensor g_μν</w:t>
            </w:r>
            <w:r>
              <w:rPr>
                <w:rFonts w:ascii="Arial" w:cs="Arial" w:eastAsia="Arial" w:hAnsi="Arial"/>
                <w:i/>
                <w:iCs/>
                <w:color w:val="888888"/>
                <w:sz w:val="17"/>
                <w:szCs w:val="17"/>
              </w:rPr>
              <w:t xml:space="preserve">  [target: GR]</w:t>
            </w:r>
          </w:p>
        </w:tc>
      </w:tr>
      <w:tr>
        <w:tc>
          <w:tcPr>
            <w:tcW w:type="dxa" w:w="32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Neural Einstein tensor G_lτ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DF8F0"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Einstein tensor G_μν</w:t>
            </w:r>
            <w:r>
              <w:rPr>
                <w:rFonts w:ascii="Arial" w:cs="Arial" w:eastAsia="Arial" w:hAnsi="Arial"/>
                <w:i/>
                <w:iCs/>
                <w:color w:val="888888"/>
                <w:sz w:val="17"/>
                <w:szCs w:val="17"/>
              </w:rPr>
              <w:t xml:space="preserve">  [target: GR]</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Neural stress-energy T_lτ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Stress-energy tensor T_μν</w:t>
            </w:r>
            <w:r>
              <w:rPr>
                <w:rFonts w:ascii="Arial" w:cs="Arial" w:eastAsia="Arial" w:hAnsi="Arial"/>
                <w:i/>
                <w:iCs/>
                <w:color w:val="888888"/>
                <w:sz w:val="17"/>
                <w:szCs w:val="17"/>
              </w:rPr>
              <w:t xml:space="preserve">  [target: GR]</w:t>
            </w:r>
          </w:p>
        </w:tc>
      </w:tr>
      <w:tr>
        <w:tc>
          <w:tcPr>
            <w:tcW w:type="dxa" w:w="32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Activation propagation speed v_prop  [derived]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DF8F0"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Speed of light c</w:t>
            </w:r>
            <w:r>
              <w:rPr>
                <w:rFonts w:ascii="Arial" w:cs="Arial" w:eastAsia="Arial" w:hAnsi="Arial"/>
                <w:i/>
                <w:iCs/>
                <w:color w:val="888888"/>
                <w:sz w:val="17"/>
                <w:szCs w:val="17"/>
              </w:rPr>
              <w:t xml:space="preserve">  [SR invariant]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Neural Planck constant h_NN  [derived]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Planck constant ℏ</w:t>
            </w:r>
            <w:r>
              <w:rPr>
                <w:rFonts w:ascii="Arial" w:cs="Arial" w:eastAsia="Arial" w:hAnsi="Arial"/>
                <w:i/>
                <w:iCs/>
                <w:color w:val="888888"/>
                <w:sz w:val="17"/>
                <w:szCs w:val="17"/>
              </w:rPr>
              <w:t xml:space="preserve">  [QM foundation]</w:t>
            </w:r>
          </w:p>
        </w:tc>
      </w:tr>
      <w:tr>
        <w:tc>
          <w:tcPr>
            <w:tcW w:type="dxa" w:w="32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h_NN as UV cutoff  [derived]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DF8F0"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Planck length l_P</w:t>
            </w:r>
            <w:r>
              <w:rPr>
                <w:rFonts w:ascii="Arial" w:cs="Arial" w:eastAsia="Arial" w:hAnsi="Arial"/>
                <w:i/>
                <w:iCs/>
                <w:color w:val="888888"/>
                <w:sz w:val="17"/>
                <w:szCs w:val="17"/>
              </w:rPr>
              <w:t xml:space="preserve">  [quantum gravity]</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Neural fine structure α_NN  [derived]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Fine structure constant α</w:t>
            </w:r>
            <w:r>
              <w:rPr>
                <w:rFonts w:ascii="Arial" w:cs="Arial" w:eastAsia="Arial" w:hAnsi="Arial"/>
                <w:i/>
                <w:iCs/>
                <w:color w:val="888888"/>
                <w:sz w:val="17"/>
                <w:szCs w:val="17"/>
              </w:rPr>
              <w:t xml:space="preserve">  [QED]</w:t>
            </w:r>
          </w:p>
        </w:tc>
      </w:tr>
      <w:tr>
        <w:tc>
          <w:tcPr>
            <w:tcW w:type="dxa" w:w="32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α_NN running with depth  [derived]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DF8F0"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Renormalization group flow</w:t>
            </w:r>
            <w:r>
              <w:rPr>
                <w:rFonts w:ascii="Arial" w:cs="Arial" w:eastAsia="Arial" w:hAnsi="Arial"/>
                <w:i/>
                <w:iCs/>
                <w:color w:val="888888"/>
                <w:sz w:val="17"/>
                <w:szCs w:val="17"/>
              </w:rPr>
              <w:t xml:space="preserve">  [QFT]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Coupling convergence at spinor layer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Grand Unification scale</w:t>
            </w:r>
            <w:r>
              <w:rPr>
                <w:rFonts w:ascii="Arial" w:cs="Arial" w:eastAsia="Arial" w:hAnsi="Arial"/>
                <w:i/>
                <w:iCs/>
                <w:color w:val="888888"/>
                <w:sz w:val="17"/>
                <w:szCs w:val="17"/>
              </w:rPr>
              <w:t xml:space="preserve">  [GUT]</w:t>
            </w:r>
          </w:p>
        </w:tc>
      </w:tr>
      <w:tr>
        <w:tc>
          <w:tcPr>
            <w:tcW w:type="dxa" w:w="32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G_NN = h_NN²/(α_NN·v_prop²)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DF8F0"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Gravitational constant G</w:t>
            </w:r>
            <w:r>
              <w:rPr>
                <w:rFonts w:ascii="Arial" w:cs="Arial" w:eastAsia="Arial" w:hAnsi="Arial"/>
                <w:i/>
                <w:iCs/>
                <w:color w:val="888888"/>
                <w:sz w:val="17"/>
                <w:szCs w:val="17"/>
              </w:rPr>
              <w:t xml:space="preserve">  [target: GR]</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Bias VEV β₀  [derived]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Higgs VEV v = 246 GeV</w:t>
            </w:r>
            <w:r>
              <w:rPr>
                <w:rFonts w:ascii="Arial" w:cs="Arial" w:eastAsia="Arial" w:hAnsi="Arial"/>
                <w:i/>
                <w:iCs/>
                <w:color w:val="888888"/>
                <w:sz w:val="17"/>
                <w:szCs w:val="17"/>
              </w:rPr>
              <w:t xml:space="preserve">  [SM Higgs]</w:t>
            </w:r>
          </w:p>
        </w:tc>
      </w:tr>
      <w:tr>
        <w:tc>
          <w:tcPr>
            <w:tcW w:type="dxa" w:w="32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Λ_NN = V(β₀)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DF8F0"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Cosmological constant Λ</w:t>
            </w:r>
            <w:r>
              <w:rPr>
                <w:rFonts w:ascii="Arial" w:cs="Arial" w:eastAsia="Arial" w:hAnsi="Arial"/>
                <w:i/>
                <w:iCs/>
                <w:color w:val="888888"/>
                <w:sz w:val="17"/>
                <w:szCs w:val="17"/>
              </w:rPr>
              <w:t xml:space="preserve">  [dark energy]</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Noether current J^{a,l}  [derived]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Conserved 4-current j^μ</w:t>
            </w:r>
            <w:r>
              <w:rPr>
                <w:rFonts w:ascii="Arial" w:cs="Arial" w:eastAsia="Arial" w:hAnsi="Arial"/>
                <w:i/>
                <w:iCs/>
                <w:color w:val="888888"/>
                <w:sz w:val="17"/>
                <w:szCs w:val="17"/>
              </w:rPr>
              <w:t xml:space="preserve">  [gauge theory]</w:t>
            </w:r>
          </w:p>
        </w:tc>
      </w:tr>
      <w:tr>
        <w:tc>
          <w:tcPr>
            <w:tcW w:type="dxa" w:w="32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Noether violation ΔJ  [derived]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DF8F0"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Symmetry breaking diagnostic</w:t>
            </w:r>
            <w:r>
              <w:rPr>
                <w:rFonts w:ascii="Arial" w:cs="Arial" w:eastAsia="Arial" w:hAnsi="Arial"/>
                <w:i/>
                <w:iCs/>
                <w:color w:val="888888"/>
                <w:sz w:val="17"/>
                <w:szCs w:val="17"/>
              </w:rPr>
              <w:t xml:space="preserve">  [pathology]</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Schwarzschild radius r_s^NN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Schwarzschild radius r_s</w:t>
            </w:r>
            <w:r>
              <w:rPr>
                <w:rFonts w:ascii="Arial" w:cs="Arial" w:eastAsia="Arial" w:hAnsi="Arial"/>
                <w:i/>
                <w:iCs/>
                <w:color w:val="888888"/>
                <w:sz w:val="17"/>
                <w:szCs w:val="17"/>
              </w:rPr>
              <w:t xml:space="preserve">  [GR black holes]</w:t>
            </w:r>
          </w:p>
        </w:tc>
      </w:tr>
      <w:tr>
        <w:tc>
          <w:tcPr>
            <w:tcW w:type="dxa" w:w="32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Dead neuron cluster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DF8F0"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Black hole interior</w:t>
            </w:r>
            <w:r>
              <w:rPr>
                <w:rFonts w:ascii="Arial" w:cs="Arial" w:eastAsia="Arial" w:hAnsi="Arial"/>
                <w:i/>
                <w:iCs/>
                <w:color w:val="888888"/>
                <w:sz w:val="17"/>
                <w:szCs w:val="17"/>
              </w:rPr>
              <w:t xml:space="preserve">  [GR]</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Dropout / noise injection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Hawking radiation</w:t>
            </w:r>
            <w:r>
              <w:rPr>
                <w:rFonts w:ascii="Arial" w:cs="Arial" w:eastAsia="Arial" w:hAnsi="Arial"/>
                <w:i/>
                <w:iCs/>
                <w:color w:val="888888"/>
                <w:sz w:val="17"/>
                <w:szCs w:val="17"/>
              </w:rPr>
              <w:t xml:space="preserve">  [semiclassical GR]</w:t>
            </w:r>
          </w:p>
        </w:tc>
      </w:tr>
      <w:tr>
        <w:tc>
          <w:tcPr>
            <w:tcW w:type="dxa" w:w="32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Neural Bekenstein entropy S_NN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DF8F0"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Black hole entropy S_BH</w:t>
            </w:r>
            <w:r>
              <w:rPr>
                <w:rFonts w:ascii="Arial" w:cs="Arial" w:eastAsia="Arial" w:hAnsi="Arial"/>
                <w:i/>
                <w:iCs/>
                <w:color w:val="888888"/>
                <w:sz w:val="17"/>
                <w:szCs w:val="17"/>
              </w:rPr>
              <w:t xml:space="preserve">  [quantum gravity]</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Gauge symmetry U(1)×SU(2)×SU(3)  [derived]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SM gauge group</w:t>
            </w:r>
            <w:r>
              <w:rPr>
                <w:rFonts w:ascii="Arial" w:cs="Arial" w:eastAsia="Arial" w:hAnsi="Arial"/>
                <w:i/>
                <w:iCs/>
                <w:color w:val="888888"/>
                <w:sz w:val="17"/>
                <w:szCs w:val="17"/>
              </w:rPr>
              <w:t xml:space="preserve">  [established]</w:t>
            </w:r>
          </w:p>
        </w:tc>
      </w:tr>
      <w:tr>
        <w:tc>
          <w:tcPr>
            <w:tcW w:type="dxa" w:w="32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Unified symmetry coordinates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DF8F0"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Fiber bundle E over B</w:t>
            </w:r>
            <w:r>
              <w:rPr>
                <w:rFonts w:ascii="Arial" w:cs="Arial" w:eastAsia="Arial" w:hAnsi="Arial"/>
                <w:i/>
                <w:iCs/>
                <w:color w:val="888888"/>
                <w:sz w:val="17"/>
                <w:szCs w:val="17"/>
              </w:rPr>
              <w:t xml:space="preserve">  [mathematics]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Symmetry angles in unified coords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Polar angles in fiber F</w:t>
            </w:r>
            <w:r>
              <w:rPr>
                <w:rFonts w:ascii="Arial" w:cs="Arial" w:eastAsia="Arial" w:hAnsi="Arial"/>
                <w:i/>
                <w:iCs/>
                <w:color w:val="888888"/>
                <w:sz w:val="17"/>
                <w:szCs w:val="17"/>
              </w:rPr>
              <w:t xml:space="preserve">  [target: UFT]</w:t>
            </w:r>
          </w:p>
        </w:tc>
      </w:tr>
      <w:tr>
        <w:tc>
          <w:tcPr>
            <w:tcW w:type="dxa" w:w="32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Grid-dependent inertia modifier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DF8F0"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Equivalence principle</w:t>
            </w:r>
            <w:r>
              <w:rPr>
                <w:rFonts w:ascii="Arial" w:cs="Arial" w:eastAsia="Arial" w:hAnsi="Arial"/>
                <w:i/>
                <w:iCs/>
                <w:color w:val="888888"/>
                <w:sz w:val="17"/>
                <w:szCs w:val="17"/>
              </w:rPr>
              <w:t xml:space="preserve">  [target: GR+QM]</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Single Noether application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All conservation laws unified</w:t>
            </w:r>
            <w:r>
              <w:rPr>
                <w:rFonts w:ascii="Arial" w:cs="Arial" w:eastAsia="Arial" w:hAnsi="Arial"/>
                <w:i/>
                <w:iCs/>
                <w:color w:val="888888"/>
                <w:sz w:val="17"/>
                <w:szCs w:val="17"/>
              </w:rPr>
              <w:t xml:space="preserve">  [target: UFT]</w:t>
            </w:r>
          </w:p>
        </w:tc>
      </w:tr>
      <w:tr>
        <w:tc>
          <w:tcPr>
            <w:tcW w:type="dxa" w:w="32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Long-wavelength activation waves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DF8F0"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Ultra-low-freq gravitational waves</w:t>
            </w:r>
            <w:r>
              <w:rPr>
                <w:rFonts w:ascii="Arial" w:cs="Arial" w:eastAsia="Arial" w:hAnsi="Arial"/>
                <w:i/>
                <w:iCs/>
                <w:color w:val="888888"/>
                <w:sz w:val="17"/>
                <w:szCs w:val="17"/>
              </w:rPr>
              <w:t xml:space="preserve">  [dark matter?]</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Network initialization  [derived]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Big Bang / symmetric vacuum</w:t>
            </w:r>
            <w:r>
              <w:rPr>
                <w:rFonts w:ascii="Arial" w:cs="Arial" w:eastAsia="Arial" w:hAnsi="Arial"/>
                <w:i/>
                <w:iCs/>
                <w:color w:val="888888"/>
                <w:sz w:val="17"/>
                <w:szCs w:val="17"/>
              </w:rPr>
              <w:t xml:space="preserve">  [cosmology]</w:t>
            </w:r>
          </w:p>
        </w:tc>
      </w:tr>
      <w:tr>
        <w:tc>
          <w:tcPr>
            <w:tcW w:type="dxa" w:w="32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Initial symmetry breaking  [derived]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DF8F0"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Cosmic inflation</w:t>
            </w:r>
            <w:r>
              <w:rPr>
                <w:rFonts w:ascii="Arial" w:cs="Arial" w:eastAsia="Arial" w:hAnsi="Arial"/>
                <w:i/>
                <w:iCs/>
                <w:color w:val="888888"/>
                <w:sz w:val="17"/>
                <w:szCs w:val="17"/>
              </w:rPr>
              <w:t xml:space="preserve">  [cosmology]</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pPr>
              <w:jc w:val="left"/>
            </w:pPr>
            <w:r>
              <w:rPr>
                <w:rFonts w:ascii="Arial" w:cs="Arial" w:eastAsia="Arial" w:hAnsi="Arial"/>
                <w:b w:val="false"/>
                <w:bCs w:val="false"/>
                <w:color w:val="1F3A6E"/>
                <w:sz w:val="19"/>
                <w:szCs w:val="19"/>
              </w:rPr>
              <w:t xml:space="preserve">Training phases  [conjectured]</w:t>
            </w:r>
          </w:p>
        </w:tc>
        <w:tc>
          <w:tcPr>
            <w:tcW w:type="dxa" w:w="960"/>
            <w:tcBorders>
              <w:top w:val="single" w:color="DDDDDD" w:sz="1"/>
              <w:left w:val="single" w:color="DDDDDD" w:sz="1"/>
              <w:bottom w:val="single" w:color="DDDDDD" w:sz="1"/>
              <w:right w:val="single" w:color="DDDDDD" w:sz="1"/>
            </w:tcBorders>
            <w:shd w:fill="F8F8F8" w:val="clear"/>
            <w:tcMar>
              <w:top w:type="dxa" w:w="100"/>
              <w:left w:type="dxa" w:w="80"/>
              <w:bottom w:type="dxa" w:w="100"/>
              <w:right w:type="dxa" w:w="80"/>
            </w:tcMar>
          </w:tcPr>
          <w:p>
            <w:pPr>
              <w:jc w:val="center"/>
            </w:pPr>
            <w:r>
              <w:rPr>
                <w:rFonts w:ascii="Arial" w:cs="Arial" w:eastAsia="Arial" w:hAnsi="Arial"/>
                <w:b/>
                <w:bCs/>
                <w:color w:val="8B6914"/>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60"/>
            </w:tcMar>
          </w:tcPr>
          <w:p>
            <w:pPr>
              <w:jc w:val="left"/>
            </w:pPr>
            <w:r>
              <w:rPr>
                <w:rFonts w:ascii="Arial" w:cs="Arial" w:eastAsia="Arial" w:hAnsi="Arial"/>
                <w:b w:val="false"/>
                <w:bCs w:val="false"/>
                <w:color w:val="333333"/>
                <w:sz w:val="19"/>
                <w:szCs w:val="19"/>
              </w:rPr>
              <w:t xml:space="preserve">Cosmic epoch sequence</w:t>
            </w:r>
            <w:r>
              <w:rPr>
                <w:rFonts w:ascii="Arial" w:cs="Arial" w:eastAsia="Arial" w:hAnsi="Arial"/>
                <w:i/>
                <w:iCs/>
                <w:color w:val="888888"/>
                <w:sz w:val="17"/>
                <w:szCs w:val="17"/>
              </w:rPr>
              <w:t xml:space="preserve">  [λCDM]</w:t>
            </w:r>
          </w:p>
        </w:tc>
      </w:tr>
    </w:tbl>
    <w:p>
      <w:pPr>
        <w:spacing w:after="200" w:before="0"/>
      </w:pPr>
      <w:r>
        <w:t xml:space="preserve"/>
      </w:r>
    </w:p>
    <w:p>
      <w:pPr>
        <w:pStyle w:val="Heading1"/>
        <w:spacing w:after="160" w:before="360"/>
      </w:pPr>
      <w:r>
        <w:rPr>
          <w:rFonts w:ascii="Arial" w:cs="Arial" w:eastAsia="Arial" w:hAnsi="Arial"/>
          <w:b/>
          <w:bCs/>
          <w:color w:val="1F3A6E"/>
          <w:sz w:val="32"/>
          <w:szCs w:val="32"/>
        </w:rPr>
        <w:t xml:space="preserve">What the Middle Requires</w:t>
      </w:r>
    </w:p>
    <w:p>
      <w:pPr>
        <w:spacing w:after="160" w:before="0"/>
        <w:jc w:val="both"/>
      </w:pPr>
      <w:r>
        <w:rPr>
          <w:rFonts w:ascii="Arial" w:cs="Arial" w:eastAsia="Arial" w:hAnsi="Arial"/>
          <w:sz w:val="22"/>
          <w:szCs w:val="22"/>
        </w:rPr>
        <w:t xml:space="preserve">The derivation chain from SMNNT to UFT has three open steps, each a research program in itself. We name them without pretending to have solved them.</w:t>
      </w:r>
    </w:p>
    <w:p>
      <w:pPr>
        <w:pStyle w:val="Heading2"/>
        <w:spacing w:after="120" w:before="240"/>
      </w:pPr>
      <w:r>
        <w:rPr>
          <w:rFonts w:ascii="Arial" w:cs="Arial" w:eastAsia="Arial" w:hAnsi="Arial"/>
          <w:b/>
          <w:bCs/>
          <w:color w:val="1F3A6E"/>
          <w:sz w:val="26"/>
          <w:szCs w:val="26"/>
        </w:rPr>
        <w:t xml:space="preserve">Step 1: Neural General Relativity</w:t>
      </w:r>
    </w:p>
    <w:p>
      <w:pPr>
        <w:spacing w:after="160" w:before="0"/>
        <w:jc w:val="both"/>
      </w:pPr>
      <w:r>
        <w:rPr>
          <w:rFonts w:ascii="Arial" w:cs="Arial" w:eastAsia="Arial" w:hAnsi="Arial"/>
          <w:sz w:val="22"/>
          <w:szCs w:val="22"/>
        </w:rPr>
        <w:t xml:space="preserve">Promote the flat (l,τ) grid metric to a dynamical field. Write the neural Einstein-Hilbert action as the integral of the Ricci scalar of g_lτ over the layer-token manifold, add L_NN as the matter action, and vary with respect to g_lτ. The resulting equations are the neural Einstein field equations. The technical obstacle is ensuring the resulting equations are consistent with the existing U(1)×SU(2)×SU(3) gauge structure — that dynamical geometry does not break the algebraic symmetries already established.</w:t>
      </w:r>
    </w:p>
    <w:p>
      <w:pPr>
        <w:pStyle w:val="Heading2"/>
        <w:spacing w:after="120" w:before="240"/>
      </w:pPr>
      <w:r>
        <w:rPr>
          <w:rFonts w:ascii="Arial" w:cs="Arial" w:eastAsia="Arial" w:hAnsi="Arial"/>
          <w:b/>
          <w:bCs/>
          <w:color w:val="1F3A6E"/>
          <w:sz w:val="26"/>
          <w:szCs w:val="26"/>
        </w:rPr>
        <w:t xml:space="preserve">Step 2: Unified Symmetry Coordinates</w:t>
      </w:r>
    </w:p>
    <w:p>
      <w:pPr>
        <w:spacing w:after="160" w:before="0"/>
        <w:jc w:val="both"/>
      </w:pPr>
      <w:r>
        <w:rPr>
          <w:rFonts w:ascii="Arial" w:cs="Arial" w:eastAsia="Arial" w:hAnsi="Arial"/>
          <w:sz w:val="22"/>
          <w:szCs w:val="22"/>
        </w:rPr>
        <w:t xml:space="preserve">Find the coordinate system on the symmetry fiber in which both gauge transformations and diffeomorphisms are angle increments. This is the construction of a unified principal bundle over the physical data, with the combined symmetry group G = Diff(M) ⋉ (U(1)×SU(2)×SU(3)) as the structure group. The polar-coordinate parameterization of G is the key technical object. The radial coordinate is the invariant magnitude of the physical state; the angular coordinates are the symmetry operations.</w:t>
      </w:r>
    </w:p>
    <w:p>
      <w:pPr>
        <w:pStyle w:val="Heading2"/>
        <w:spacing w:after="120" w:before="240"/>
      </w:pPr>
      <w:r>
        <w:rPr>
          <w:rFonts w:ascii="Arial" w:cs="Arial" w:eastAsia="Arial" w:hAnsi="Arial"/>
          <w:b/>
          <w:bCs/>
          <w:color w:val="1F3A6E"/>
          <w:sz w:val="26"/>
          <w:szCs w:val="26"/>
        </w:rPr>
        <w:t xml:space="preserve">Step 3: Recovery of Free Parameters</w:t>
      </w:r>
    </w:p>
    <w:p>
      <w:pPr>
        <w:spacing w:after="160" w:before="0"/>
        <w:jc w:val="both"/>
      </w:pPr>
      <w:r>
        <w:rPr>
          <w:rFonts w:ascii="Arial" w:cs="Arial" w:eastAsia="Arial" w:hAnsi="Arial"/>
          <w:sz w:val="22"/>
          <w:szCs w:val="22"/>
        </w:rPr>
        <w:t xml:space="preserve">The Standard Model has 19 free parameters (coupling constants, masses, mixing angles) that are measured but not derived. General Relativity has 1 (Newton's constant G, or equivalently the Planck length). A genuine UFT must derive all of these from the algebra structure constants — or explain why they cannot be derived and what determines them instead. The SMNNT framework's promise here is that α_NN and h_NN are potentially topological invariants of the algebra tower, computable from Cayley-Dickson structure constants alone. If so, the 19 SM parameters may reduce to properties of the division algebra tower — a dramatic compression.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0F4FA" w:val="clear"/>
            <w:tcMar>
              <w:top w:type="dxa" w:w="160"/>
              <w:left w:type="dxa" w:w="260"/>
              <w:bottom w:type="dxa" w:w="160"/>
              <w:right w:type="dxa" w:w="260"/>
            </w:tcMar>
          </w:tcPr>
          <w:p>
            <w:pPr>
              <w:spacing w:after="100" w:before="0"/>
              <w:jc w:val="both"/>
            </w:pPr>
            <w:r>
              <w:rPr>
                <w:rFonts w:ascii="Arial" w:cs="Arial" w:eastAsia="Arial" w:hAnsi="Arial"/>
                <w:i/>
                <w:iCs/>
                <w:color w:val="1A1A2E"/>
                <w:sz w:val="22"/>
                <w:szCs w:val="22"/>
              </w:rPr>
              <w:t xml:space="preserve">The central conjecture of this research program:</w:t>
            </w:r>
          </w:p>
          <w:p>
            <w:pPr>
              <w:spacing w:after="100" w:before="0"/>
              <w:jc w:val="both"/>
            </w:pPr>
            <w:r>
              <w:rPr>
                <w:rFonts w:ascii="Arial" w:cs="Arial" w:eastAsia="Arial" w:hAnsi="Arial"/>
                <w:i/>
                <w:iCs/>
                <w:color w:val="1A1A2E"/>
                <w:sz w:val="22"/>
                <w:szCs w:val="22"/>
              </w:rPr>
              <w:t xml:space="preserve"/>
            </w:r>
          </w:p>
          <w:p>
            <w:pPr>
              <w:spacing w:after="100" w:before="0"/>
              <w:jc w:val="both"/>
            </w:pPr>
            <w:r>
              <w:rPr>
                <w:rFonts w:ascii="Arial" w:cs="Arial" w:eastAsia="Arial" w:hAnsi="Arial"/>
                <w:i/>
                <w:iCs/>
                <w:color w:val="1A1A2E"/>
                <w:sz w:val="22"/>
                <w:szCs w:val="22"/>
              </w:rPr>
              <w:t xml:space="preserve">The 19 free parameters of the Standard Model, plus Newton's constant G,</w:t>
            </w:r>
          </w:p>
          <w:p>
            <w:pPr>
              <w:spacing w:after="100" w:before="0"/>
              <w:jc w:val="both"/>
            </w:pPr>
            <w:r>
              <w:rPr>
                <w:rFonts w:ascii="Arial" w:cs="Arial" w:eastAsia="Arial" w:hAnsi="Arial"/>
                <w:i/>
                <w:iCs/>
                <w:color w:val="1A1A2E"/>
                <w:sz w:val="22"/>
                <w:szCs w:val="22"/>
              </w:rPr>
              <w:t xml:space="preserve">are all derivable from the Cayley-Dickson structure constants of the</w:t>
            </w:r>
          </w:p>
          <w:p>
            <w:pPr>
              <w:spacing w:after="100" w:before="0"/>
              <w:jc w:val="both"/>
            </w:pPr>
            <w:r>
              <w:rPr>
                <w:rFonts w:ascii="Arial" w:cs="Arial" w:eastAsia="Arial" w:hAnsi="Arial"/>
                <w:i/>
                <w:iCs/>
                <w:color w:val="1A1A2E"/>
                <w:sz w:val="22"/>
                <w:szCs w:val="22"/>
              </w:rPr>
              <w:t xml:space="preserve">division algebra tower R⊗C⊗H⊗O — and are therefore not free at all.</w:t>
            </w:r>
          </w:p>
          <w:p>
            <w:pPr>
              <w:spacing w:after="100" w:before="0"/>
              <w:jc w:val="both"/>
            </w:pPr>
            <w:r>
              <w:rPr>
                <w:rFonts w:ascii="Arial" w:cs="Arial" w:eastAsia="Arial" w:hAnsi="Arial"/>
                <w:i/>
                <w:iCs/>
                <w:color w:val="1A1A2E"/>
                <w:sz w:val="22"/>
                <w:szCs w:val="22"/>
              </w:rPr>
              <w:t xml:space="preserve"/>
            </w:r>
          </w:p>
          <w:p>
            <w:pPr>
              <w:spacing w:after="100" w:before="0"/>
              <w:jc w:val="both"/>
            </w:pPr>
            <w:r>
              <w:rPr>
                <w:rFonts w:ascii="Arial" w:cs="Arial" w:eastAsia="Arial" w:hAnsi="Arial"/>
                <w:i/>
                <w:iCs/>
                <w:color w:val="1A1A2E"/>
                <w:sz w:val="22"/>
                <w:szCs w:val="22"/>
              </w:rPr>
              <w:t xml:space="preserve">They are fixed by the same algebraic necessity that fixes the gauge group.</w:t>
            </w:r>
          </w:p>
          <w:p>
            <w:pPr>
              <w:spacing w:after="0" w:before="0"/>
              <w:jc w:val="both"/>
            </w:pPr>
            <w:r>
              <w:rPr>
                <w:rFonts w:ascii="Arial" w:cs="Arial" w:eastAsia="Arial" w:hAnsi="Arial"/>
                <w:i/>
                <w:iCs/>
                <w:color w:val="1A1A2E"/>
                <w:sz w:val="22"/>
                <w:szCs w:val="22"/>
              </w:rPr>
              <w:t xml:space="preserve">They were always fixed. We just didn't have the right coordinate system to see it.</w:t>
            </w:r>
          </w:p>
        </w:tc>
      </w:tr>
    </w:tbl>
    <w:p>
      <w:pPr>
        <w:spacing w:after="200" w:before="0"/>
      </w:pPr>
      <w:r>
        <w:t xml:space="preserve"/>
      </w:r>
    </w:p>
    <w:p>
      <w:pPr>
        <w:pStyle w:val="Heading1"/>
        <w:spacing w:after="160" w:before="360"/>
      </w:pPr>
      <w:r>
        <w:rPr>
          <w:rFonts w:ascii="Arial" w:cs="Arial" w:eastAsia="Arial" w:hAnsi="Arial"/>
          <w:b/>
          <w:bCs/>
          <w:color w:val="1F3A6E"/>
          <w:sz w:val="32"/>
          <w:szCs w:val="32"/>
        </w:rPr>
        <w:t xml:space="preserve">On the Nature of This Program</w:t>
      </w:r>
    </w:p>
    <w:p>
      <w:pPr>
        <w:spacing w:after="160" w:before="0"/>
        <w:jc w:val="both"/>
      </w:pPr>
      <w:r>
        <w:rPr>
          <w:rFonts w:ascii="Arial" w:cs="Arial" w:eastAsia="Arial" w:hAnsi="Arial"/>
          <w:sz w:val="22"/>
          <w:szCs w:val="22"/>
        </w:rPr>
        <w:t xml:space="preserve">The history of physics contains several moments where an apparent incompatibility between two successful theories was resolved not by modifying either theory but by recognizing that both were correct descriptions of the same reality in different coordinate systems. Newton's mechanics and Lagrangian mechanics are the same physics. Wave and matrix formulations of quantum mechanics are the same physics. The incompatibility between them was a notation problem, not a physics problem.</w:t>
      </w:r>
    </w:p>
    <w:p>
      <w:pPr>
        <w:spacing w:after="160" w:before="0"/>
        <w:jc w:val="both"/>
      </w:pPr>
      <w:r>
        <w:rPr>
          <w:rFonts w:ascii="Arial" w:cs="Arial" w:eastAsia="Arial" w:hAnsi="Arial"/>
          <w:sz w:val="22"/>
          <w:szCs w:val="22"/>
        </w:rPr>
        <w:t xml:space="preserve">We suggest — carefully, and without claiming to have demonstrated it — that the incompatibility between General Relativity and the Standard Model is of this type. Both are correct. Both are observationally validated to extraordinary precision. The problem is not in the mathematics of either. The problem is in the implicit assumption that the coordinate systems in which they were developed are the natural ones — that Cartesian coordinates on the symmetry group are fundamental rather than conventional.</w:t>
      </w:r>
    </w:p>
    <w:p>
      <w:pPr>
        <w:spacing w:after="160" w:before="0"/>
        <w:jc w:val="both"/>
      </w:pPr>
      <w:r>
        <w:rPr>
          <w:rFonts w:ascii="Arial" w:cs="Arial" w:eastAsia="Arial" w:hAnsi="Arial"/>
          <w:sz w:val="22"/>
          <w:szCs w:val="22"/>
        </w:rPr>
        <w:t xml:space="preserve">The SMNNT framework arrived at the SM gauge structure from an entirely different direction: engineering reasoning about how to transmit information across algebraic boundaries in a hierarchical neural network. The fact that the same structure emerged suggests the structure is not specific to particle physics. It is the structure of hierarchical representation itself. And a theory of hierarchical representation that is also a theory of spacetime geometry is, by another name, a unified field theory.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0A4A" w:sz="6"/>
              <w:left w:val="single" w:color="2C0A4A" w:sz="6"/>
              <w:bottom w:val="single" w:color="2C0A4A" w:sz="6"/>
              <w:right w:val="single" w:color="2C0A4A" w:sz="6"/>
            </w:tcBorders>
            <w:shd w:fill="F0F4FA" w:val="clear"/>
            <w:tcMar>
              <w:top w:type="dxa" w:w="160"/>
              <w:left w:type="dxa" w:w="260"/>
              <w:bottom w:type="dxa" w:w="160"/>
              <w:right w:type="dxa" w:w="260"/>
            </w:tcMar>
          </w:tcPr>
          <w:p>
            <w:pPr>
              <w:spacing w:after="100" w:before="0"/>
              <w:jc w:val="both"/>
            </w:pPr>
            <w:r>
              <w:rPr>
                <w:rFonts w:ascii="Arial" w:cs="Arial" w:eastAsia="Arial" w:hAnsi="Arial"/>
                <w:i/>
                <w:iCs/>
                <w:color w:val="1A1A2E"/>
                <w:sz w:val="22"/>
                <w:szCs w:val="22"/>
              </w:rPr>
              <w:t xml:space="preserve">The path from SMNNT to UFT is not a path from neural networks to physics.</w:t>
            </w:r>
          </w:p>
          <w:p>
            <w:pPr>
              <w:spacing w:after="100" w:before="0"/>
              <w:jc w:val="both"/>
            </w:pPr>
            <w:r>
              <w:rPr>
                <w:rFonts w:ascii="Arial" w:cs="Arial" w:eastAsia="Arial" w:hAnsi="Arial"/>
                <w:i/>
                <w:iCs/>
                <w:color w:val="1A1A2E"/>
                <w:sz w:val="22"/>
                <w:szCs w:val="22"/>
              </w:rPr>
              <w:t xml:space="preserve">It is a path from one instantiation of a universal mathematical structure</w:t>
            </w:r>
          </w:p>
          <w:p>
            <w:pPr>
              <w:spacing w:after="100" w:before="0"/>
              <w:jc w:val="both"/>
            </w:pPr>
            <w:r>
              <w:rPr>
                <w:rFonts w:ascii="Arial" w:cs="Arial" w:eastAsia="Arial" w:hAnsi="Arial"/>
                <w:i/>
                <w:iCs/>
                <w:color w:val="1A1A2E"/>
                <w:sz w:val="22"/>
                <w:szCs w:val="22"/>
              </w:rPr>
              <w:t xml:space="preserve">to a more complete description of that structure —</w:t>
            </w:r>
          </w:p>
          <w:p>
            <w:pPr>
              <w:spacing w:after="100" w:before="0"/>
              <w:jc w:val="both"/>
            </w:pPr>
            <w:r>
              <w:rPr>
                <w:rFonts w:ascii="Arial" w:cs="Arial" w:eastAsia="Arial" w:hAnsi="Arial"/>
                <w:i/>
                <w:iCs/>
                <w:color w:val="1A1A2E"/>
                <w:sz w:val="22"/>
                <w:szCs w:val="22"/>
              </w:rPr>
              <w:t xml:space="preserve">a description from which both instantiations are derived consequences.</w:t>
            </w:r>
          </w:p>
          <w:p>
            <w:pPr>
              <w:spacing w:after="100" w:before="0"/>
              <w:jc w:val="both"/>
            </w:pPr>
            <w:r>
              <w:rPr>
                <w:rFonts w:ascii="Arial" w:cs="Arial" w:eastAsia="Arial" w:hAnsi="Arial"/>
                <w:i/>
                <w:iCs/>
                <w:color w:val="1A1A2E"/>
                <w:sz w:val="22"/>
                <w:szCs w:val="22"/>
              </w:rPr>
              <w:t xml:space="preserve"/>
            </w:r>
          </w:p>
          <w:p>
            <w:pPr>
              <w:spacing w:after="100" w:before="0"/>
              <w:jc w:val="both"/>
            </w:pPr>
            <w:r>
              <w:rPr>
                <w:rFonts w:ascii="Arial" w:cs="Arial" w:eastAsia="Arial" w:hAnsi="Arial"/>
                <w:i/>
                <w:iCs/>
                <w:color w:val="1A1A2E"/>
                <w:sz w:val="22"/>
                <w:szCs w:val="22"/>
              </w:rPr>
              <w:t xml:space="preserve">The neural network and the universe are solving the same problem.</w:t>
            </w:r>
          </w:p>
          <w:p>
            <w:pPr>
              <w:spacing w:after="100" w:before="0"/>
              <w:jc w:val="both"/>
            </w:pPr>
            <w:r>
              <w:rPr>
                <w:rFonts w:ascii="Arial" w:cs="Arial" w:eastAsia="Arial" w:hAnsi="Arial"/>
                <w:i/>
                <w:iCs/>
                <w:color w:val="1A1A2E"/>
                <w:sz w:val="22"/>
                <w:szCs w:val="22"/>
              </w:rPr>
              <w:t xml:space="preserve">The mathematics knows this already.</w:t>
            </w:r>
          </w:p>
          <w:p>
            <w:pPr>
              <w:spacing w:after="0" w:before="0"/>
              <w:jc w:val="both"/>
            </w:pPr>
            <w:r>
              <w:rPr>
                <w:rFonts w:ascii="Arial" w:cs="Arial" w:eastAsia="Arial" w:hAnsi="Arial"/>
                <w:i/>
                <w:iCs/>
                <w:color w:val="1A1A2E"/>
                <w:sz w:val="22"/>
                <w:szCs w:val="22"/>
              </w:rPr>
              <w:t xml:space="preserve">We are catching up.</w:t>
            </w:r>
          </w:p>
        </w:tc>
      </w:tr>
    </w:tbl>
    <w:p>
      <w:pPr>
        <w:spacing w:after="200" w:before="0"/>
      </w:pPr>
      <w:r>
        <w:t xml:space="preserve"/>
      </w:r>
    </w:p>
    <w:p>
      <w:pPr>
        <w:pBdr>
          <w:bottom w:val="single" w:color="8B6914" w:sz="4" w:space="1"/>
        </w:pBdr>
        <w:spacing w:after="160" w:before="160"/>
      </w:pPr>
      <w:r>
        <w:t xml:space="preserve"/>
      </w:r>
    </w:p>
    <w:p>
      <w:pPr>
        <w:spacing w:after="80" w:before="0"/>
      </w:pPr>
      <w:r>
        <w:t xml:space="preserve"/>
      </w:r>
    </w:p>
    <w:p>
      <w:pPr>
        <w:spacing w:after="80" w:before="0"/>
        <w:jc w:val="center"/>
      </w:pPr>
      <w:r>
        <w:rPr>
          <w:rFonts w:ascii="Arial" w:cs="Arial" w:eastAsia="Arial" w:hAnsi="Arial"/>
          <w:b/>
          <w:bCs/>
          <w:color w:val="8B6914"/>
          <w:sz w:val="20"/>
          <w:szCs w:val="20"/>
        </w:rPr>
        <w:t xml:space="preserve">SMNNT  &gt;&gt;&gt;  Neural GR  &gt;&gt;&gt;  Unified Symmetry Coordinates  &gt;&gt;&gt;  UFT</w:t>
      </w:r>
    </w:p>
    <w:p>
      <w:pPr>
        <w:spacing w:after="80" w:before="0"/>
        <w:jc w:val="center"/>
      </w:pPr>
      <w:r>
        <w:rPr>
          <w:rFonts w:ascii="Arial" w:cs="Arial" w:eastAsia="Arial" w:hAnsi="Arial"/>
          <w:i/>
          <w:iCs/>
          <w:color w:val="666666"/>
          <w:sz w:val="22"/>
          <w:szCs w:val="22"/>
        </w:rPr>
        <w:t xml:space="preserve">The middle is the work. The endpoints are fixed.</w:t>
      </w:r>
    </w:p>
    <w:p>
      <w:pPr>
        <w:spacing w:after="80" w:before="0"/>
      </w:pPr>
      <w:r>
        <w:t xml:space="preserve"/>
      </w:r>
    </w:p>
    <w:p>
      <w:pPr>
        <w:pBdr>
          <w:bottom w:val="single" w:color="8B6914" w:sz="4" w:space="1"/>
        </w:pBdr>
        <w:spacing w:after="160" w:before="160"/>
      </w:pPr>
      <w:r>
        <w:t xml:space="preserve"/>
      </w:r>
    </w:p>
    <w:p>
      <w:pPr>
        <w:spacing w:after="200" w:before="0"/>
      </w:pPr>
      <w:r>
        <w:t xml:space="preserve"/>
      </w:r>
    </w:p>
    <w:p>
      <w:pPr>
        <w:spacing w:after="60" w:before="0"/>
        <w:jc w:val="center"/>
      </w:pPr>
      <w:r>
        <w:rPr>
          <w:rFonts w:ascii="Arial" w:cs="Arial" w:eastAsia="Arial" w:hAnsi="Arial"/>
          <w:i/>
          <w:iCs/>
          <w:color w:val="AAAAAA"/>
          <w:sz w:val="18"/>
          <w:szCs w:val="18"/>
        </w:rPr>
        <w:t xml:space="preserve">End of Addendum</w:t>
      </w:r>
    </w:p>
    <w:p>
      <w:pPr>
        <w:spacing w:after="60" w:before="0"/>
        <w:jc w:val="center"/>
      </w:pPr>
      <w:r>
        <w:rPr>
          <w:rFonts w:ascii="Arial" w:cs="Arial" w:eastAsia="Arial" w:hAnsi="Arial"/>
          <w:color w:val="BBBBBB"/>
          <w:sz w:val="18"/>
          <w:szCs w:val="18"/>
        </w:rPr>
        <w:t xml:space="preserve">SMNNT Preprint | March 31, 2026 | Addendum compiled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SMNNT Addendum — Beyond the Standard Model Isomorphism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2026-04-05T08:23:36.326Z</dcterms:created>
  <dcterms:modified xsi:type="dcterms:W3CDTF">2026-04-05T08:23:36.326Z</dcterms:modified>
</cp:coreProperties>
</file>

<file path=docProps/custom.xml><?xml version="1.0" encoding="utf-8"?>
<Properties xmlns="http://schemas.openxmlformats.org/officeDocument/2006/custom-properties" xmlns:vt="http://schemas.openxmlformats.org/officeDocument/2006/docPropsVTypes"/>
</file>