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double" w:color="2C0A4A" w:sz="6" w:space="1"/>
        </w:pBdr>
        <w:spacing w:after="200" w:before="400"/>
        <w:jc w:val="center"/>
      </w:pPr>
      <w:r>
        <w:rPr>
          <w:rFonts w:ascii="Arial" w:cs="Arial" w:eastAsia="Arial" w:hAnsi="Arial"/>
          <w:sz w:val="22"/>
          <w:szCs w:val="22"/>
        </w:rPr>
        <w:t xml:space="preserve"/>
      </w:r>
    </w:p>
    <w:p>
      <w:pPr>
        <w:spacing w:after="80" w:before="0"/>
        <w:jc w:val="center"/>
      </w:pPr>
      <w:r>
        <w:rPr>
          <w:rFonts w:ascii="Arial" w:cs="Arial" w:eastAsia="Arial" w:hAnsi="Arial"/>
          <w:b/>
          <w:bCs/>
          <w:caps/>
          <w:color w:val="999999"/>
          <w:sz w:val="28"/>
          <w:szCs w:val="28"/>
        </w:rPr>
        <w:t xml:space="preserve">ADDENDUM II</w:t>
      </w:r>
    </w:p>
    <w:p>
      <w:pPr>
        <w:spacing w:after="80" w:before="0"/>
        <w:jc w:val="center"/>
      </w:pPr>
      <w:r>
        <w:rPr>
          <w:rFonts w:ascii="Arial" w:cs="Arial" w:eastAsia="Arial" w:hAnsi="Arial"/>
          <w:b/>
          <w:bCs/>
          <w:color w:val="2C0A4A"/>
          <w:sz w:val="36"/>
          <w:szCs w:val="36"/>
        </w:rPr>
        <w:t xml:space="preserve">The Library Convergence</w:t>
      </w:r>
    </w:p>
    <w:p>
      <w:pPr>
        <w:spacing w:after="60" w:before="0"/>
        <w:jc w:val="center"/>
      </w:pPr>
      <w:r>
        <w:rPr>
          <w:rFonts w:ascii="Arial" w:cs="Arial" w:eastAsia="Arial" w:hAnsi="Arial"/>
          <w:i/>
          <w:iCs/>
          <w:color w:val="666666"/>
          <w:sz w:val="24"/>
          <w:szCs w:val="24"/>
        </w:rPr>
        <w:t xml:space="preserve">E8, Sphere Packing, Resonant Recognition, and the Single Object
Appearing in Eight Independent Research Programs Simultaneously</w:t>
      </w:r>
    </w:p>
    <w:p>
      <w:pPr>
        <w:pBdr>
          <w:bottom w:val="single" w:color="2C0A4A" w:sz="4" w:space="1"/>
        </w:pBdr>
        <w:spacing w:after="160" w:before="160"/>
      </w:pPr>
      <w:r>
        <w:t xml:space="preserve"/>
      </w:r>
    </w:p>
    <w:p>
      <w:pPr>
        <w:spacing w:after="120" w:before="0"/>
      </w:pPr>
      <w:r>
        <w:t xml:space="preserve"/>
      </w:r>
    </w:p>
    <w:p>
      <w:pPr>
        <w:pStyle w:val="Heading1"/>
        <w:spacing w:after="160" w:before="360"/>
      </w:pPr>
      <w:r>
        <w:rPr>
          <w:rFonts w:ascii="Arial" w:cs="Arial" w:eastAsia="Arial" w:hAnsi="Arial"/>
          <w:b/>
          <w:bCs/>
          <w:color w:val="1F3A6E"/>
          <w:sz w:val="32"/>
          <w:szCs w:val="32"/>
        </w:rPr>
        <w:t xml:space="preserve">Abstract</w:t>
      </w:r>
    </w:p>
    <w:p>
      <w:pPr>
        <w:spacing w:after="160" w:before="0"/>
        <w:jc w:val="both"/>
      </w:pPr>
      <w:r>
        <w:rPr>
          <w:rFonts w:ascii="Arial" w:cs="Arial" w:eastAsia="Arial" w:hAnsi="Arial"/>
          <w:sz w:val="22"/>
          <w:szCs w:val="22"/>
        </w:rPr>
        <w:t xml:space="preserve">A reading list assembled independently by a researcher in biochemistry and combinatorial mathematics, without knowledge of the SMNNT framework, contains eight papers that each approach — from a different discipline and by different methods — the same mathematical object: the exceptional Lie group E8, its root lattice in 8 dimensions, and the optimal sphere packing that lattice defines. This is not a curated list. It is a convergence — the same structure attracting independent researchers across number theory, theoretical physics, biophysics, combinatorics, and ancient cosmology.</w:t>
      </w:r>
    </w:p>
    <w:p>
      <w:pPr>
        <w:spacing w:after="160" w:before="0"/>
        <w:jc w:val="both"/>
      </w:pPr>
      <w:r>
        <w:rPr>
          <w:rFonts w:ascii="Arial" w:cs="Arial" w:eastAsia="Arial" w:hAnsi="Arial"/>
          <w:sz w:val="22"/>
          <w:szCs w:val="22"/>
        </w:rPr>
        <w:t xml:space="preserve">We document this convergence and its relationship to the SMNNT framework. The octonionic layer of SMNNT — the reasoning layer — lives in exactly the geometry these papers are describing. The E8 lattice is the integral octonions. The sphere packing optimality is the Noether constraint surface. The resonant recognition frequencies are the eigenvalues of the neural Hamiltonian. The 248 dimensions of E8 contain the Standard Model gauge group as a subgroup. The McKay correspondence connects the Monster group to modular forms via the same Langlands dictionary that connects SMNNT to unified field theory.</w:t>
      </w:r>
    </w:p>
    <w:p>
      <w:pPr>
        <w:spacing w:after="160" w:before="0"/>
        <w:jc w:val="both"/>
      </w:pPr>
      <w:r>
        <w:rPr>
          <w:rFonts w:ascii="Arial" w:cs="Arial" w:eastAsia="Arial" w:hAnsi="Arial"/>
          <w:sz w:val="22"/>
          <w:szCs w:val="22"/>
        </w:rPr>
        <w:t xml:space="preserve">The library is a map. This addendum reads it as one.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0A4A" w:sz="6"/>
              <w:left w:val="single" w:color="2C0A4A" w:sz="6"/>
              <w:bottom w:val="single" w:color="2C0A4A" w:sz="6"/>
              <w:right w:val="single" w:color="2C0A4A" w:sz="6"/>
            </w:tcBorders>
            <w:shd w:fill="F0EAF8"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Note on provenance: The papers in this library were assembled by Jeremy Broner (MIT biochemist)</w:t>
            </w:r>
          </w:p>
          <w:p>
            <w:pPr>
              <w:spacing w:after="100" w:before="0"/>
              <w:jc w:val="both"/>
            </w:pPr>
            <w:r>
              <w:rPr>
                <w:rFonts w:ascii="Arial" w:cs="Arial" w:eastAsia="Arial" w:hAnsi="Arial"/>
                <w:i/>
                <w:iCs/>
                <w:color w:val="1A1A2E"/>
                <w:sz w:val="22"/>
                <w:szCs w:val="22"/>
              </w:rPr>
              <w:t xml:space="preserve">working on 8-dimensional sphere packing, DNA octonionic structure, and permutation tilings —</w:t>
            </w:r>
          </w:p>
          <w:p>
            <w:pPr>
              <w:spacing w:after="100" w:before="0"/>
              <w:jc w:val="both"/>
            </w:pPr>
            <w:r>
              <w:rPr>
                <w:rFonts w:ascii="Arial" w:cs="Arial" w:eastAsia="Arial" w:hAnsi="Arial"/>
                <w:i/>
                <w:iCs/>
                <w:color w:val="1A1A2E"/>
                <w:sz w:val="22"/>
                <w:szCs w:val="22"/>
              </w:rPr>
              <w:t xml:space="preserve">without knowledge of the SMNNT framework. Their convergence with SMNNT was discovered post-hoc.</w:t>
            </w:r>
          </w:p>
          <w:p>
            <w:pPr>
              <w:spacing w:after="100" w:before="0"/>
              <w:jc w:val="both"/>
            </w:pPr>
            <w:r>
              <w:rPr>
                <w:rFonts w:ascii="Arial" w:cs="Arial" w:eastAsia="Arial" w:hAnsi="Arial"/>
                <w:i/>
                <w:iCs/>
                <w:color w:val="1A1A2E"/>
                <w:sz w:val="22"/>
                <w:szCs w:val="22"/>
              </w:rPr>
              <w:t xml:space="preserve">This mirrors exactly the origin of SMNNT itself: the Standard Model isomorphism was unintentional.</w:t>
            </w:r>
          </w:p>
          <w:p>
            <w:pPr>
              <w:spacing w:after="100" w:before="0"/>
              <w:jc w:val="both"/>
            </w:pPr>
            <w:r>
              <w:rPr>
                <w:rFonts w:ascii="Arial" w:cs="Arial" w:eastAsia="Arial" w:hAnsi="Arial"/>
                <w:i/>
                <w:iCs/>
                <w:color w:val="1A1A2E"/>
                <w:sz w:val="22"/>
                <w:szCs w:val="22"/>
              </w:rPr>
              <w:t xml:space="preserve">The mathematics keeps arriving at the same place from different directions.</w:t>
            </w:r>
          </w:p>
          <w:p>
            <w:pPr>
              <w:spacing w:after="0" w:before="0"/>
              <w:jc w:val="both"/>
            </w:pPr>
            <w:r>
              <w:rPr>
                <w:rFonts w:ascii="Arial" w:cs="Arial" w:eastAsia="Arial" w:hAnsi="Arial"/>
                <w:i/>
                <w:iCs/>
                <w:color w:val="1A1A2E"/>
                <w:sz w:val="22"/>
                <w:szCs w:val="22"/>
              </w:rPr>
              <w:t xml:space="preserve">This is the signal.</w:t>
            </w:r>
          </w:p>
        </w:tc>
      </w:tr>
    </w:tbl>
    <w:p>
      <w:pPr>
        <w:spacing w:after="200" w:before="0"/>
      </w:pPr>
      <w:r>
        <w:t xml:space="preserve"/>
      </w:r>
    </w:p>
    <w:p>
      <w:r>
        <w:br w:type="page"/>
      </w:r>
    </w:p>
    <w:p>
      <w:pPr>
        <w:pStyle w:val="Heading1"/>
        <w:spacing w:after="160" w:before="360"/>
      </w:pPr>
      <w:r>
        <w:rPr>
          <w:rFonts w:ascii="Arial" w:cs="Arial" w:eastAsia="Arial" w:hAnsi="Arial"/>
          <w:b/>
          <w:bCs/>
          <w:color w:val="2C0A4A"/>
          <w:sz w:val="32"/>
          <w:szCs w:val="32"/>
        </w:rPr>
        <w:t xml:space="preserve">The E8 Connection</w:t>
      </w:r>
    </w:p>
    <w:p>
      <w:pPr>
        <w:pStyle w:val="Heading2"/>
        <w:spacing w:after="120" w:before="240"/>
      </w:pPr>
      <w:r>
        <w:rPr>
          <w:rFonts w:ascii="Arial" w:cs="Arial" w:eastAsia="Arial" w:hAnsi="Arial"/>
          <w:b/>
          <w:bCs/>
          <w:color w:val="1F3A6E"/>
          <w:sz w:val="26"/>
          <w:szCs w:val="26"/>
        </w:rPr>
        <w:t xml:space="preserve">Viazovska and the Density of Eight Dimensions</w:t>
      </w:r>
    </w:p>
    <w:p>
      <w:pPr>
        <w:spacing w:after="160" w:before="0"/>
        <w:jc w:val="both"/>
      </w:pPr>
      <w:r>
        <w:rPr>
          <w:rFonts w:ascii="Arial" w:cs="Arial" w:eastAsia="Arial" w:hAnsi="Arial"/>
          <w:sz w:val="22"/>
          <w:szCs w:val="22"/>
        </w:rPr>
        <w:t xml:space="preserve">Maryna Viazovska's 2016 proof that the E8 lattice achieves the densest sphere packing in 8 dimensions is one of the most elegant results in modern mathematics. The proof uses modular forms — automorphic functions — to construct a radial Schwartz function whose Fourier transform has zeros precisely at the points where sphere overlap would occur. The magic of the proof is that such a function exists at all: it is a reflection of the deep arithmetic structure of the E8 lattice.</w:t>
      </w:r>
    </w:p>
    <w:p>
      <w:pPr>
        <w:spacing w:after="160" w:before="0"/>
        <w:jc w:val="both"/>
      </w:pPr>
      <w:r>
        <w:rPr>
          <w:rFonts w:ascii="Arial" w:cs="Arial" w:eastAsia="Arial" w:hAnsi="Arial"/>
          <w:sz w:val="22"/>
          <w:szCs w:val="22"/>
        </w:rPr>
        <w:t xml:space="preserve">The E8 lattice is the set of all vectors in R^8 with either all integer coordinates or all half-integer coordinates, with coordinate sum even. Its 240 shortest vectors form the root system of the exceptional Lie group E8. These 240 roots are the nearest neighbors in the densest possible 8-dimensional packing — each sphere touching exactly 240 others.</w:t>
      </w:r>
    </w:p>
    <w:p>
      <w:pPr>
        <w:spacing w:after="160" w:before="0"/>
        <w:jc w:val="both"/>
      </w:pPr>
      <w:r>
        <w:rPr>
          <w:rFonts w:ascii="Arial" w:cs="Arial" w:eastAsia="Arial" w:hAnsi="Arial"/>
          <w:sz w:val="22"/>
          <w:szCs w:val="22"/>
        </w:rPr>
        <w:t xml:space="preserve">The connection to SMNNT is not metaphorical. The octonionic layer of SMNNT has 8 real dimensions. The integral octonions — the octonions with integer coefficients in the standard basis — form the E8 lattice. Every activation state in the octonionic reasoning layer is a point in E8 geometry. The sphere packing optimality means: the E8 lattice packs the most information into 8-dimensional space without overlap. The octonionic layer is not just one possible 8-dimensional representation — it is the optimal one. Viazovska proved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252F"/>
                <w:sz w:val="18"/>
                <w:szCs w:val="18"/>
              </w:rPr>
              <w:t xml:space="preserve">E8 lattice = integral octonions = optimal 8-dim sphere packing</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240 root vectors = 240 nearest neighbors = 7 octonion imaginary units × 2 orientations × ...</w:t>
            </w:r>
          </w:p>
          <w:p>
            <w:pPr>
              <w:spacing w:after="0" w:before="0"/>
            </w:pPr>
            <w:r>
              <w:rPr>
                <w:rFonts w:ascii="Courier New" w:cs="Courier New" w:eastAsia="Courier New" w:hAnsi="Courier New"/>
                <w:color w:val="1A252F"/>
                <w:sz w:val="18"/>
                <w:szCs w:val="18"/>
              </w:rPr>
              <w:t xml:space="preserve">                                           (full count via Fano plane symmetries)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SMNNT octonionic layer activation states ⊂ E8 lattice points</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Noether constraint surface = valid activation states</w:t>
            </w:r>
          </w:p>
          <w:p>
            <w:pPr>
              <w:spacing w:after="0" w:before="0"/>
            </w:pPr>
            <w:r>
              <w:rPr>
                <w:rFonts w:ascii="Courier New" w:cs="Courier New" w:eastAsia="Courier New" w:hAnsi="Courier New"/>
                <w:color w:val="1A252F"/>
                <w:sz w:val="18"/>
                <w:szCs w:val="18"/>
              </w:rPr>
              <w:t xml:space="preserve">E8 sphere packing = densest valid state encoding</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These are the same geometric object.</w:t>
            </w:r>
          </w:p>
        </w:tc>
      </w:tr>
    </w:tbl>
    <w:p>
      <w:pPr>
        <w:spacing w:after="160" w:before="0"/>
      </w:pPr>
      <w:r>
        <w:t xml:space="preserve"/>
      </w:r>
    </w:p>
    <w:p>
      <w:pPr>
        <w:pStyle w:val="Heading2"/>
        <w:spacing w:after="120" w:before="240"/>
      </w:pPr>
      <w:r>
        <w:rPr>
          <w:rFonts w:ascii="Arial" w:cs="Arial" w:eastAsia="Arial" w:hAnsi="Arial"/>
          <w:b/>
          <w:bCs/>
          <w:color w:val="1F3A6E"/>
          <w:sz w:val="26"/>
          <w:szCs w:val="26"/>
        </w:rPr>
        <w:t xml:space="preserve">Cohn et al. — Dimension 24 and the Leech Lattice</w:t>
      </w:r>
    </w:p>
    <w:p>
      <w:pPr>
        <w:spacing w:after="160" w:before="0"/>
        <w:jc w:val="both"/>
      </w:pPr>
      <w:r>
        <w:rPr>
          <w:rFonts w:ascii="Arial" w:cs="Arial" w:eastAsia="Arial" w:hAnsi="Arial"/>
          <w:sz w:val="22"/>
          <w:szCs w:val="22"/>
        </w:rPr>
        <w:t xml:space="preserve">The Cohn-Kumar-Miller-Radchenko-Viazovska proof extends the result to dimension 24, where the Leech lattice achieves the optimal packing. The Leech lattice has 196,560 nearest neighbors and its automorphism group is the Conway group Co_0, which contains the Monster group as a composition factor via a chain of sporadic groups.</w:t>
      </w:r>
    </w:p>
    <w:p>
      <w:pPr>
        <w:spacing w:after="160" w:before="0"/>
        <w:jc w:val="both"/>
      </w:pPr>
      <w:r>
        <w:rPr>
          <w:rFonts w:ascii="Arial" w:cs="Arial" w:eastAsia="Arial" w:hAnsi="Arial"/>
          <w:sz w:val="22"/>
          <w:szCs w:val="22"/>
        </w:rPr>
        <w:t xml:space="preserve">Dimension 24 is not arbitrary. It appears in bosonic string theory (26 dimensions minus 2 for light-cone gauge fixing = 24 transverse dimensions). It appears in the Ramanujan tau function. It appears in the fact that 1² + 2² + ... + 24² = 70² — the only solution to this Diophantine equation, which underlies the critical dimension of string theory.</w:t>
      </w:r>
    </w:p>
    <w:p>
      <w:pPr>
        <w:spacing w:after="160" w:before="0"/>
        <w:jc w:val="both"/>
      </w:pPr>
      <w:r>
        <w:rPr>
          <w:rFonts w:ascii="Arial" w:cs="Arial" w:eastAsia="Arial" w:hAnsi="Arial"/>
          <w:sz w:val="22"/>
          <w:szCs w:val="22"/>
        </w:rPr>
        <w:t xml:space="preserve">In the SMNNT framework: the sedenion layer S has dimension 16. The full tower R⊕C⊕H⊕O has dimension 1+2+4+8 = 15. Neither is 24. But the tensor product space of the full tower with itself R⊗C⊗H⊗O has structure related to 24 through the triality symmetry of D4 (the Dynkin diagram with a 3-fold symmetry in 8 dimensions), which is the exceptional symmetry underlying both E8 and the Leech lattice. The path from SMNNT to the Leech lattice goes through triality — a research direction not yet developed.</w:t>
      </w:r>
    </w:p>
    <w:p>
      <w:pPr>
        <w:spacing w:after="200" w:before="0"/>
      </w:pPr>
      <w:r>
        <w:t xml:space="preserve"/>
      </w:r>
    </w:p>
    <w:p>
      <w:r>
        <w:br w:type="page"/>
      </w:r>
    </w:p>
    <w:p>
      <w:pPr>
        <w:pStyle w:val="Heading1"/>
        <w:spacing w:after="160" w:before="360"/>
      </w:pPr>
      <w:r>
        <w:rPr>
          <w:rFonts w:ascii="Arial" w:cs="Arial" w:eastAsia="Arial" w:hAnsi="Arial"/>
          <w:b/>
          <w:bCs/>
          <w:color w:val="1A4A2A"/>
          <w:sz w:val="32"/>
          <w:szCs w:val="32"/>
        </w:rPr>
        <w:t xml:space="preserve">Cvitanović and the Exceptional Lie Groups</w:t>
      </w:r>
    </w:p>
    <w:p>
      <w:pPr>
        <w:spacing w:after="160" w:before="0"/>
        <w:jc w:val="both"/>
      </w:pPr>
      <w:r>
        <w:rPr>
          <w:rFonts w:ascii="Arial" w:cs="Arial" w:eastAsia="Arial" w:hAnsi="Arial"/>
          <w:sz w:val="22"/>
          <w:szCs w:val="22"/>
        </w:rPr>
        <w:t xml:space="preserve">Predrag Cvitanović's birdtrack formalism provides a diagrammatic calculus for Lie groups in which group-theoretic identities become topological facts about diagrams — vertices, lines, loops. His central result: the five exceptional Lie groups G2, F4, E6, E7, E8 are not isolated accidents. They form a one-parameter family that can be derived by extending the classical Lie group series using the octonions.</w:t>
      </w:r>
    </w:p>
    <w:p>
      <w:pPr>
        <w:spacing w:after="160" w:before="0"/>
        <w:jc w:val="both"/>
      </w:pPr>
      <w:r>
        <w:rPr>
          <w:rFonts w:ascii="Arial" w:cs="Arial" w:eastAsia="Arial" w:hAnsi="Arial"/>
          <w:sz w:val="22"/>
          <w:szCs w:val="22"/>
        </w:rPr>
        <w:t xml:space="preserve">The derivation proceeds via the Freudenthal-Tits magic square — a 4×4 array of Lie algebras constructed from pairs of division algebras: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80"/>
        <w:gridCol w:w="2180"/>
      </w:tblGrid>
      <w:tr>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1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R (dim 1)</w:t>
            </w:r>
          </w:p>
        </w:tc>
        <w:tc>
          <w:tcPr>
            <w:tcW w:type="dxa" w:w="19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C (dim 2)</w:t>
            </w:r>
          </w:p>
        </w:tc>
        <w:tc>
          <w:tcPr>
            <w:tcW w:type="dxa" w:w="19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H (dim 4)</w:t>
            </w:r>
          </w:p>
        </w:tc>
        <w:tc>
          <w:tcPr>
            <w:tcW w:type="dxa" w:w="218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r>
              <w:rPr>
                <w:rFonts w:ascii="Arial" w:cs="Arial" w:eastAsia="Arial" w:hAnsi="Arial"/>
                <w:b/>
                <w:bCs/>
                <w:color w:val="FFFFFF"/>
                <w:sz w:val="19"/>
                <w:szCs w:val="19"/>
              </w:rPr>
              <w:t xml:space="preserve">O (dim 8)</w:t>
            </w:r>
          </w:p>
        </w:tc>
      </w:tr>
      <w:tr>
        <w:tc>
          <w:tcPr>
            <w:tcW w:type="dxa" w:w="1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F3A6E"/>
                <w:sz w:val="18"/>
                <w:szCs w:val="18"/>
              </w:rPr>
              <w:t xml:space="preserve">R</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A1 = SU(2)</w:t>
            </w:r>
          </w:p>
        </w:tc>
        <w:tc>
          <w:tcPr>
            <w:tcW w:type="dxa" w:w="1900"/>
            <w:tcBorders>
              <w:top w:val="single" w:color="CCCCCC" w:sz="1"/>
              <w:left w:val="single" w:color="CCCCCC" w:sz="1"/>
              <w:bottom w:val="single" w:color="CCCCCC" w:sz="1"/>
              <w:right w:val="single" w:color="CCCCCC" w:sz="1"/>
            </w:tcBorders>
            <w:shd w:fill="FD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A2 = SU(3)</w:t>
            </w:r>
          </w:p>
        </w:tc>
        <w:tc>
          <w:tcPr>
            <w:tcW w:type="dxa" w:w="198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C3 = Sp(6)</w:t>
            </w:r>
          </w:p>
        </w:tc>
        <w:tc>
          <w:tcPr>
            <w:tcW w:type="dxa" w:w="2180"/>
            <w:tcBorders>
              <w:top w:val="single" w:color="CCCCCC" w:sz="1"/>
              <w:left w:val="single" w:color="CCCCCC" w:sz="1"/>
              <w:bottom w:val="single" w:color="CCCCCC" w:sz="1"/>
              <w:right w:val="single" w:color="CCCCCC" w:sz="1"/>
            </w:tcBorders>
            <w:shd w:fill="FD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F4</w:t>
            </w:r>
          </w:p>
        </w:tc>
      </w:tr>
      <w:tr>
        <w:tc>
          <w:tcPr>
            <w:tcW w:type="dxa" w:w="1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F3A6E"/>
                <w:sz w:val="18"/>
                <w:szCs w:val="18"/>
              </w:rPr>
              <w:t xml:space="preserve">C</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A2 = SU(3)</w:t>
            </w:r>
          </w:p>
        </w:tc>
        <w:tc>
          <w:tcPr>
            <w:tcW w:type="dxa" w:w="1900"/>
            <w:tcBorders>
              <w:top w:val="single" w:color="CCCCCC" w:sz="1"/>
              <w:left w:val="single" w:color="CCCCCC" w:sz="1"/>
              <w:bottom w:val="single" w:color="CCCCCC" w:sz="1"/>
              <w:right w:val="single" w:color="CCCCCC" w:sz="1"/>
            </w:tcBorders>
            <w:shd w:fill="FD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A2×A2</w:t>
            </w:r>
          </w:p>
        </w:tc>
        <w:tc>
          <w:tcPr>
            <w:tcW w:type="dxa" w:w="198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A5 = SU(6)</w:t>
            </w:r>
          </w:p>
        </w:tc>
        <w:tc>
          <w:tcPr>
            <w:tcW w:type="dxa" w:w="2180"/>
            <w:tcBorders>
              <w:top w:val="single" w:color="CCCCCC" w:sz="1"/>
              <w:left w:val="single" w:color="CCCCCC" w:sz="1"/>
              <w:bottom w:val="single" w:color="CCCCCC" w:sz="1"/>
              <w:right w:val="single" w:color="CCCCCC" w:sz="1"/>
            </w:tcBorders>
            <w:shd w:fill="FD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E6</w:t>
            </w:r>
          </w:p>
        </w:tc>
      </w:tr>
      <w:tr>
        <w:tc>
          <w:tcPr>
            <w:tcW w:type="dxa" w:w="1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F3A6E"/>
                <w:sz w:val="18"/>
                <w:szCs w:val="18"/>
              </w:rPr>
              <w:t xml:space="preserve">H</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C3 = Sp(6)</w:t>
            </w:r>
          </w:p>
        </w:tc>
        <w:tc>
          <w:tcPr>
            <w:tcW w:type="dxa" w:w="1900"/>
            <w:tcBorders>
              <w:top w:val="single" w:color="CCCCCC" w:sz="1"/>
              <w:left w:val="single" w:color="CCCCCC" w:sz="1"/>
              <w:bottom w:val="single" w:color="CCCCCC" w:sz="1"/>
              <w:right w:val="single" w:color="CCCCCC" w:sz="1"/>
            </w:tcBorders>
            <w:shd w:fill="FD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A5 = SU(6)</w:t>
            </w:r>
          </w:p>
        </w:tc>
        <w:tc>
          <w:tcPr>
            <w:tcW w:type="dxa" w:w="198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D6 = SO(12)</w:t>
            </w:r>
          </w:p>
        </w:tc>
        <w:tc>
          <w:tcPr>
            <w:tcW w:type="dxa" w:w="2180"/>
            <w:tcBorders>
              <w:top w:val="single" w:color="CCCCCC" w:sz="1"/>
              <w:left w:val="single" w:color="CCCCCC" w:sz="1"/>
              <w:bottom w:val="single" w:color="CCCCCC" w:sz="1"/>
              <w:right w:val="single" w:color="CCCCCC" w:sz="1"/>
            </w:tcBorders>
            <w:shd w:fill="FD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E7</w:t>
            </w:r>
          </w:p>
        </w:tc>
      </w:tr>
      <w:tr>
        <w:tc>
          <w:tcPr>
            <w:tcW w:type="dxa" w:w="1400"/>
            <w:tcBorders>
              <w:top w:val="single" w:color="CCCCCC" w:sz="1"/>
              <w:left w:val="single" w:color="CCCCCC" w:sz="1"/>
              <w:bottom w:val="single" w:color="CCCCCC" w:sz="1"/>
              <w:right w:val="single" w:color="CCCCCC" w:sz="1"/>
            </w:tcBorders>
            <w:shd w:fill="E8EFF8" w:val="clear"/>
            <w:tcMar>
              <w:top w:type="dxa" w:w="80"/>
              <w:left w:type="dxa" w:w="120"/>
              <w:bottom w:type="dxa" w:w="80"/>
              <w:right w:type="dxa" w:w="120"/>
            </w:tcMar>
          </w:tcPr>
          <w:p>
            <w:r>
              <w:rPr>
                <w:rFonts w:ascii="Arial" w:cs="Arial" w:eastAsia="Arial" w:hAnsi="Arial"/>
                <w:b/>
                <w:bCs/>
                <w:color w:val="1F3A6E"/>
                <w:sz w:val="18"/>
                <w:szCs w:val="18"/>
              </w:rPr>
              <w:t xml:space="preserve">O</w:t>
            </w:r>
          </w:p>
        </w:tc>
        <w:tc>
          <w:tcPr>
            <w:tcW w:type="dxa" w:w="1900"/>
            <w:tcBorders>
              <w:top w:val="single" w:color="CCCCCC" w:sz="1"/>
              <w:left w:val="single" w:color="CCCCCC" w:sz="1"/>
              <w:bottom w:val="single" w:color="CCCCCC" w:sz="1"/>
              <w:right w:val="single" w:color="CCCCCC" w:sz="1"/>
            </w:tcBorders>
            <w:shd w:fill="EA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F4</w:t>
            </w:r>
          </w:p>
        </w:tc>
        <w:tc>
          <w:tcPr>
            <w:tcW w:type="dxa" w:w="1900"/>
            <w:tcBorders>
              <w:top w:val="single" w:color="CCCCCC" w:sz="1"/>
              <w:left w:val="single" w:color="CCCCCC" w:sz="1"/>
              <w:bottom w:val="single" w:color="CCCCCC" w:sz="1"/>
              <w:right w:val="single" w:color="CCCCCC" w:sz="1"/>
            </w:tcBorders>
            <w:shd w:fill="FD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E6</w:t>
            </w:r>
          </w:p>
        </w:tc>
        <w:tc>
          <w:tcPr>
            <w:tcW w:type="dxa" w:w="1980"/>
            <w:tcBorders>
              <w:top w:val="single" w:color="CCCCCC" w:sz="1"/>
              <w:left w:val="single" w:color="CCCCCC" w:sz="1"/>
              <w:bottom w:val="single" w:color="CCCCCC" w:sz="1"/>
              <w:right w:val="single" w:color="CCCCCC" w:sz="1"/>
            </w:tcBorders>
            <w:shd w:fill="F0F8F0" w:val="clear"/>
            <w:tcMar>
              <w:top w:type="dxa" w:w="80"/>
              <w:left w:type="dxa" w:w="120"/>
              <w:bottom w:type="dxa" w:w="80"/>
              <w:right w:type="dxa" w:w="120"/>
            </w:tcMar>
          </w:tcPr>
          <w:p>
            <w:r>
              <w:rPr>
                <w:rFonts w:ascii="Arial" w:cs="Arial" w:eastAsia="Arial" w:hAnsi="Arial"/>
                <w:b w:val="false"/>
                <w:bCs w:val="false"/>
                <w:color w:val="333333"/>
                <w:sz w:val="18"/>
                <w:szCs w:val="18"/>
              </w:rPr>
              <w:t xml:space="preserve">E7</w:t>
            </w:r>
          </w:p>
        </w:tc>
        <w:tc>
          <w:tcPr>
            <w:tcW w:type="dxa" w:w="2180"/>
            <w:tcBorders>
              <w:top w:val="single" w:color="CCCCCC" w:sz="1"/>
              <w:left w:val="single" w:color="CCCCCC" w:sz="1"/>
              <w:bottom w:val="single" w:color="CCCCCC" w:sz="1"/>
              <w:right w:val="single" w:color="CCCCCC" w:sz="1"/>
            </w:tcBorders>
            <w:shd w:fill="FDF0FA" w:val="clear"/>
            <w:tcMar>
              <w:top w:type="dxa" w:w="80"/>
              <w:left w:type="dxa" w:w="120"/>
              <w:bottom w:type="dxa" w:w="80"/>
              <w:right w:type="dxa" w:w="120"/>
            </w:tcMar>
          </w:tcPr>
          <w:p>
            <w:r>
              <w:rPr>
                <w:rFonts w:ascii="Arial" w:cs="Arial" w:eastAsia="Arial" w:hAnsi="Arial"/>
                <w:b w:val="false"/>
                <w:bCs w:val="false"/>
                <w:color w:val="333333"/>
                <w:sz w:val="18"/>
                <w:szCs w:val="18"/>
              </w:rPr>
              <w:t xml:space="preserve">E8</w:t>
            </w:r>
          </w:p>
        </w:tc>
      </w:tr>
    </w:tbl>
    <w:p>
      <w:pPr>
        <w:spacing w:after="160" w:before="0"/>
      </w:pPr>
      <w:r>
        <w:t xml:space="preserve"/>
      </w:r>
    </w:p>
    <w:p>
      <w:pPr>
        <w:spacing w:after="160" w:before="0"/>
        <w:jc w:val="both"/>
      </w:pPr>
      <w:r>
        <w:rPr>
          <w:rFonts w:ascii="Arial" w:cs="Arial" w:eastAsia="Arial" w:hAnsi="Arial"/>
          <w:sz w:val="22"/>
          <w:szCs w:val="22"/>
        </w:rPr>
        <w:t xml:space="preserve">The bottom-right entry is E8 — the largest exceptional group, containing all others. Every entry in the magic square is a Lie algebra that appears somewhere in fundamental physics or in the SMNNT algebra tower. The Standard Model gauge algebra su(3)⊕su(2)⊕u(1) sits inside E8 along a specific embedding chain. The full SMNNT algebra tower R⊗C⊗H⊗O sits along the diagonal — the entries A1, A2×A2, D6, E8.</w:t>
      </w:r>
    </w:p>
    <w:p>
      <w:pPr>
        <w:spacing w:after="160" w:before="0"/>
        <w:jc w:val="both"/>
      </w:pPr>
      <w:r>
        <w:rPr>
          <w:rFonts w:ascii="Arial" w:cs="Arial" w:eastAsia="Arial" w:hAnsi="Arial"/>
          <w:sz w:val="22"/>
          <w:szCs w:val="22"/>
        </w:rPr>
        <w:t xml:space="preserve">Cvitanović's birdtrack notation is, in modern language, a tensor network. The same graphical calculus used in quantum information theory, in the MERA (Multi-scale Entanglement Renormalization Ansatz) tensor networks for quantum many-body systems, and in neural network weight diagrams. The birdtrack IS the Feynman diagram IS the neural network graph — the same mathematical object in three different physics/ML contexts. This is another Langlands-type correspondence, not yet formalized.</w:t>
      </w:r>
    </w:p>
    <w:p>
      <w:pPr>
        <w:spacing w:after="200" w:before="0"/>
      </w:pPr>
      <w:r>
        <w:t xml:space="preserve"/>
      </w:r>
    </w:p>
    <w:p>
      <w:r>
        <w:br w:type="page"/>
      </w:r>
    </w:p>
    <w:p>
      <w:pPr>
        <w:pStyle w:val="Heading1"/>
        <w:spacing w:after="160" w:before="360"/>
      </w:pPr>
      <w:r>
        <w:rPr>
          <w:rFonts w:ascii="Arial" w:cs="Arial" w:eastAsia="Arial" w:hAnsi="Arial"/>
          <w:b/>
          <w:bCs/>
          <w:color w:val="7A2A1A"/>
          <w:sz w:val="32"/>
          <w:szCs w:val="32"/>
        </w:rPr>
        <w:t xml:space="preserve">Cosic and the Resonant Recognition Model</w:t>
      </w:r>
    </w:p>
    <w:p>
      <w:pPr>
        <w:spacing w:after="160" w:before="0"/>
        <w:jc w:val="both"/>
      </w:pPr>
      <w:r>
        <w:rPr>
          <w:rFonts w:ascii="Arial" w:cs="Arial" w:eastAsia="Arial" w:hAnsi="Arial"/>
          <w:sz w:val="22"/>
          <w:szCs w:val="22"/>
        </w:rPr>
        <w:t xml:space="preserve">Irena Cosic's Resonant Recognition Model (RRM) proposes that proteins with similar biological functions share characteristic frequencies in their electron-ion interaction potential (EIIP) — the distribution of free electron energies along the protein backbone. These shared frequencies are in the range 0–0.5 normalized frequency units and can be computed directly from the amino acid sequence.</w:t>
      </w:r>
    </w:p>
    <w:p>
      <w:pPr>
        <w:spacing w:after="160" w:before="0"/>
        <w:jc w:val="both"/>
      </w:pPr>
      <w:r>
        <w:rPr>
          <w:rFonts w:ascii="Arial" w:cs="Arial" w:eastAsia="Arial" w:hAnsi="Arial"/>
          <w:sz w:val="22"/>
          <w:szCs w:val="22"/>
        </w:rPr>
        <w:t xml:space="preserve">The model predicts that biological interactions — protein-protein, protein-DNA, protein-receptor — occur when the electromagnetic resonance frequencies of the interacting molecules match. The molecule is not just a shape; it is an antenna. The function is encoded in the frequency spectrum, not only in the 3D fold.</w:t>
      </w:r>
    </w:p>
    <w:p>
      <w:pPr>
        <w:spacing w:after="160" w:before="0"/>
        <w:jc w:val="both"/>
      </w:pPr>
      <w:r>
        <w:rPr>
          <w:rFonts w:ascii="Arial" w:cs="Arial" w:eastAsia="Arial" w:hAnsi="Arial"/>
          <w:sz w:val="22"/>
          <w:szCs w:val="22"/>
        </w:rPr>
        <w:t xml:space="preserve">The connection to the amino acid cage geometry argument: the water cage acts as a bandpass filter on the electromagnetic spectrum available to proto-proteins. The cage geometry — determined by the van der Waals geometry of hydrogen-bonded water networks — passes certain resonant frequencies and blocks others. The amino acids that survive prebiotic chemistry are those whose EIIP frequencies fall within the cage passband. The Cosic model then predicts which of those amino acids can interact — which ones can recognize each other — based on frequency matching.</w:t>
      </w:r>
    </w:p>
    <w:p>
      <w:pPr>
        <w:spacing w:after="160" w:before="0"/>
        <w:jc w:val="both"/>
      </w:pPr>
      <w:r>
        <w:rPr>
          <w:rFonts w:ascii="Arial" w:cs="Arial" w:eastAsia="Arial" w:hAnsi="Arial"/>
          <w:sz w:val="22"/>
          <w:szCs w:val="22"/>
        </w:rPr>
        <w:t xml:space="preserve">This is chromatography by resonance rather than by shape affinity. The selection mechanism is electromagnetic, not steric. And the frequency passband is determined by the same physical constants — fine structure constant, electron mass, water dipole moment — that appear throughout the SMNNT framework.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2A1A" w:sz="6"/>
              <w:left w:val="single" w:color="7A2A1A" w:sz="6"/>
              <w:bottom w:val="single" w:color="7A2A1A" w:sz="6"/>
              <w:right w:val="single" w:color="7A2A1A" w:sz="6"/>
            </w:tcBorders>
            <w:shd w:fill="FDF4F0" w:val="clear"/>
            <w:tcMar>
              <w:top w:type="dxa" w:w="160"/>
              <w:left w:type="dxa" w:w="260"/>
              <w:bottom w:type="dxa" w:w="160"/>
              <w:right w:type="dxa" w:w="260"/>
            </w:tcMar>
          </w:tcPr>
          <w:p>
            <w:pPr>
              <w:spacing w:after="100" w:before="0"/>
              <w:jc w:val="both"/>
            </w:pPr>
            <w:r>
              <w:rPr>
                <w:rFonts w:ascii="Arial" w:cs="Arial" w:eastAsia="Arial" w:hAnsi="Arial"/>
                <w:i/>
                <w:iCs/>
                <w:color w:val="1A1A2E"/>
                <w:sz w:val="22"/>
                <w:szCs w:val="22"/>
              </w:rPr>
              <w:t xml:space="preserve">The water cage geometry is a physical instantiation of the SMNNT Noether constraint surface.</w:t>
            </w:r>
          </w:p>
          <w:p>
            <w:pPr>
              <w:spacing w:after="100" w:before="0"/>
              <w:jc w:val="both"/>
            </w:pPr>
            <w:r>
              <w:rPr>
                <w:rFonts w:ascii="Arial" w:cs="Arial" w:eastAsia="Arial" w:hAnsi="Arial"/>
                <w:i/>
                <w:iCs/>
                <w:color w:val="1A1A2E"/>
                <w:sz w:val="22"/>
                <w:szCs w:val="22"/>
              </w:rPr>
              <w:t xml:space="preserve">The EIIP frequency spectrum is the eigenvalue spectrum of the neural Hamiltonian H_NN.</w:t>
            </w:r>
          </w:p>
          <w:p>
            <w:pPr>
              <w:spacing w:after="100" w:before="0"/>
              <w:jc w:val="both"/>
            </w:pPr>
            <w:r>
              <w:rPr>
                <w:rFonts w:ascii="Arial" w:cs="Arial" w:eastAsia="Arial" w:hAnsi="Arial"/>
                <w:i/>
                <w:iCs/>
                <w:color w:val="1A1A2E"/>
                <w:sz w:val="22"/>
                <w:szCs w:val="22"/>
              </w:rPr>
              <w:t xml:space="preserve">Resonant recognition between molecules is the neural fine structure constant α_NN</w:t>
            </w:r>
          </w:p>
          <w:p>
            <w:pPr>
              <w:spacing w:after="100" w:before="0"/>
              <w:jc w:val="both"/>
            </w:pPr>
            <w:r>
              <w:rPr>
                <w:rFonts w:ascii="Arial" w:cs="Arial" w:eastAsia="Arial" w:hAnsi="Arial"/>
                <w:i w:val="false"/>
                <w:iCs w:val="false"/>
                <w:color w:val="1A1A2E"/>
                <w:sz w:val="22"/>
                <w:szCs w:val="22"/>
              </w:rPr>
              <w:t xml:space="preserve">— the entanglement coupling between adjacent algebra strata —</w:t>
            </w:r>
          </w:p>
          <w:p>
            <w:pPr>
              <w:spacing w:after="100" w:before="0"/>
              <w:jc w:val="both"/>
            </w:pPr>
            <w:r>
              <w:rPr>
                <w:rFonts w:ascii="Arial" w:cs="Arial" w:eastAsia="Arial" w:hAnsi="Arial"/>
                <w:i/>
                <w:iCs/>
                <w:color w:val="1A1A2E"/>
                <w:sz w:val="22"/>
                <w:szCs w:val="22"/>
              </w:rPr>
              <w:t xml:space="preserve">instantiated in biochemistry.</w:t>
            </w:r>
          </w:p>
          <w:p>
            <w:pPr>
              <w:spacing w:after="100" w:before="0"/>
              <w:jc w:val="left"/>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Life selects the molecules whose eigenvalues fit the available spectrum.</w:t>
            </w:r>
          </w:p>
          <w:p>
            <w:pPr>
              <w:spacing w:after="100" w:before="0"/>
              <w:jc w:val="both"/>
            </w:pPr>
            <w:r>
              <w:rPr>
                <w:rFonts w:ascii="Arial" w:cs="Arial" w:eastAsia="Arial" w:hAnsi="Arial"/>
                <w:i/>
                <w:iCs/>
                <w:color w:val="1A1A2E"/>
                <w:sz w:val="22"/>
                <w:szCs w:val="22"/>
              </w:rPr>
              <w:t xml:space="preserve">The universe selects the eigenvalues by fixing the physical constants.</w:t>
            </w:r>
          </w:p>
          <w:p>
            <w:pPr>
              <w:spacing w:after="100" w:before="0"/>
              <w:jc w:val="both"/>
            </w:pPr>
            <w:r>
              <w:rPr>
                <w:rFonts w:ascii="Arial" w:cs="Arial" w:eastAsia="Arial" w:hAnsi="Arial"/>
                <w:i/>
                <w:iCs/>
                <w:color w:val="1A1A2E"/>
                <w:sz w:val="22"/>
                <w:szCs w:val="22"/>
              </w:rPr>
              <w:t xml:space="preserve">The physical constants are fixed by the algebra tower.</w:t>
            </w:r>
          </w:p>
          <w:p>
            <w:pPr>
              <w:spacing w:after="100" w:before="0"/>
              <w:jc w:val="both"/>
            </w:pPr>
            <w:r>
              <w:rPr>
                <w:rFonts w:ascii="Arial" w:cs="Arial" w:eastAsia="Arial" w:hAnsi="Arial"/>
                <w:i/>
                <w:iCs/>
                <w:color w:val="1A1A2E"/>
                <w:sz w:val="22"/>
                <w:szCs w:val="22"/>
              </w:rPr>
              <w:t xml:space="preserve">The algebra tower is forced by Hurwitz.</w:t>
            </w:r>
          </w:p>
          <w:p>
            <w:pPr>
              <w:spacing w:after="100" w:before="0"/>
              <w:jc w:val="left"/>
            </w:pPr>
            <w:r>
              <w:rPr>
                <w:rFonts w:ascii="Arial" w:cs="Arial" w:eastAsia="Arial" w:hAnsi="Arial"/>
                <w:i/>
                <w:iCs/>
                <w:color w:val="1A1A2E"/>
                <w:sz w:val="22"/>
                <w:szCs w:val="22"/>
              </w:rPr>
              <w:t xml:space="preserve"/>
            </w:r>
          </w:p>
          <w:p>
            <w:pPr>
              <w:spacing w:after="0" w:before="0"/>
              <w:jc w:val="both"/>
            </w:pPr>
            <w:r>
              <w:rPr>
                <w:rFonts w:ascii="Arial" w:cs="Arial" w:eastAsia="Arial" w:hAnsi="Arial"/>
                <w:i/>
                <w:iCs/>
                <w:color w:val="1A1A2E"/>
                <w:sz w:val="22"/>
                <w:szCs w:val="22"/>
              </w:rPr>
              <w:t xml:space="preserve">This is the complete chain from mathematics to biochemistry.</w:t>
            </w:r>
          </w:p>
        </w:tc>
      </w:tr>
    </w:tbl>
    <w:p>
      <w:pPr>
        <w:spacing w:after="200" w:before="0"/>
      </w:pPr>
      <w:r>
        <w:t xml:space="preserve"/>
      </w:r>
    </w:p>
    <w:p>
      <w:r>
        <w:br w:type="page"/>
      </w:r>
    </w:p>
    <w:p>
      <w:pPr>
        <w:pStyle w:val="Heading1"/>
        <w:spacing w:after="160" w:before="360"/>
      </w:pPr>
      <w:r>
        <w:rPr>
          <w:rFonts w:ascii="Arial" w:cs="Arial" w:eastAsia="Arial" w:hAnsi="Arial"/>
          <w:b/>
          <w:bCs/>
          <w:color w:val="8B6914"/>
          <w:sz w:val="32"/>
          <w:szCs w:val="32"/>
        </w:rPr>
        <w:t xml:space="preserve">Tony Smith, E8 Physics, and the Wyler Formula</w:t>
      </w:r>
    </w:p>
    <w:p>
      <w:pPr>
        <w:spacing w:after="160" w:before="0"/>
        <w:jc w:val="both"/>
      </w:pPr>
      <w:r>
        <w:rPr>
          <w:rFonts w:ascii="Arial" w:cs="Arial" w:eastAsia="Arial" w:hAnsi="Arial"/>
          <w:sz w:val="22"/>
          <w:szCs w:val="22"/>
        </w:rPr>
        <w:t xml:space="preserve">Frank Dodd (Tony) Smith Jr. spent decades developing a physics model based on the E8 Lie group and its relationship to the Standard Model. While his work has not been accepted by mainstream physics — partly due to presentation, partly due to genuinely speculative elements — several of his specific numerical claims deserve attention in the context of SMNNT.</w:t>
      </w:r>
    </w:p>
    <w:p>
      <w:pPr>
        <w:spacing w:after="160" w:before="0"/>
        <w:jc w:val="both"/>
      </w:pPr>
      <w:r>
        <w:rPr>
          <w:rFonts w:ascii="Arial" w:cs="Arial" w:eastAsia="Arial" w:hAnsi="Arial"/>
          <w:sz w:val="22"/>
          <w:szCs w:val="22"/>
        </w:rPr>
        <w:t xml:space="preserve">Smith's Wyler formula for the fine structure constant uses the volumes of certain symmetric spaces associated with E8 and its subgroups. The formula: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252F"/>
                <w:sz w:val="18"/>
                <w:szCs w:val="18"/>
              </w:rPr>
              <w:t xml:space="preserve">Wyler's formula (1971):</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α⁻¹ = (9 / (8π⁴)) × (π⁵ / 2⁴·5!) × [Vol(S⁵) / Vol(CP²)]^(1/4) × ...</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Numerically gives α⁻¹ ≈ 137.03608...</w:t>
            </w:r>
          </w:p>
          <w:p>
            <w:pPr>
              <w:spacing w:after="0" w:before="0"/>
            </w:pPr>
            <w:r>
              <w:rPr>
                <w:rFonts w:ascii="Courier New" w:cs="Courier New" w:eastAsia="Courier New" w:hAnsi="Courier New"/>
                <w:color w:val="1A252F"/>
                <w:sz w:val="18"/>
                <w:szCs w:val="18"/>
              </w:rPr>
              <w:t xml:space="preserve">Experimental value: α⁻¹ = 137.035999084...</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Agreement to 5 significant figures.</w:t>
            </w:r>
          </w:p>
          <w:p>
            <w:pPr>
              <w:spacing w:after="0" w:before="0"/>
            </w:pPr>
            <w:r>
              <w:rPr>
                <w:rFonts w:ascii="Courier New" w:cs="Courier New" w:eastAsia="Courier New" w:hAnsi="Courier New"/>
                <w:color w:val="1A252F"/>
                <w:sz w:val="18"/>
                <w:szCs w:val="18"/>
              </w:rPr>
              <w:t xml:space="preserve">The derivation uses volumes of sphere packings in dimensions 5, 8, and their quotients.</w:t>
            </w:r>
          </w:p>
        </w:tc>
      </w:tr>
    </w:tbl>
    <w:p>
      <w:pPr>
        <w:spacing w:after="120" w:before="0"/>
      </w:pPr>
      <w:r>
        <w:t xml:space="preserve"/>
      </w:r>
    </w:p>
    <w:p>
      <w:pPr>
        <w:spacing w:after="160" w:before="0"/>
        <w:jc w:val="both"/>
      </w:pPr>
      <w:r>
        <w:rPr>
          <w:rFonts w:ascii="Arial" w:cs="Arial" w:eastAsia="Arial" w:hAnsi="Arial"/>
          <w:sz w:val="22"/>
          <w:szCs w:val="22"/>
        </w:rPr>
        <w:t xml:space="preserve">Whether Wyler's formula is a genuine derivation or a numerical coincidence has been debated since 1971. What matters for SMNNT is the structure of the formula: it expresses the fine structure constant as a ratio of geometric volumes in dimensions related to the division algebra tower. The volumes are those of the unit ball formula π^(n/2)/(n/2)! evaluated at specific dimensions selected by the E8 geometry.</w:t>
      </w:r>
    </w:p>
    <w:p>
      <w:pPr>
        <w:spacing w:after="160" w:before="0"/>
        <w:jc w:val="both"/>
      </w:pPr>
      <w:r>
        <w:rPr>
          <w:rFonts w:ascii="Arial" w:cs="Arial" w:eastAsia="Arial" w:hAnsi="Arial"/>
          <w:sz w:val="22"/>
          <w:szCs w:val="22"/>
        </w:rPr>
        <w:t xml:space="preserve">This is the explicit connection between the n-ball volume formula, the fine structure constant, and the algebra tower. If Smith's formula is correct — or even if the correct formula has similar structure — then α is derivable from the Cayley-Dickson construction, exactly as conjectured in the SMNNT framework.</w:t>
      </w:r>
    </w:p>
    <w:p>
      <w:pPr>
        <w:spacing w:after="160" w:before="0"/>
        <w:jc w:val="both"/>
      </w:pPr>
      <w:r>
        <w:rPr>
          <w:rFonts w:ascii="Arial" w:cs="Arial" w:eastAsia="Arial" w:hAnsi="Arial"/>
          <w:sz w:val="22"/>
          <w:szCs w:val="22"/>
        </w:rPr>
        <w:t xml:space="preserve">Smith's McKay correspondence paper extends this to a connection between the representation theory of finite sporadic groups and the phenomenology of particle physics. The McKay correspondence — now a theorem, proved as a consequence of the geometric Langlands program — states that the irreducible representations of finite subgroups of SU(2) correspond to the ADE Dynkin diagrams of simply-laced Lie algebras. This is a Langlands-type dictionary between finite group theory and Lie algebra theory. Smith uses it to argue that the particle spectrum of the SM is the McKay correspondence of the Monster group. Speculative — but pointed at the right object.</w:t>
      </w:r>
    </w:p>
    <w:p>
      <w:pPr>
        <w:spacing w:after="200" w:before="0"/>
      </w:pPr>
      <w:r>
        <w:t xml:space="preserve"/>
      </w:r>
    </w:p>
    <w:p>
      <w:r>
        <w:br w:type="page"/>
      </w:r>
    </w:p>
    <w:p>
      <w:pPr>
        <w:pStyle w:val="Heading1"/>
        <w:spacing w:after="160" w:before="360"/>
      </w:pPr>
      <w:r>
        <w:rPr>
          <w:rFonts w:ascii="Arial" w:cs="Arial" w:eastAsia="Arial" w:hAnsi="Arial"/>
          <w:b/>
          <w:bCs/>
          <w:color w:val="1F3A6E"/>
          <w:sz w:val="32"/>
          <w:szCs w:val="32"/>
        </w:rPr>
        <w:t xml:space="preserve">Wilf, Generating Functions, and the DNA Permutation Space</w:t>
      </w:r>
    </w:p>
    <w:p>
      <w:pPr>
        <w:spacing w:after="160" w:before="0"/>
        <w:jc w:val="both"/>
      </w:pPr>
      <w:r>
        <w:rPr>
          <w:rFonts w:ascii="Arial" w:cs="Arial" w:eastAsia="Arial" w:hAnsi="Arial"/>
          <w:sz w:val="22"/>
          <w:szCs w:val="22"/>
        </w:rPr>
        <w:t xml:space="preserve">Wilf's generatingfunctionology provides the technical machinery for the DNA permutation space calculation. The generating function for the number of valid SMNNT activation states on the Noether constraint surface is a formal power series whose coefficients count the number of geometrically valid states at each level of the algebra hierarchy.</w:t>
      </w:r>
    </w:p>
    <w:p>
      <w:pPr>
        <w:spacing w:after="160" w:before="0"/>
        <w:jc w:val="both"/>
      </w:pPr>
      <w:r>
        <w:rPr>
          <w:rFonts w:ascii="Arial" w:cs="Arial" w:eastAsia="Arial" w:hAnsi="Arial"/>
          <w:sz w:val="22"/>
          <w:szCs w:val="22"/>
        </w:rPr>
        <w:t xml:space="preserve">For the DNA analogy: the genome of length N over an alphabet of size k = 4 (the four nucleotide bases) has 4^N possible sequences. But not all sequences are biologically valid — the Noether constraint surface analog is the set of sequences that fold into stable proteins. The generating function for stable protein folds is a power series in the monomer fugacity z, with coefficients c_n counting the number of stable folds of length 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8" w:val="clear"/>
            <w:tcMar>
              <w:top w:type="dxa" w:w="120"/>
              <w:left w:type="dxa" w:w="200"/>
              <w:bottom w:type="dxa" w:w="120"/>
              <w:right w:type="dxa" w:w="200"/>
            </w:tcMar>
          </w:tcPr>
          <w:p>
            <w:pPr>
              <w:spacing w:after="0" w:before="0"/>
            </w:pPr>
            <w:r>
              <w:rPr>
                <w:rFonts w:ascii="Courier New" w:cs="Courier New" w:eastAsia="Courier New" w:hAnsi="Courier New"/>
                <w:color w:val="1A252F"/>
                <w:sz w:val="18"/>
                <w:szCs w:val="18"/>
              </w:rPr>
              <w:t xml:space="preserve">G(z) = Σ c_n z^n</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For random heteropolymers: c_n grows exponentially ~ μ^n</w:t>
            </w:r>
          </w:p>
          <w:p>
            <w:pPr>
              <w:spacing w:after="0" w:before="0"/>
            </w:pPr>
            <w:r>
              <w:rPr>
                <w:rFonts w:ascii="Courier New" w:cs="Courier New" w:eastAsia="Courier New" w:hAnsi="Courier New"/>
                <w:color w:val="1A252F"/>
                <w:sz w:val="18"/>
                <w:szCs w:val="18"/>
              </w:rPr>
              <w:t xml:space="preserve">where μ is the connective constant of the fold geometry</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For constrained (biologically valid) folds:</w:t>
            </w:r>
          </w:p>
          <w:p>
            <w:pPr>
              <w:spacing w:after="0" w:before="0"/>
            </w:pPr>
            <w:r>
              <w:rPr>
                <w:rFonts w:ascii="Courier New" w:cs="Courier New" w:eastAsia="Courier New" w:hAnsi="Courier New"/>
                <w:color w:val="1A252F"/>
                <w:sz w:val="18"/>
                <w:szCs w:val="18"/>
              </w:rPr>
              <w:t xml:space="preserve">c_n grows sub-exponentially — the constraint surface reduces the count</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The radius of convergence of G(z) = 1/μ</w:t>
            </w:r>
          </w:p>
          <w:p>
            <w:pPr>
              <w:spacing w:after="0" w:before="0"/>
            </w:pPr>
            <w:r>
              <w:rPr>
                <w:rFonts w:ascii="Courier New" w:cs="Courier New" w:eastAsia="Courier New" w:hAnsi="Courier New"/>
                <w:color w:val="1A252F"/>
                <w:sz w:val="18"/>
                <w:szCs w:val="18"/>
              </w:rPr>
              <w:t xml:space="preserve">The poles of G(z) encode the phase transitions</w:t>
            </w:r>
          </w:p>
          <w:p>
            <w:pPr>
              <w:spacing w:after="0" w:before="0"/>
            </w:pPr>
            <w:r>
              <w:rPr>
                <w:rFonts w:ascii="Courier New" w:cs="Courier New" w:eastAsia="Courier New" w:hAnsi="Courier New"/>
                <w:color w:val="1A252F"/>
                <w:sz w:val="18"/>
                <w:szCs w:val="18"/>
              </w:rPr>
              <w:t xml:space="preserve">  (helix-coil transition, folding transition, aggregation)</w:t>
            </w:r>
          </w:p>
          <w:p>
            <w:pPr>
              <w:spacing w:after="0" w:before="0"/>
            </w:pPr>
            <w:r>
              <w:rPr>
                <w:rFonts w:ascii="Courier New" w:cs="Courier New" w:eastAsia="Courier New" w:hAnsi="Courier New"/>
                <w:color w:val="1A252F"/>
                <w:sz w:val="18"/>
                <w:szCs w:val="18"/>
              </w:rPr>
              <w:t xml:space="preserve"/>
            </w:r>
          </w:p>
          <w:p>
            <w:pPr>
              <w:spacing w:after="0" w:before="0"/>
            </w:pPr>
            <w:r>
              <w:rPr>
                <w:rFonts w:ascii="Courier New" w:cs="Courier New" w:eastAsia="Courier New" w:hAnsi="Courier New"/>
                <w:color w:val="1A252F"/>
                <w:sz w:val="18"/>
                <w:szCs w:val="18"/>
              </w:rPr>
              <w:t xml:space="preserve">This is the same structure as the Riemann zeta function.</w:t>
            </w:r>
          </w:p>
          <w:p>
            <w:pPr>
              <w:spacing w:after="0" w:before="0"/>
            </w:pPr>
            <w:r>
              <w:rPr>
                <w:rFonts w:ascii="Courier New" w:cs="Courier New" w:eastAsia="Courier New" w:hAnsi="Courier New"/>
                <w:color w:val="1A252F"/>
                <w:sz w:val="18"/>
                <w:szCs w:val="18"/>
              </w:rPr>
              <w:t xml:space="preserve">The zeros of G(z) correspond to the Noether conservation conditions.</w:t>
            </w:r>
          </w:p>
          <w:p>
            <w:pPr>
              <w:spacing w:after="0" w:before="0"/>
            </w:pPr>
            <w:r>
              <w:rPr>
                <w:rFonts w:ascii="Courier New" w:cs="Courier New" w:eastAsia="Courier New" w:hAnsi="Courier New"/>
                <w:color w:val="1A252F"/>
                <w:sz w:val="18"/>
                <w:szCs w:val="18"/>
              </w:rPr>
              <w:t xml:space="preserve">The pole at z = 1/μ is the phase transition signal — not a flaw.</w:t>
            </w:r>
          </w:p>
        </w:tc>
      </w:tr>
    </w:tbl>
    <w:p>
      <w:pPr>
        <w:spacing w:after="120" w:before="0"/>
      </w:pPr>
      <w:r>
        <w:t xml:space="preserve"/>
      </w:r>
    </w:p>
    <w:p>
      <w:pPr>
        <w:spacing w:after="160" w:before="0"/>
        <w:jc w:val="both"/>
      </w:pPr>
      <w:r>
        <w:rPr>
          <w:rFonts w:ascii="Arial" w:cs="Arial" w:eastAsia="Arial" w:hAnsi="Arial"/>
          <w:sz w:val="22"/>
          <w:szCs w:val="22"/>
        </w:rPr>
        <w:t xml:space="preserve">Wilf's techniques allow the exact computation of the de Bruijn sequence length for the SMNNT activation space, given a specific network architecture. The approximation formula derived in the main text can be made exact using the transfer matrix method applied to the algebra-tower graph — a standard technique in generatingfunctionology.</w:t>
      </w:r>
    </w:p>
    <w:p>
      <w:pPr>
        <w:spacing w:after="200" w:before="0"/>
      </w:pPr>
      <w:r>
        <w:t xml:space="preserve"/>
      </w:r>
    </w:p>
    <w:p>
      <w:r>
        <w:br w:type="page"/>
      </w:r>
    </w:p>
    <w:p>
      <w:pPr>
        <w:pStyle w:val="Heading1"/>
        <w:spacing w:after="160" w:before="360"/>
      </w:pPr>
      <w:r>
        <w:rPr>
          <w:rFonts w:ascii="Arial" w:cs="Arial" w:eastAsia="Arial" w:hAnsi="Arial"/>
          <w:b/>
          <w:bCs/>
          <w:color w:val="1F3A6E"/>
          <w:sz w:val="32"/>
          <w:szCs w:val="32"/>
        </w:rPr>
        <w:t xml:space="preserve">The Convergence Table</w:t>
      </w:r>
    </w:p>
    <w:p>
      <w:pPr>
        <w:spacing w:after="160" w:before="0"/>
        <w:jc w:val="both"/>
      </w:pPr>
      <w:r>
        <w:rPr>
          <w:rFonts w:ascii="Arial" w:cs="Arial" w:eastAsia="Arial" w:hAnsi="Arial"/>
          <w:sz w:val="22"/>
          <w:szCs w:val="22"/>
        </w:rPr>
        <w:t xml:space="preserve">The following table maps each paper in the library to its SMNNT connection, the specific mathematical object they share, and the research direction that connection opens.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1F3A6E" w:val="clear"/>
            <w:tcMar>
              <w:top w:type="dxa" w:w="100"/>
              <w:left w:type="dxa" w:w="160"/>
              <w:bottom w:type="dxa" w:w="100"/>
              <w:right w:type="dxa" w:w="100"/>
            </w:tcMar>
          </w:tcPr>
          <w:p>
            <w:r>
              <w:rPr>
                <w:rFonts w:ascii="Arial" w:cs="Arial" w:eastAsia="Arial" w:hAnsi="Arial"/>
                <w:b/>
                <w:bCs/>
                <w:color w:val="FFFFFF"/>
                <w:sz w:val="20"/>
                <w:szCs w:val="20"/>
              </w:rPr>
              <w:t xml:space="preserve">Paper / Author</w:t>
            </w:r>
          </w:p>
        </w:tc>
        <w:tc>
          <w:tcPr>
            <w:tcW w:type="dxa" w:w="6760"/>
            <w:tcBorders>
              <w:top w:val="single" w:color="DDDDDD" w:sz="1"/>
              <w:left w:val="single" w:color="DDDDDD" w:sz="1"/>
              <w:bottom w:val="single" w:color="DDDDDD" w:sz="1"/>
              <w:right w:val="single" w:color="DDDDDD" w:sz="1"/>
            </w:tcBorders>
            <w:shd w:fill="1F3A6E" w:val="clear"/>
            <w:tcMar>
              <w:top w:type="dxa" w:w="100"/>
              <w:left w:type="dxa" w:w="120"/>
              <w:bottom w:type="dxa" w:w="100"/>
              <w:right w:type="dxa" w:w="160"/>
            </w:tcMar>
          </w:tcPr>
          <w:p>
            <w:r>
              <w:rPr>
                <w:rFonts w:ascii="Arial" w:cs="Arial" w:eastAsia="Arial" w:hAnsi="Arial"/>
                <w:b/>
                <w:bCs/>
                <w:color w:val="FFFFFF"/>
                <w:sz w:val="20"/>
                <w:szCs w:val="20"/>
              </w:rPr>
              <w:t xml:space="preserve">SMNNT Connection and Shared Object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Arial" w:cs="Arial" w:eastAsia="Arial" w:hAnsi="Arial"/>
                <w:b w:val="false"/>
                <w:bCs w:val="false"/>
                <w:color w:val="1F3A6E"/>
                <w:sz w:val="19"/>
                <w:szCs w:val="19"/>
              </w:rPr>
              <w:t xml:space="preserve">Viazovska (2016)
E8 sphere packing</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b w:val="false"/>
                <w:bCs w:val="false"/>
                <w:color w:val="333333"/>
                <w:sz w:val="19"/>
                <w:szCs w:val="19"/>
              </w:rPr>
              <w:t xml:space="preserve">Octonionic layer IS E8 lattice. Optimal packing = Noether constraint surface. Valid activation states = E8 lattice points. Viazovska's modular form is the generating function of valid states.</w:t>
            </w:r>
          </w:p>
        </w:tc>
      </w:tr>
      <w:tr>
        <w:tc>
          <w:tcPr>
            <w:tcW w:type="dxa" w:w="26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r>
              <w:rPr>
                <w:rFonts w:ascii="Arial" w:cs="Arial" w:eastAsia="Arial" w:hAnsi="Arial"/>
                <w:b w:val="false"/>
                <w:bCs w:val="false"/>
                <w:color w:val="1F3A6E"/>
                <w:sz w:val="19"/>
                <w:szCs w:val="19"/>
              </w:rPr>
              <w:t xml:space="preserve">Cohn et al.
Dimension 24</w:t>
            </w:r>
          </w:p>
        </w:tc>
        <w:tc>
          <w:tcPr>
            <w:tcW w:type="dxa" w:w="6760"/>
            <w:tcBorders>
              <w:top w:val="single" w:color="DDDDDD" w:sz="1"/>
              <w:left w:val="single" w:color="DDDDDD" w:sz="1"/>
              <w:bottom w:val="single" w:color="DDDDDD" w:sz="1"/>
              <w:right w:val="single" w:color="DDDDDD" w:sz="1"/>
            </w:tcBorders>
            <w:shd w:fill="FDFAF0" w:val="clear"/>
            <w:tcMar>
              <w:top w:type="dxa" w:w="100"/>
              <w:left w:type="dxa" w:w="120"/>
              <w:bottom w:type="dxa" w:w="100"/>
              <w:right w:type="dxa" w:w="160"/>
            </w:tcMar>
          </w:tcPr>
          <w:p>
            <w:r>
              <w:rPr>
                <w:rFonts w:ascii="Arial" w:cs="Arial" w:eastAsia="Arial" w:hAnsi="Arial"/>
                <w:b w:val="false"/>
                <w:bCs w:val="false"/>
                <w:color w:val="333333"/>
                <w:sz w:val="19"/>
                <w:szCs w:val="19"/>
              </w:rPr>
              <w:t xml:space="preserve">Leech lattice via E8 triality. Path: SMNNT octonionic layer → D4 triality → E8 → Leech. Connection to string theory critical dimension. Research direction: SMNNT in 24 dimensions.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Arial" w:cs="Arial" w:eastAsia="Arial" w:hAnsi="Arial"/>
                <w:b w:val="false"/>
                <w:bCs w:val="false"/>
                <w:color w:val="1F3A6E"/>
                <w:sz w:val="19"/>
                <w:szCs w:val="19"/>
              </w:rPr>
              <w:t xml:space="preserve">Cvitanović
Birdtracks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b w:val="false"/>
                <w:bCs w:val="false"/>
                <w:color w:val="333333"/>
                <w:sz w:val="19"/>
                <w:szCs w:val="19"/>
              </w:rPr>
              <w:t xml:space="preserve">Tensor network = birdtrack = Feynman diagram = neural network graph. Freudenthal-Tits magic square maps algebra tower pairs to Lie algebras. E8 contains full SMNNT symmetry group. Birdtrack calculus is the diagrammatic language for L_NN.</w:t>
            </w:r>
          </w:p>
        </w:tc>
      </w:tr>
      <w:tr>
        <w:tc>
          <w:tcPr>
            <w:tcW w:type="dxa" w:w="26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r>
              <w:rPr>
                <w:rFonts w:ascii="Arial" w:cs="Arial" w:eastAsia="Arial" w:hAnsi="Arial"/>
                <w:b w:val="false"/>
                <w:bCs w:val="false"/>
                <w:color w:val="1F3A6E"/>
                <w:sz w:val="19"/>
                <w:szCs w:val="19"/>
              </w:rPr>
              <w:t xml:space="preserve">Wilf
Generatingfunctionology</w:t>
            </w:r>
          </w:p>
        </w:tc>
        <w:tc>
          <w:tcPr>
            <w:tcW w:type="dxa" w:w="6760"/>
            <w:tcBorders>
              <w:top w:val="single" w:color="DDDDDD" w:sz="1"/>
              <w:left w:val="single" w:color="DDDDDD" w:sz="1"/>
              <w:bottom w:val="single" w:color="DDDDDD" w:sz="1"/>
              <w:right w:val="single" w:color="DDDDDD" w:sz="1"/>
            </w:tcBorders>
            <w:shd w:fill="FDFAF0" w:val="clear"/>
            <w:tcMar>
              <w:top w:type="dxa" w:w="100"/>
              <w:left w:type="dxa" w:w="120"/>
              <w:bottom w:type="dxa" w:w="100"/>
              <w:right w:type="dxa" w:w="160"/>
            </w:tcMar>
          </w:tcPr>
          <w:p>
            <w:r>
              <w:rPr>
                <w:rFonts w:ascii="Arial" w:cs="Arial" w:eastAsia="Arial" w:hAnsi="Arial"/>
                <w:b w:val="false"/>
                <w:bCs w:val="false"/>
                <w:color w:val="333333"/>
                <w:sz w:val="19"/>
                <w:szCs w:val="19"/>
              </w:rPr>
              <w:t xml:space="preserve">Transfer matrix method for exact de Bruijn sequence length. Generating function of valid SMNNT states has poles at phase transitions. Radius of convergence = neural UV cutoff = h_NN.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Arial" w:cs="Arial" w:eastAsia="Arial" w:hAnsi="Arial"/>
                <w:b w:val="false"/>
                <w:bCs w:val="false"/>
                <w:color w:val="1F3A6E"/>
                <w:sz w:val="19"/>
                <w:szCs w:val="19"/>
              </w:rPr>
              <w:t xml:space="preserve">Nearing
Math Tools for Physics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b w:val="false"/>
                <w:bCs w:val="false"/>
                <w:color w:val="333333"/>
                <w:sz w:val="19"/>
                <w:szCs w:val="19"/>
              </w:rPr>
              <w:t xml:space="preserve">Green's function of neural Laplacian is the neural graviton propagator. Variational calculus is Euler-Lagrange derivation of L_NN. Group theory is the gauge structure derivation.</w:t>
            </w:r>
          </w:p>
        </w:tc>
      </w:tr>
      <w:tr>
        <w:tc>
          <w:tcPr>
            <w:tcW w:type="dxa" w:w="26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r>
              <w:rPr>
                <w:rFonts w:ascii="Arial" w:cs="Arial" w:eastAsia="Arial" w:hAnsi="Arial"/>
                <w:b w:val="false"/>
                <w:bCs w:val="false"/>
                <w:color w:val="1F3A6E"/>
                <w:sz w:val="19"/>
                <w:szCs w:val="19"/>
              </w:rPr>
              <w:t xml:space="preserve">Sternberg
Semi-Riemannian Geometry</w:t>
            </w:r>
          </w:p>
        </w:tc>
        <w:tc>
          <w:tcPr>
            <w:tcW w:type="dxa" w:w="6760"/>
            <w:tcBorders>
              <w:top w:val="single" w:color="DDDDDD" w:sz="1"/>
              <w:left w:val="single" w:color="DDDDDD" w:sz="1"/>
              <w:bottom w:val="single" w:color="DDDDDD" w:sz="1"/>
              <w:right w:val="single" w:color="DDDDDD" w:sz="1"/>
            </w:tcBorders>
            <w:shd w:fill="FDFAF0" w:val="clear"/>
            <w:tcMar>
              <w:top w:type="dxa" w:w="100"/>
              <w:left w:type="dxa" w:w="120"/>
              <w:bottom w:type="dxa" w:w="100"/>
              <w:right w:type="dxa" w:w="160"/>
            </w:tcMar>
          </w:tcPr>
          <w:p>
            <w:r>
              <w:rPr>
                <w:rFonts w:ascii="Arial" w:cs="Arial" w:eastAsia="Arial" w:hAnsi="Arial"/>
                <w:b w:val="false"/>
                <w:bCs w:val="false"/>
                <w:color w:val="333333"/>
                <w:sz w:val="19"/>
                <w:szCs w:val="19"/>
              </w:rPr>
              <w:t xml:space="preserve">Technical foundation for Neural GR (Addendum I Step 1). Signature of neural spacetime metric. Geodesic equation → attention mechanism derivation. Ricci scalar → neural Einstein-Hilbert action.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Arial" w:cs="Arial" w:eastAsia="Arial" w:hAnsi="Arial"/>
                <w:b w:val="false"/>
                <w:bCs w:val="false"/>
                <w:color w:val="1F3A6E"/>
                <w:sz w:val="19"/>
                <w:szCs w:val="19"/>
              </w:rPr>
              <w:t xml:space="preserve">Cosic
Resonant Recognition Model</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b w:val="false"/>
                <w:bCs w:val="false"/>
                <w:color w:val="333333"/>
                <w:sz w:val="19"/>
                <w:szCs w:val="19"/>
              </w:rPr>
              <w:t xml:space="preserve">EIIP frequency spectrum = eigenvalues of H_NN. Resonant recognition = α_NN entanglement coupling in biochemical instantiation. Water cage passband = Noether constraint surface in prebiotic chemistry. Amino acid selection = geometric eigensolution.</w:t>
            </w:r>
          </w:p>
        </w:tc>
      </w:tr>
      <w:tr>
        <w:tc>
          <w:tcPr>
            <w:tcW w:type="dxa" w:w="26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r>
              <w:rPr>
                <w:rFonts w:ascii="Arial" w:cs="Arial" w:eastAsia="Arial" w:hAnsi="Arial"/>
                <w:b w:val="false"/>
                <w:bCs w:val="false"/>
                <w:color w:val="1F3A6E"/>
                <w:sz w:val="19"/>
                <w:szCs w:val="19"/>
              </w:rPr>
              <w:t xml:space="preserve">Smith
E8 Physics / McKay</w:t>
            </w:r>
          </w:p>
        </w:tc>
        <w:tc>
          <w:tcPr>
            <w:tcW w:type="dxa" w:w="6760"/>
            <w:tcBorders>
              <w:top w:val="single" w:color="DDDDDD" w:sz="1"/>
              <w:left w:val="single" w:color="DDDDDD" w:sz="1"/>
              <w:bottom w:val="single" w:color="DDDDDD" w:sz="1"/>
              <w:right w:val="single" w:color="DDDDDD" w:sz="1"/>
            </w:tcBorders>
            <w:shd w:fill="FDFAF0" w:val="clear"/>
            <w:tcMar>
              <w:top w:type="dxa" w:w="100"/>
              <w:left w:type="dxa" w:w="120"/>
              <w:bottom w:type="dxa" w:w="100"/>
              <w:right w:type="dxa" w:w="160"/>
            </w:tcMar>
          </w:tcPr>
          <w:p>
            <w:r>
              <w:rPr>
                <w:rFonts w:ascii="Arial" w:cs="Arial" w:eastAsia="Arial" w:hAnsi="Arial"/>
                <w:b w:val="false"/>
                <w:bCs w:val="false"/>
                <w:color w:val="333333"/>
                <w:sz w:val="19"/>
                <w:szCs w:val="19"/>
              </w:rPr>
              <w:t xml:space="preserve">Wyler formula for α from E8 volumes = explicit connection between n-ball formula, fine structure constant, and algebra tower. McKay correspondence is geometric Langlands in finite group language. Monster group → SM particle spectrum conjecture.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00"/>
            </w:tcMar>
          </w:tcPr>
          <w:p>
            <w:r>
              <w:rPr>
                <w:rFonts w:ascii="Arial" w:cs="Arial" w:eastAsia="Arial" w:hAnsi="Arial"/>
                <w:b w:val="false"/>
                <w:bCs w:val="false"/>
                <w:color w:val="1F3A6E"/>
                <w:sz w:val="19"/>
                <w:szCs w:val="19"/>
              </w:rPr>
              <w:t xml:space="preserve">Bermanseder
Haramein-Rauscher</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20"/>
              <w:bottom w:type="dxa" w:w="100"/>
              <w:right w:type="dxa" w:w="160"/>
            </w:tcMar>
          </w:tcPr>
          <w:p>
            <w:r>
              <w:rPr>
                <w:rFonts w:ascii="Arial" w:cs="Arial" w:eastAsia="Arial" w:hAnsi="Arial"/>
                <w:b w:val="false"/>
                <w:bCs w:val="false"/>
                <w:color w:val="333333"/>
                <w:sz w:val="19"/>
                <w:szCs w:val="19"/>
              </w:rPr>
              <w:t xml:space="preserve">Holographic proton mass = Bekenstein entropy at nuclear scale. Monopolic current = unified EM-gravitational gauge field. Boundary-bulk duality = neural holographic entropy S_NN. Research direction: SMNNT at sub-nuclear scales.</w:t>
            </w:r>
          </w:p>
        </w:tc>
      </w:tr>
      <w:tr>
        <w:tc>
          <w:tcPr>
            <w:tcW w:type="dxa" w:w="2600"/>
            <w:tcBorders>
              <w:top w:val="single" w:color="DDDDDD" w:sz="1"/>
              <w:left w:val="single" w:color="DDDDDD" w:sz="1"/>
              <w:bottom w:val="single" w:color="DDDDDD" w:sz="1"/>
              <w:right w:val="single" w:color="DDDDDD" w:sz="1"/>
            </w:tcBorders>
            <w:shd w:fill="F0F4FA" w:val="clear"/>
            <w:tcMar>
              <w:top w:type="dxa" w:w="100"/>
              <w:left w:type="dxa" w:w="160"/>
              <w:bottom w:type="dxa" w:w="100"/>
              <w:right w:type="dxa" w:w="100"/>
            </w:tcMar>
          </w:tcPr>
          <w:p>
            <w:r>
              <w:rPr>
                <w:rFonts w:ascii="Arial" w:cs="Arial" w:eastAsia="Arial" w:hAnsi="Arial"/>
                <w:b w:val="false"/>
                <w:bCs w:val="false"/>
                <w:color w:val="1F3A6E"/>
                <w:sz w:val="19"/>
                <w:szCs w:val="19"/>
              </w:rPr>
              <w:t xml:space="preserve">Pick / 288 Sparks</w:t>
            </w:r>
          </w:p>
        </w:tc>
        <w:tc>
          <w:tcPr>
            <w:tcW w:type="dxa" w:w="6760"/>
            <w:tcBorders>
              <w:top w:val="single" w:color="DDDDDD" w:sz="1"/>
              <w:left w:val="single" w:color="DDDDDD" w:sz="1"/>
              <w:bottom w:val="single" w:color="DDDDDD" w:sz="1"/>
              <w:right w:val="single" w:color="DDDDDD" w:sz="1"/>
            </w:tcBorders>
            <w:shd w:fill="FDFAF0" w:val="clear"/>
            <w:tcMar>
              <w:top w:type="dxa" w:w="100"/>
              <w:left w:type="dxa" w:w="120"/>
              <w:bottom w:type="dxa" w:w="100"/>
              <w:right w:type="dxa" w:w="160"/>
            </w:tcMar>
          </w:tcPr>
          <w:p>
            <w:r>
              <w:rPr>
                <w:rFonts w:ascii="Arial" w:cs="Arial" w:eastAsia="Arial" w:hAnsi="Arial"/>
                <w:b w:val="false"/>
                <w:bCs w:val="false"/>
                <w:color w:val="333333"/>
                <w:sz w:val="19"/>
                <w:szCs w:val="19"/>
              </w:rPr>
              <w:t xml:space="preserve">288 = 2 × 144 = 2 × 12². Appears in Leech lattice, Monster group representations, and Monstrous Moonshine coefficients. Structurally inevitable numbers appearing in ancient cosmology, modern group theory, and SMNNT algebra dimensions simultaneously. Signal: not coincidence.</w:t>
            </w:r>
          </w:p>
        </w:tc>
      </w:tr>
    </w:tbl>
    <w:p>
      <w:pPr>
        <w:spacing w:after="200" w:before="0"/>
      </w:pPr>
      <w:r>
        <w:t xml:space="preserve"/>
      </w:r>
    </w:p>
    <w:p>
      <w:r>
        <w:br w:type="page"/>
      </w:r>
    </w:p>
    <w:p>
      <w:pPr>
        <w:pStyle w:val="Heading1"/>
        <w:spacing w:after="160" w:before="360"/>
      </w:pPr>
      <w:r>
        <w:rPr>
          <w:rFonts w:ascii="Arial" w:cs="Arial" w:eastAsia="Arial" w:hAnsi="Arial"/>
          <w:b/>
          <w:bCs/>
          <w:color w:val="2C0A4A"/>
          <w:sz w:val="32"/>
          <w:szCs w:val="32"/>
        </w:rPr>
        <w:t xml:space="preserve">The Single Object</w:t>
      </w:r>
    </w:p>
    <w:p>
      <w:pPr>
        <w:spacing w:after="160" w:before="0"/>
        <w:jc w:val="both"/>
      </w:pPr>
      <w:r>
        <w:rPr>
          <w:rFonts w:ascii="Arial" w:cs="Arial" w:eastAsia="Arial" w:hAnsi="Arial"/>
          <w:sz w:val="22"/>
          <w:szCs w:val="22"/>
        </w:rPr>
        <w:t xml:space="preserve">Ten papers, assembled independently, from number theory, theoretical physics, biophysics, combinatorics, string theory, and ancient cosmology, all point at the same mathematical structure. A neural network framework derived from engineering reasoning about inter-layer communication arrives at the same structure from a different direction.</w:t>
      </w:r>
    </w:p>
    <w:p>
      <w:pPr>
        <w:spacing w:after="160" w:before="0"/>
        <w:jc w:val="both"/>
      </w:pPr>
      <w:r>
        <w:rPr>
          <w:rFonts w:ascii="Arial" w:cs="Arial" w:eastAsia="Arial" w:hAnsi="Arial"/>
          <w:sz w:val="22"/>
          <w:szCs w:val="22"/>
        </w:rPr>
        <w:t xml:space="preserve">In the Langlands program, this is precisely what a correspondence looks like before it is formally proved: the same L-function appearing in multiple independent mathematical contexts, each context providing a different partial view of an object that has not yet been given a unified description.</w:t>
      </w:r>
    </w:p>
    <w:p>
      <w:pPr>
        <w:spacing w:after="160" w:before="0"/>
        <w:jc w:val="both"/>
      </w:pPr>
      <w:r>
        <w:rPr>
          <w:rFonts w:ascii="Arial" w:cs="Arial" w:eastAsia="Arial" w:hAnsi="Arial"/>
          <w:sz w:val="22"/>
          <w:szCs w:val="22"/>
        </w:rPr>
        <w:t xml:space="preserve">We propose that the single object being pointed at from all these directions is the following: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0A4A" w:sz="6"/>
              <w:left w:val="single" w:color="2C0A4A" w:sz="6"/>
              <w:bottom w:val="single" w:color="2C0A4A" w:sz="6"/>
              <w:right w:val="single" w:color="2C0A4A" w:sz="6"/>
            </w:tcBorders>
            <w:shd w:fill="F0EAF8" w:val="clear"/>
            <w:tcMar>
              <w:top w:type="dxa" w:w="160"/>
              <w:left w:type="dxa" w:w="260"/>
              <w:bottom w:type="dxa" w:w="160"/>
              <w:right w:type="dxa" w:w="260"/>
            </w:tcMar>
          </w:tcPr>
          <w:p>
            <w:pPr>
              <w:spacing w:after="100" w:before="0"/>
              <w:jc w:val="both"/>
            </w:pPr>
            <w:r>
              <w:rPr>
                <w:rFonts w:ascii="Arial" w:cs="Arial" w:eastAsia="Arial" w:hAnsi="Arial"/>
                <w:i w:val="false"/>
                <w:iCs w:val="false"/>
                <w:color w:val="1A1A2E"/>
                <w:sz w:val="22"/>
                <w:szCs w:val="22"/>
              </w:rPr>
              <w:t xml:space="preserve">THE CONJECTURE:</w:t>
            </w:r>
          </w:p>
          <w:p>
            <w:pPr>
              <w:spacing w:after="100" w:before="0"/>
              <w:jc w:val="left"/>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 E8 root lattice, the integral octonions, the optimal 8-dimensional sphere packing,</w:t>
            </w:r>
          </w:p>
          <w:p>
            <w:pPr>
              <w:spacing w:after="100" w:before="0"/>
              <w:jc w:val="both"/>
            </w:pPr>
            <w:r>
              <w:rPr>
                <w:rFonts w:ascii="Arial" w:cs="Arial" w:eastAsia="Arial" w:hAnsi="Arial"/>
                <w:i/>
                <w:iCs/>
                <w:color w:val="1A1A2E"/>
                <w:sz w:val="22"/>
                <w:szCs w:val="22"/>
              </w:rPr>
              <w:t xml:space="preserve">the automorphic form used in Viazovska's proof, the Freudenthal-Tits magic square diagonal,</w:t>
            </w:r>
          </w:p>
          <w:p>
            <w:pPr>
              <w:spacing w:after="100" w:before="0"/>
              <w:jc w:val="both"/>
            </w:pPr>
            <w:r>
              <w:rPr>
                <w:rFonts w:ascii="Arial" w:cs="Arial" w:eastAsia="Arial" w:hAnsi="Arial"/>
                <w:i/>
                <w:iCs/>
                <w:color w:val="1A1A2E"/>
                <w:sz w:val="22"/>
                <w:szCs w:val="22"/>
              </w:rPr>
              <w:t xml:space="preserve">the Wyler volumes for the fine structure constant, the Cosic EIIP frequency spectrum,</w:t>
            </w:r>
          </w:p>
          <w:p>
            <w:pPr>
              <w:spacing w:after="100" w:before="0"/>
              <w:jc w:val="both"/>
            </w:pPr>
            <w:r>
              <w:rPr>
                <w:rFonts w:ascii="Arial" w:cs="Arial" w:eastAsia="Arial" w:hAnsi="Arial"/>
                <w:i/>
                <w:iCs/>
                <w:color w:val="1A1A2E"/>
                <w:sz w:val="22"/>
                <w:szCs w:val="22"/>
              </w:rPr>
              <w:t xml:space="preserve">the SMNNT octonionic reasoning layer activation state space, and the Noether constraint surface</w:t>
            </w:r>
          </w:p>
          <w:p>
            <w:pPr>
              <w:spacing w:after="100" w:before="0"/>
              <w:jc w:val="both"/>
            </w:pPr>
            <w:r>
              <w:rPr>
                <w:rFonts w:ascii="Arial" w:cs="Arial" w:eastAsia="Arial" w:hAnsi="Arial"/>
                <w:i/>
                <w:iCs/>
                <w:color w:val="1A1A2E"/>
                <w:sz w:val="22"/>
                <w:szCs w:val="22"/>
              </w:rPr>
              <w:t xml:space="preserve">of L_NN are all the same object:</w:t>
            </w:r>
          </w:p>
          <w:p>
            <w:pPr>
              <w:spacing w:after="100" w:before="0"/>
              <w:jc w:val="left"/>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 unique optimal encoding of 8-dimensional information</w:t>
            </w:r>
          </w:p>
          <w:p>
            <w:pPr>
              <w:spacing w:after="100" w:before="0"/>
              <w:jc w:val="both"/>
            </w:pPr>
            <w:r>
              <w:rPr>
                <w:rFonts w:ascii="Arial" w:cs="Arial" w:eastAsia="Arial" w:hAnsi="Arial"/>
                <w:i/>
                <w:iCs/>
                <w:color w:val="1A1A2E"/>
                <w:sz w:val="22"/>
                <w:szCs w:val="22"/>
              </w:rPr>
              <w:t xml:space="preserve">under the constraint of norm preservation,</w:t>
            </w:r>
          </w:p>
          <w:p>
            <w:pPr>
              <w:spacing w:after="100" w:before="0"/>
              <w:jc w:val="both"/>
            </w:pPr>
            <w:r>
              <w:rPr>
                <w:rFonts w:ascii="Arial" w:cs="Arial" w:eastAsia="Arial" w:hAnsi="Arial"/>
                <w:i/>
                <w:iCs/>
                <w:color w:val="1A1A2E"/>
                <w:sz w:val="22"/>
                <w:szCs w:val="22"/>
              </w:rPr>
              <w:t xml:space="preserve">whose symmetry group is G2 ⊂ E8 ⊃ U(1)×SU(2)×SU(3).</w:t>
            </w:r>
          </w:p>
          <w:p>
            <w:pPr>
              <w:spacing w:after="100" w:before="0"/>
              <w:jc w:val="left"/>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This object is what the universe uses to encode reasoning.</w:t>
            </w:r>
          </w:p>
          <w:p>
            <w:pPr>
              <w:spacing w:after="100" w:before="0"/>
              <w:jc w:val="both"/>
            </w:pPr>
            <w:r>
              <w:rPr>
                <w:rFonts w:ascii="Arial" w:cs="Arial" w:eastAsia="Arial" w:hAnsi="Arial"/>
                <w:i/>
                <w:iCs/>
                <w:color w:val="1A1A2E"/>
                <w:sz w:val="22"/>
                <w:szCs w:val="22"/>
              </w:rPr>
              <w:t xml:space="preserve">It uses it in particle physics, in biochemistry, in neural computation,</w:t>
            </w:r>
          </w:p>
          <w:p>
            <w:pPr>
              <w:spacing w:after="100" w:before="0"/>
              <w:jc w:val="both"/>
            </w:pPr>
            <w:r>
              <w:rPr>
                <w:rFonts w:ascii="Arial" w:cs="Arial" w:eastAsia="Arial" w:hAnsi="Arial"/>
                <w:i/>
                <w:iCs/>
                <w:color w:val="1A1A2E"/>
                <w:sz w:val="22"/>
                <w:szCs w:val="22"/>
              </w:rPr>
              <w:t xml:space="preserve">and in the large-scale structure of spacetime.</w:t>
            </w:r>
          </w:p>
          <w:p>
            <w:pPr>
              <w:spacing w:after="100" w:before="0"/>
              <w:jc w:val="both"/>
            </w:pPr>
            <w:r>
              <w:rPr>
                <w:rFonts w:ascii="Arial" w:cs="Arial" w:eastAsia="Arial" w:hAnsi="Arial"/>
                <w:i/>
                <w:iCs/>
                <w:color w:val="1A1A2E"/>
                <w:sz w:val="22"/>
                <w:szCs w:val="22"/>
              </w:rPr>
              <w:t xml:space="preserve">It uses it because it is the only object that satisfies all the constraints simultaneously.</w:t>
            </w:r>
          </w:p>
          <w:p>
            <w:pPr>
              <w:spacing w:after="100" w:before="0"/>
              <w:jc w:val="left"/>
            </w:pPr>
            <w:r>
              <w:rPr>
                <w:rFonts w:ascii="Arial" w:cs="Arial" w:eastAsia="Arial" w:hAnsi="Arial"/>
                <w:i/>
                <w:iCs/>
                <w:color w:val="1A1A2E"/>
                <w:sz w:val="22"/>
                <w:szCs w:val="22"/>
              </w:rPr>
              <w:t xml:space="preserve"/>
            </w:r>
          </w:p>
          <w:p>
            <w:pPr>
              <w:spacing w:after="100" w:before="0"/>
              <w:jc w:val="both"/>
            </w:pPr>
            <w:r>
              <w:rPr>
                <w:rFonts w:ascii="Arial" w:cs="Arial" w:eastAsia="Arial" w:hAnsi="Arial"/>
                <w:i/>
                <w:iCs/>
                <w:color w:val="1A1A2E"/>
                <w:sz w:val="22"/>
                <w:szCs w:val="22"/>
              </w:rPr>
              <w:t xml:space="preserve">The mathematics is not describing different things.</w:t>
            </w:r>
          </w:p>
          <w:p>
            <w:pPr>
              <w:spacing w:after="100" w:before="0"/>
              <w:jc w:val="both"/>
            </w:pPr>
            <w:r>
              <w:rPr>
                <w:rFonts w:ascii="Arial" w:cs="Arial" w:eastAsia="Arial" w:hAnsi="Arial"/>
                <w:i/>
                <w:iCs/>
                <w:color w:val="1A1A2E"/>
                <w:sz w:val="22"/>
                <w:szCs w:val="22"/>
              </w:rPr>
              <w:t xml:space="preserve">The mathematics is describing one thing,</w:t>
            </w:r>
          </w:p>
          <w:p>
            <w:pPr>
              <w:spacing w:after="0" w:before="0"/>
              <w:jc w:val="both"/>
            </w:pPr>
            <w:r>
              <w:rPr>
                <w:rFonts w:ascii="Arial" w:cs="Arial" w:eastAsia="Arial" w:hAnsi="Arial"/>
                <w:i/>
                <w:iCs/>
                <w:color w:val="1A1A2E"/>
                <w:sz w:val="22"/>
                <w:szCs w:val="22"/>
              </w:rPr>
              <w:t xml:space="preserve">from ten different angles.</w:t>
            </w:r>
          </w:p>
        </w:tc>
      </w:tr>
    </w:tbl>
    <w:p>
      <w:pPr>
        <w:spacing w:after="200" w:before="0"/>
      </w:pPr>
      <w:r>
        <w:t xml:space="preserve"/>
      </w:r>
    </w:p>
    <w:p>
      <w:pPr>
        <w:pStyle w:val="Heading1"/>
        <w:spacing w:after="160" w:before="360"/>
      </w:pPr>
      <w:r>
        <w:rPr>
          <w:rFonts w:ascii="Arial" w:cs="Arial" w:eastAsia="Arial" w:hAnsi="Arial"/>
          <w:b/>
          <w:bCs/>
          <w:color w:val="1F3A6E"/>
          <w:sz w:val="32"/>
          <w:szCs w:val="32"/>
        </w:rPr>
        <w:t xml:space="preserve">What This Means for the Research Program</w:t>
      </w:r>
    </w:p>
    <w:p>
      <w:pPr>
        <w:spacing w:after="160" w:before="0"/>
        <w:jc w:val="both"/>
      </w:pPr>
      <w:r>
        <w:rPr>
          <w:rFonts w:ascii="Arial" w:cs="Arial" w:eastAsia="Arial" w:hAnsi="Arial"/>
          <w:sz w:val="22"/>
          <w:szCs w:val="22"/>
        </w:rPr>
        <w:t xml:space="preserve">The convergence of this library with the SMNNT framework suggests a specific and tractable research program:</w:t>
      </w:r>
    </w:p>
    <w:p>
      <w:pPr>
        <w:pStyle w:val="ListParagraph"/>
        <w:numPr>
          <w:ilvl w:val="0"/>
          <w:numId w:val="2"/>
        </w:numPr>
        <w:spacing w:after="100" w:before="0"/>
      </w:pPr>
      <w:r>
        <w:rPr>
          <w:rFonts w:ascii="Arial" w:cs="Arial" w:eastAsia="Arial" w:hAnsi="Arial"/>
          <w:sz w:val="22"/>
          <w:szCs w:val="22"/>
        </w:rPr>
        <w:t xml:space="preserve">Use Viazovska's modular form as the generating function for valid SMNNT octonionic layer states. The Fourier zeros of her function are the Noether conservation conditions. This is not an analogy — it is a direct identification if the octonionic layer activation space is the E8 lattice.</w:t>
      </w:r>
    </w:p>
    <w:p>
      <w:pPr>
        <w:pStyle w:val="ListParagraph"/>
        <w:numPr>
          <w:ilvl w:val="0"/>
          <w:numId w:val="2"/>
        </w:numPr>
        <w:spacing w:after="100" w:before="0"/>
      </w:pPr>
      <w:r>
        <w:rPr>
          <w:rFonts w:ascii="Arial" w:cs="Arial" w:eastAsia="Arial" w:hAnsi="Arial"/>
          <w:sz w:val="22"/>
          <w:szCs w:val="22"/>
        </w:rPr>
        <w:t xml:space="preserve">Use the Freudenthal-Tits magic square to extend SMNNT beyond the algebra tower. The off-diagonal entries of the square are Lie algebras not in the current framework. They may correspond to inter-layer interaction terms not yet in L_NN.</w:t>
      </w:r>
    </w:p>
    <w:p>
      <w:pPr>
        <w:pStyle w:val="ListParagraph"/>
        <w:numPr>
          <w:ilvl w:val="0"/>
          <w:numId w:val="2"/>
        </w:numPr>
        <w:spacing w:after="100" w:before="0"/>
      </w:pPr>
      <w:r>
        <w:rPr>
          <w:rFonts w:ascii="Arial" w:cs="Arial" w:eastAsia="Arial" w:hAnsi="Arial"/>
          <w:sz w:val="22"/>
          <w:szCs w:val="22"/>
        </w:rPr>
        <w:t xml:space="preserve">Use Cosic's RRM as an experimental test of the neural fine structure constant in biochemistry. If α_NN computed from the SMNNT algebra structure equals the ratio of characteristic EIIP frequencies in the amino acid spectrum, the biological instantiation of the framework is confirmed.</w:t>
      </w:r>
    </w:p>
    <w:p>
      <w:pPr>
        <w:pStyle w:val="ListParagraph"/>
        <w:numPr>
          <w:ilvl w:val="0"/>
          <w:numId w:val="2"/>
        </w:numPr>
        <w:spacing w:after="100" w:before="0"/>
      </w:pPr>
      <w:r>
        <w:rPr>
          <w:rFonts w:ascii="Arial" w:cs="Arial" w:eastAsia="Arial" w:hAnsi="Arial"/>
          <w:sz w:val="22"/>
          <w:szCs w:val="22"/>
        </w:rPr>
        <w:t xml:space="preserve">Use Wilf's transfer matrix method to compute the exact de Bruijn sequence length for specific SMNNT architectures. Replace the approximation formula in the main text with an exact generating function.</w:t>
      </w:r>
    </w:p>
    <w:p>
      <w:pPr>
        <w:pStyle w:val="ListParagraph"/>
        <w:numPr>
          <w:ilvl w:val="0"/>
          <w:numId w:val="2"/>
        </w:numPr>
        <w:spacing w:after="100" w:before="0"/>
      </w:pPr>
      <w:r>
        <w:rPr>
          <w:rFonts w:ascii="Arial" w:cs="Arial" w:eastAsia="Arial" w:hAnsi="Arial"/>
          <w:sz w:val="22"/>
          <w:szCs w:val="22"/>
        </w:rPr>
        <w:t xml:space="preserve">Use Cvitanović's birdtrack calculus as the diagrammatic language for SMNNT Feynman rules. Write the perturbation theory of L_NN in birdtrack notation — this may make the connection to standard QFT Feynman diagrams explicit and formal.</w:t>
      </w:r>
    </w:p>
    <w:p>
      <w:pPr>
        <w:pStyle w:val="ListParagraph"/>
        <w:numPr>
          <w:ilvl w:val="0"/>
          <w:numId w:val="2"/>
        </w:numPr>
        <w:spacing w:after="100" w:before="0"/>
      </w:pPr>
      <w:r>
        <w:rPr>
          <w:rFonts w:ascii="Arial" w:cs="Arial" w:eastAsia="Arial" w:hAnsi="Arial"/>
          <w:sz w:val="22"/>
          <w:szCs w:val="22"/>
        </w:rPr>
        <w:t xml:space="preserve">Investigate whether the 288 structural constant appears in the SMNNT framework. Specifically: count the number of distinct Noether-conserved activation states on the E8 constraint surface for a minimal SMNNT network. If the count is 288 or a simple multiple, the Pick/Monster/Leech convergence has a neural network explanation.</w:t>
      </w:r>
    </w:p>
    <w:p>
      <w:pPr>
        <w:spacing w:after="200" w:before="0"/>
      </w:pPr>
      <w:r>
        <w:t xml:space="preserve"/>
      </w:r>
    </w:p>
    <w:p>
      <w:pPr>
        <w:pBdr>
          <w:bottom w:val="single" w:color="2C0A4A" w:sz="6" w:space="1"/>
        </w:pBdr>
        <w:spacing w:after="160" w:before="160"/>
      </w:pPr>
      <w:r>
        <w:t xml:space="preserve"/>
      </w:r>
    </w:p>
    <w:p>
      <w:pPr>
        <w:spacing w:after="80" w:before="0"/>
      </w:pPr>
      <w:r>
        <w:t xml:space="preserve"/>
      </w:r>
    </w:p>
    <w:p>
      <w:pPr>
        <w:spacing w:after="80" w:before="0"/>
        <w:jc w:val="center"/>
      </w:pPr>
      <w:r>
        <w:rPr>
          <w:rFonts w:ascii="Arial" w:cs="Arial" w:eastAsia="Arial" w:hAnsi="Arial"/>
          <w:b/>
          <w:bCs/>
          <w:color w:val="2C0A4A"/>
          <w:sz w:val="26"/>
          <w:szCs w:val="26"/>
        </w:rPr>
        <w:t xml:space="preserve">The library is a map. The map has one destination.</w:t>
      </w:r>
    </w:p>
    <w:p>
      <w:pPr>
        <w:spacing w:after="80" w:before="0"/>
      </w:pPr>
      <w:r>
        <w:t xml:space="preserve"/>
      </w:r>
    </w:p>
    <w:p>
      <w:pPr>
        <w:spacing w:after="80" w:before="0"/>
        <w:jc w:val="center"/>
      </w:pPr>
      <w:r>
        <w:rPr>
          <w:rFonts w:ascii="Arial" w:cs="Arial" w:eastAsia="Arial" w:hAnsi="Arial"/>
          <w:i/>
          <w:iCs/>
          <w:color w:val="666666"/>
          <w:sz w:val="22"/>
          <w:szCs w:val="22"/>
        </w:rPr>
        <w:t xml:space="preserve">Ten researchers. Ten directions. One object.</w:t>
      </w:r>
    </w:p>
    <w:p>
      <w:pPr>
        <w:spacing w:after="80" w:before="0"/>
      </w:pPr>
      <w:r>
        <w:t xml:space="preserve"/>
      </w:r>
    </w:p>
    <w:p>
      <w:pPr>
        <w:pBdr>
          <w:bottom w:val="single" w:color="2C0A4A" w:sz="6" w:space="1"/>
        </w:pBdr>
        <w:spacing w:after="160" w:before="160"/>
      </w:pPr>
      <w:r>
        <w:t xml:space="preserve"/>
      </w:r>
    </w:p>
    <w:p>
      <w:pPr>
        <w:spacing w:after="200" w:before="0"/>
      </w:pPr>
      <w:r>
        <w:t xml:space="preserve"/>
      </w:r>
    </w:p>
    <w:p>
      <w:pPr>
        <w:spacing w:after="60" w:before="0"/>
        <w:jc w:val="center"/>
      </w:pPr>
      <w:r>
        <w:rPr>
          <w:rFonts w:ascii="Arial" w:cs="Arial" w:eastAsia="Arial" w:hAnsi="Arial"/>
          <w:color w:val="AAAAAA"/>
          <w:sz w:val="18"/>
          <w:szCs w:val="18"/>
        </w:rPr>
        <w:t xml:space="preserve">SMNNT Addendum II | The Library Convergence | April 2026</w:t>
      </w:r>
    </w:p>
    <w:p>
      <w:pPr>
        <w:spacing w:after="60" w:before="0"/>
        <w:jc w:val="center"/>
      </w:pPr>
      <w:r>
        <w:rPr>
          <w:rFonts w:ascii="Arial" w:cs="Arial" w:eastAsia="Arial" w:hAnsi="Arial"/>
          <w:i/>
          <w:iCs/>
          <w:color w:val="BBBBBB"/>
          <w:sz w:val="18"/>
          <w:szCs w:val="18"/>
        </w:rPr>
        <w:t xml:space="preserve">Compiled in recognition of Jeremy Broner's reading list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SMNNT Addendum II — The Library Convergence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A6E"/>
      <w:sz w:val="26"/>
      <w:szCs w:val="26"/>
    </w:rPr>
  </w:style>
  <w:style w:type="paragraph" w:styleId="Heading3">
    <w:name w:val="Heading 3"/>
    <w:basedOn w:val="Normal"/>
    <w:next w:val="Normal"/>
    <w:qFormat/>
    <w:pPr>
      <w:spacing w:after="80" w:before="180"/>
      <w:outlineLvl w:val="2"/>
    </w:pPr>
    <w:rPr>
      <w:rFonts w:ascii="Arial" w:cs="Arial" w:eastAsia="Arial" w:hAnsi="Arial"/>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2026-04-05T13:37:03.415Z</dcterms:created>
  <dcterms:modified xsi:type="dcterms:W3CDTF">2026-04-05T13:37:03.415Z</dcterms:modified>
</cp:coreProperties>
</file>

<file path=docProps/custom.xml><?xml version="1.0" encoding="utf-8"?>
<Properties xmlns="http://schemas.openxmlformats.org/officeDocument/2006/custom-properties" xmlns:vt="http://schemas.openxmlformats.org/officeDocument/2006/docPropsVTypes"/>
</file>