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spacing w:after="200" w:before="0" w:line="312" w:lineRule="auto"/>
        <w:ind w:left="0" w:right="-6.259842519683616" w:firstLine="0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heading=h.rdgrp2q5tem8" w:id="0"/>
      <w:bookmarkEnd w:id="0"/>
      <w:r w:rsidDel="00000000" w:rsidR="00000000" w:rsidRPr="00000000">
        <w:rPr>
          <w:rFonts w:ascii="Rubik" w:cs="Rubik" w:eastAsia="Rubik" w:hAnsi="Rubik"/>
          <w:color w:val="666666"/>
          <w:sz w:val="36"/>
          <w:szCs w:val="36"/>
          <w:rtl w:val="0"/>
        </w:rPr>
        <w:t xml:space="preserve">Back End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312" w:lineRule="auto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30j0zll" w:id="1"/>
      <w:bookmarkEnd w:id="1"/>
      <w:r w:rsidDel="00000000" w:rsidR="00000000" w:rsidRPr="00000000">
        <w:rPr>
          <w:rFonts w:ascii="Rubik" w:cs="Rubik" w:eastAsia="Rubik" w:hAnsi="Rubik"/>
          <w:b w:val="1"/>
          <w:color w:val="000000"/>
          <w:sz w:val="50"/>
          <w:szCs w:val="50"/>
          <w:rtl w:val="0"/>
        </w:rPr>
        <w:t xml:space="preserve">Patrón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312" w:lineRule="auto"/>
        <w:rPr>
          <w:rFonts w:ascii="Rajdhani" w:cs="Rajdhani" w:eastAsia="Rajdhani" w:hAnsi="Rajdhani"/>
          <w:b w:val="1"/>
          <w:color w:val="434343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before="0" w:line="312" w:lineRule="auto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Realizar el diagrama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UML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programar en Java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implementando patrón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, según el siguiente enunciado. A tener en cuenta: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Ejercicio individual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before="0" w:line="276" w:lineRule="auto"/>
        <w:ind w:left="720" w:hanging="360"/>
        <w:rPr>
          <w:rFonts w:ascii="Rubik Light" w:cs="Rubik Light" w:eastAsia="Rubik Light" w:hAnsi="Rubik Light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Nivel de complejidad: intermedio 🔥🔥</w:t>
      </w:r>
    </w:p>
    <w:p w:rsidR="00000000" w:rsidDel="00000000" w:rsidP="00000000" w:rsidRDefault="00000000" w:rsidRPr="00000000" w14:paraId="00000007">
      <w:pPr>
        <w:spacing w:after="120" w:before="360" w:line="312" w:lineRule="auto"/>
        <w:ind w:left="0" w:firstLine="0"/>
        <w:jc w:val="both"/>
        <w:rPr>
          <w:rFonts w:ascii="Rajdhani" w:cs="Rajdhani" w:eastAsia="Rajdhani" w:hAnsi="Rajdhani"/>
          <w:b w:val="1"/>
          <w:sz w:val="34"/>
          <w:szCs w:val="34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40"/>
          <w:szCs w:val="40"/>
          <w:rtl w:val="0"/>
        </w:rPr>
        <w:t xml:space="preserve">Enunciado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El servicio de Spotify pago permite descargar canciones para escuchar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Rubik Light" w:cs="Rubik Light" w:eastAsia="Rubik Light" w:hAnsi="Rubik Light"/>
          <w:i w:val="1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Cuando un usuario solicita descargar una canción, el servicio de Spotify comprueba si es un usuario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premium,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para darle acceso a esta funcionalidad. Los usuarios tienen un identificador y un Enum con el tipo de usuario (“Free”, “Premium”).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Implementar una clase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servicioDescarga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que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permita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 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una canción y mediante el patrón proxy comprobar si es posible hacerlo. 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color w:val="000000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Crear los casos de prueba necesarios para garantizar la calidad del método </w:t>
      </w:r>
      <w:r w:rsidDel="00000000" w:rsidR="00000000" w:rsidRPr="00000000">
        <w:rPr>
          <w:rFonts w:ascii="Rubik Medium" w:cs="Rubik Medium" w:eastAsia="Rubik Medium" w:hAnsi="Rubik Medium"/>
          <w:color w:val="000000"/>
          <w:sz w:val="24"/>
          <w:szCs w:val="24"/>
          <w:rtl w:val="0"/>
        </w:rPr>
        <w:t xml:space="preserve">descargar()</w:t>
      </w: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pacing w:after="200" w:before="0" w:line="331.20000000000005" w:lineRule="auto"/>
        <w:ind w:left="0" w:firstLine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rFonts w:ascii="Rubik Light" w:cs="Rubik Light" w:eastAsia="Rubik Light" w:hAnsi="Rubik Light"/>
          <w:color w:val="000000"/>
          <w:sz w:val="24"/>
          <w:szCs w:val="24"/>
          <w:rtl w:val="0"/>
        </w:rPr>
        <w:t xml:space="preserve">¡Muchos éxitos!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8" w:w="11906" w:orient="portrait"/>
      <w:pgMar w:bottom="1440.0000000000002" w:top="1440.0000000000002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</w:t>
    </w:r>
    <w:r w:rsidDel="00000000" w:rsidR="00000000" w:rsidRPr="00000000">
      <w:rPr>
        <w:sz w:val="34"/>
        <w:szCs w:val="34"/>
        <w:rtl w:val="0"/>
      </w:rPr>
      <w:t xml:space="preserve">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spacing w:after="200" w:before="0" w:line="312" w:lineRule="auto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-6349</wp:posOffset>
          </wp:positionV>
          <wp:extent cx="7753350" cy="1182688"/>
          <wp:effectExtent b="0" l="0" r="0" t="0"/>
          <wp:wrapSquare wrapText="bothSides" distB="0" distT="0" distL="0" distR="0"/>
          <wp:docPr id="4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53350" cy="118268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5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11" Type="http://schemas.openxmlformats.org/officeDocument/2006/relationships/font" Target="fonts/RubikLight-italic.ttf"/><Relationship Id="rId22" Type="http://schemas.openxmlformats.org/officeDocument/2006/relationships/font" Target="fonts/Rajdhani-bold.ttf"/><Relationship Id="rId10" Type="http://schemas.openxmlformats.org/officeDocument/2006/relationships/font" Target="fonts/RubikLight-bold.ttf"/><Relationship Id="rId21" Type="http://schemas.openxmlformats.org/officeDocument/2006/relationships/font" Target="fonts/Rajdhani-regular.ttf"/><Relationship Id="rId13" Type="http://schemas.openxmlformats.org/officeDocument/2006/relationships/font" Target="fonts/Rubik-regular.ttf"/><Relationship Id="rId12" Type="http://schemas.openxmlformats.org/officeDocument/2006/relationships/font" Target="fonts/RubikLight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5" Type="http://schemas.openxmlformats.org/officeDocument/2006/relationships/font" Target="fonts/Roboto-regular.ttf"/><Relationship Id="rId19" Type="http://schemas.openxmlformats.org/officeDocument/2006/relationships/font" Target="fonts/RubikSemiBold-italic.ttf"/><Relationship Id="rId6" Type="http://schemas.openxmlformats.org/officeDocument/2006/relationships/font" Target="fonts/Roboto-bold.ttf"/><Relationship Id="rId18" Type="http://schemas.openxmlformats.org/officeDocument/2006/relationships/font" Target="fonts/RubikSemiBold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Eq64kTCNEcqGPl7JrgdWb/1e+A==">AMUW2mVgUPyLejy0rThb13mh4R7M+aHNE1GnUftfD/4Y2h+fRuNjXRd4f/0wrmASjdSVZVejY94Hbr+XQMTECJv8bebdnQU9kKsF/0Eub/10iJnEvh1QSiWBA/D/BAR7QMUMq09NVNF80HJmc8oMFUWGMQKz6JaDW09XtzEyp6w9ubARzUNryWY=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