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pPr>
      <w:r>
        <w:rPr>
          <w:rFonts w:ascii="Arial" w:cs="Arial" w:eastAsia="Arial" w:hAnsi="Arial"/>
          <w:b/>
          <w:bCs/>
          <w:color w:val="C4733A"/>
          <w:sz w:val="56"/>
          <w:szCs w:val="56"/>
        </w:rPr>
        <w:t xml:space="preserve">Temper</w:t>
      </w:r>
    </w:p>
    <w:p>
      <w:pPr>
        <w:spacing w:before="0" w:after="60"/>
      </w:pPr>
      <w:r>
        <w:rPr>
          <w:rFonts w:ascii="Arial" w:cs="Arial" w:eastAsia="Arial" w:hAnsi="Arial"/>
          <w:color w:val="1E1E1E"/>
          <w:sz w:val="32"/>
          <w:szCs w:val="32"/>
        </w:rPr>
        <w:t xml:space="preserve">18-Month Roadmap to Viability</w:t>
      </w:r>
    </w:p>
    <w:p>
      <w:pPr>
        <w:spacing w:before="0" w:after="80"/>
      </w:pPr>
      <w:r>
        <w:rPr>
          <w:rFonts w:ascii="Arial" w:cs="Arial" w:eastAsia="Arial" w:hAnsi="Arial"/>
          <w:i/>
          <w:iCs/>
          <w:color w:val="6B5E5A"/>
          <w:sz w:val="22"/>
          <w:szCs w:val="22"/>
        </w:rPr>
        <w:t xml:space="preserve">Raw ideas. Refined priorities.</w:t>
      </w:r>
    </w:p>
    <w:p>
      <w:pPr>
        <w:spacing w:before="0" w:after="240"/>
      </w:pPr>
      <w:r>
        <w:rPr>
          <w:rFonts w:ascii="Arial" w:cs="Arial" w:eastAsia="Arial" w:hAnsi="Arial"/>
          <w:color w:val="6B5E5A"/>
          <w:sz w:val="18"/>
          <w:szCs w:val="18"/>
        </w:rPr>
        <w:t xml:space="preserve">v2  —  revised March 2026</w:t>
      </w:r>
    </w:p>
    <w:p>
      <w:pPr>
        <w:pBdr>
          <w:bottom w:val="single" w:color="E5DDD5" w:sz="4" w:space="1"/>
        </w:pBdr>
        <w:spacing w:before="120" w:after="120"/>
      </w:pPr>
    </w:p>
    <w:p>
      <w:pPr>
        <w:spacing w:before="160" w:after="80"/>
        <w:jc w:val="left"/>
      </w:pPr>
      <w:r>
        <w:rPr>
          <w:rFonts w:ascii="Arial" w:cs="Arial" w:eastAsia="Arial" w:hAnsi="Arial"/>
          <w:b w:val="false"/>
          <w:bCs w:val="false"/>
          <w:i w:val="false"/>
          <w:iCs w:val="false"/>
          <w:color w:val="1E1E1E"/>
          <w:sz w:val="22"/>
          <w:szCs w:val="22"/>
        </w:rPr>
        <w:t xml:space="preserve">This is a revised plan. The original v1 was built around two user-provided constraints — viability known by month 6, full-time ready by month 12. Those gates are preserved here as useful checkpoints, but the back half of the plan is extended to reflect a more realistic 18-month path to full-time income replacement for a solo founder learning to code while employed.</w:t>
      </w:r>
    </w:p>
    <w:p>
      <w:pPr>
        <w:spacing w:before="40" w:after="80"/>
        <w:jc w:val="left"/>
      </w:pPr>
      <w:r>
        <w:rPr>
          <w:rFonts w:ascii="Arial" w:cs="Arial" w:eastAsia="Arial" w:hAnsi="Arial"/>
          <w:b w:val="false"/>
          <w:bCs w:val="false"/>
          <w:i/>
          <w:iCs/>
          <w:color w:val="6B5E5A"/>
          <w:sz w:val="22"/>
          <w:szCs w:val="22"/>
        </w:rPr>
        <w:t xml:space="preserve">Phase 3 has been substantially reworked after identifying two problems with the Wizard-of-Oz approach: the panel costs involved defeat the purpose of validating a cost-reduction product, and the founder's existing network skews toward enterprise rather than the SMB target market. The replacement methods are cheaper, better targeted, and more honest about what needs to be proven.</w:t>
      </w:r>
    </w:p>
    <w:p>
      <w:pPr>
        <w:spacing w:before="40" w:after="240"/>
        <w:jc w:val="left"/>
      </w:pPr>
      <w:r>
        <w:rPr>
          <w:rFonts w:ascii="Arial" w:cs="Arial" w:eastAsia="Arial" w:hAnsi="Arial"/>
          <w:b w:val="false"/>
          <w:bCs w:val="false"/>
          <w:i/>
          <w:iCs/>
          <w:color w:val="6B5E5A"/>
          <w:sz w:val="22"/>
          <w:szCs w:val="22"/>
        </w:rPr>
        <w:t xml:space="preserve">A new section on the bootstrapped vs. funded fork has been added after the viability checkpoint. Read it before month 7.</w:t>
      </w:r>
    </w:p>
    <w:p>
      <w:pPr>
        <w:pStyle w:val="Heading1"/>
        <w:spacing w:before="320" w:after="120"/>
      </w:pPr>
      <w:r>
        <w:rPr>
          <w:rFonts w:ascii="Arial" w:cs="Arial" w:eastAsia="Arial" w:hAnsi="Arial"/>
          <w:b/>
          <w:bCs/>
          <w:color w:val="C4733A"/>
          <w:sz w:val="32"/>
          <w:szCs w:val="32"/>
        </w:rP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360"/>
        <w:gridCol w:w="1700"/>
        <w:gridCol w:w="700"/>
      </w:tblGrid>
      <w:tr>
        <w:tc>
          <w:tcPr>
            <w:tcW w:type="dxa" w:w="1400"/>
            <w:tcBorders>
              <w:top w:val="single" w:color="C4733A" w:sz="1"/>
              <w:left w:val="single" w:color="C4733A" w:sz="1"/>
              <w:bottom w:val="single" w:color="C4733A" w:sz="1"/>
              <w:right w:val="single" w:color="C4733A" w:sz="1"/>
            </w:tcBorders>
            <w:shd w:fill="C4733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Phase</w:t>
            </w:r>
          </w:p>
        </w:tc>
        <w:tc>
          <w:tcPr>
            <w:tcW w:type="dxa" w:w="1200"/>
            <w:tcBorders>
              <w:top w:val="single" w:color="C4733A" w:sz="1"/>
              <w:left w:val="single" w:color="C4733A" w:sz="1"/>
              <w:bottom w:val="single" w:color="C4733A" w:sz="1"/>
              <w:right w:val="single" w:color="C4733A" w:sz="1"/>
            </w:tcBorders>
            <w:shd w:fill="C4733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Months</w:t>
            </w:r>
          </w:p>
        </w:tc>
        <w:tc>
          <w:tcPr>
            <w:tcW w:type="dxa" w:w="4360"/>
            <w:tcBorders>
              <w:top w:val="single" w:color="C4733A" w:sz="1"/>
              <w:left w:val="single" w:color="C4733A" w:sz="1"/>
              <w:bottom w:val="single" w:color="C4733A" w:sz="1"/>
              <w:right w:val="single" w:color="C4733A" w:sz="1"/>
            </w:tcBorders>
            <w:shd w:fill="C4733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Goal</w:t>
            </w:r>
          </w:p>
        </w:tc>
        <w:tc>
          <w:tcPr>
            <w:tcW w:type="dxa" w:w="1700"/>
            <w:tcBorders>
              <w:top w:val="single" w:color="C4733A" w:sz="1"/>
              <w:left w:val="single" w:color="C4733A" w:sz="1"/>
              <w:bottom w:val="single" w:color="C4733A" w:sz="1"/>
              <w:right w:val="single" w:color="C4733A" w:sz="1"/>
            </w:tcBorders>
            <w:shd w:fill="C4733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Primary Focus</w:t>
            </w:r>
          </w:p>
        </w:tc>
        <w:tc>
          <w:tcPr>
            <w:tcW w:type="dxa" w:w="700"/>
            <w:tcBorders>
              <w:top w:val="single" w:color="C4733A" w:sz="1"/>
              <w:left w:val="single" w:color="C4733A" w:sz="1"/>
              <w:bottom w:val="single" w:color="C4733A" w:sz="1"/>
              <w:right w:val="single" w:color="C4733A" w:sz="1"/>
            </w:tcBorders>
            <w:shd w:fill="C4733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Hrs/Wk</w:t>
            </w:r>
          </w:p>
        </w:tc>
      </w:tr>
      <w:tr>
        <w:tc>
          <w:tcPr>
            <w:tcW w:type="dxa" w:w="14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r>
              <w:rPr>
                <w:rFonts w:ascii="Arial" w:cs="Arial" w:eastAsia="Arial" w:hAnsi="Arial"/>
                <w:b/>
                <w:bCs/>
                <w:color w:val="C4733A"/>
                <w:sz w:val="19"/>
                <w:szCs w:val="19"/>
              </w:rPr>
              <w:t xml:space="preserve">1 — Listen</w:t>
            </w:r>
          </w:p>
        </w:tc>
        <w:tc>
          <w:tcPr>
            <w:tcW w:type="dxa" w:w="1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center"/>
            </w:pPr>
            <w:r>
              <w:rPr>
                <w:rFonts w:ascii="Arial" w:cs="Arial" w:eastAsia="Arial" w:hAnsi="Arial"/>
                <w:color w:val="1E1E1E"/>
                <w:sz w:val="19"/>
                <w:szCs w:val="19"/>
              </w:rPr>
              <w:t xml:space="preserve">1–2</w:t>
            </w:r>
          </w:p>
        </w:tc>
        <w:tc>
          <w:tcPr>
            <w:tcW w:type="dxa" w:w="436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r>
              <w:rPr>
                <w:rFonts w:ascii="Arial" w:cs="Arial" w:eastAsia="Arial" w:hAnsi="Arial"/>
                <w:color w:val="1E1E1E"/>
                <w:sz w:val="19"/>
                <w:szCs w:val="19"/>
              </w:rPr>
              <w:t xml:space="preserve">Validate the problem is real before building anything else</w:t>
            </w:r>
          </w:p>
        </w:tc>
        <w:tc>
          <w:tcPr>
            <w:tcW w:type="dxa" w:w="17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r>
              <w:rPr>
                <w:rFonts w:ascii="Arial" w:cs="Arial" w:eastAsia="Arial" w:hAnsi="Arial"/>
                <w:color w:val="1E1E1E"/>
                <w:sz w:val="19"/>
                <w:szCs w:val="19"/>
              </w:rPr>
              <w:t xml:space="preserve">Discovery interviews</w:t>
            </w:r>
          </w:p>
        </w:tc>
        <w:tc>
          <w:tcPr>
            <w:tcW w:type="dxa" w:w="7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center"/>
            </w:pPr>
            <w:r>
              <w:rPr>
                <w:rFonts w:ascii="Arial" w:cs="Arial" w:eastAsia="Arial" w:hAnsi="Arial"/>
                <w:b/>
                <w:bCs/>
                <w:color w:val="C4733A"/>
                <w:sz w:val="19"/>
                <w:szCs w:val="19"/>
              </w:rPr>
              <w:t xml:space="preserve">14</w:t>
            </w:r>
          </w:p>
        </w:tc>
      </w:tr>
      <w:tr>
        <w:tc>
          <w:tcPr>
            <w:tcW w:type="dxa" w:w="14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r>
              <w:rPr>
                <w:rFonts w:ascii="Arial" w:cs="Arial" w:eastAsia="Arial" w:hAnsi="Arial"/>
                <w:b/>
                <w:bCs/>
                <w:color w:val="C4733A"/>
                <w:sz w:val="19"/>
                <w:szCs w:val="19"/>
              </w:rPr>
              <w:t xml:space="preserve">2 — Focus</w:t>
            </w:r>
          </w:p>
        </w:tc>
        <w:tc>
          <w:tcPr>
            <w:tcW w:type="dxa" w:w="12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color w:val="1E1E1E"/>
                <w:sz w:val="19"/>
                <w:szCs w:val="19"/>
              </w:rPr>
              <w:t xml:space="preserve">3–4</w:t>
            </w:r>
          </w:p>
        </w:tc>
        <w:tc>
          <w:tcPr>
            <w:tcW w:type="dxa" w:w="43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r>
              <w:rPr>
                <w:rFonts w:ascii="Arial" w:cs="Arial" w:eastAsia="Arial" w:hAnsi="Arial"/>
                <w:color w:val="1E1E1E"/>
                <w:sz w:val="19"/>
                <w:szCs w:val="19"/>
              </w:rPr>
              <w:t xml:space="preserve">Narrow ICP; recruit 3–5 design partners from communities</w:t>
            </w:r>
          </w:p>
        </w:tc>
        <w:tc>
          <w:tcPr>
            <w:tcW w:type="dxa" w:w="17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r>
              <w:rPr>
                <w:rFonts w:ascii="Arial" w:cs="Arial" w:eastAsia="Arial" w:hAnsi="Arial"/>
                <w:color w:val="1E1E1E"/>
                <w:sz w:val="19"/>
                <w:szCs w:val="19"/>
              </w:rPr>
              <w:t xml:space="preserve">Community + Odin Project</w:t>
            </w:r>
          </w:p>
        </w:tc>
        <w:tc>
          <w:tcPr>
            <w:tcW w:type="dxa" w:w="7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bCs/>
                <w:color w:val="C4733A"/>
                <w:sz w:val="19"/>
                <w:szCs w:val="19"/>
              </w:rPr>
              <w:t xml:space="preserve">16</w:t>
            </w:r>
          </w:p>
        </w:tc>
      </w:tr>
      <w:tr>
        <w:tc>
          <w:tcPr>
            <w:tcW w:type="dxa" w:w="14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r>
              <w:rPr>
                <w:rFonts w:ascii="Arial" w:cs="Arial" w:eastAsia="Arial" w:hAnsi="Arial"/>
                <w:b/>
                <w:bCs/>
                <w:color w:val="C4733A"/>
                <w:sz w:val="19"/>
                <w:szCs w:val="19"/>
              </w:rPr>
              <w:t xml:space="preserve">3 — Validate</w:t>
            </w:r>
          </w:p>
        </w:tc>
        <w:tc>
          <w:tcPr>
            <w:tcW w:type="dxa" w:w="1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center"/>
            </w:pPr>
            <w:r>
              <w:rPr>
                <w:rFonts w:ascii="Arial" w:cs="Arial" w:eastAsia="Arial" w:hAnsi="Arial"/>
                <w:color w:val="1E1E1E"/>
                <w:sz w:val="19"/>
                <w:szCs w:val="19"/>
              </w:rPr>
              <w:t xml:space="preserve">5–7</w:t>
            </w:r>
          </w:p>
        </w:tc>
        <w:tc>
          <w:tcPr>
            <w:tcW w:type="dxa" w:w="436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r>
              <w:rPr>
                <w:rFonts w:ascii="Arial" w:cs="Arial" w:eastAsia="Arial" w:hAnsi="Arial"/>
                <w:color w:val="1E1E1E"/>
                <w:sz w:val="19"/>
                <w:szCs w:val="19"/>
              </w:rPr>
              <w:t xml:space="preserve">Prove the output changes decisions using low-cost methods</w:t>
            </w:r>
          </w:p>
        </w:tc>
        <w:tc>
          <w:tcPr>
            <w:tcW w:type="dxa" w:w="17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r>
              <w:rPr>
                <w:rFonts w:ascii="Arial" w:cs="Arial" w:eastAsia="Arial" w:hAnsi="Arial"/>
                <w:color w:val="1E1E1E"/>
                <w:sz w:val="19"/>
                <w:szCs w:val="19"/>
              </w:rPr>
              <w:t xml:space="preserve">Synthetic validation + output</w:t>
            </w:r>
          </w:p>
        </w:tc>
        <w:tc>
          <w:tcPr>
            <w:tcW w:type="dxa" w:w="7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center"/>
            </w:pPr>
            <w:r>
              <w:rPr>
                <w:rFonts w:ascii="Arial" w:cs="Arial" w:eastAsia="Arial" w:hAnsi="Arial"/>
                <w:b/>
                <w:bCs/>
                <w:color w:val="C4733A"/>
                <w:sz w:val="19"/>
                <w:szCs w:val="19"/>
              </w:rPr>
              <w:t xml:space="preserve">14</w:t>
            </w:r>
          </w:p>
        </w:tc>
      </w:tr>
      <w:tr>
        <w:tc>
          <w:tcPr>
            <w:tcW w:type="dxa" w:w="14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r>
              <w:rPr>
                <w:rFonts w:ascii="Arial" w:cs="Arial" w:eastAsia="Arial" w:hAnsi="Arial"/>
                <w:b/>
                <w:bCs/>
                <w:color w:val="C4733A"/>
                <w:sz w:val="19"/>
                <w:szCs w:val="19"/>
              </w:rPr>
              <w:t xml:space="preserve">4 — Build</w:t>
            </w:r>
          </w:p>
        </w:tc>
        <w:tc>
          <w:tcPr>
            <w:tcW w:type="dxa" w:w="12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color w:val="1E1E1E"/>
                <w:sz w:val="19"/>
                <w:szCs w:val="19"/>
              </w:rPr>
              <w:t xml:space="preserve">8–10</w:t>
            </w:r>
          </w:p>
        </w:tc>
        <w:tc>
          <w:tcPr>
            <w:tcW w:type="dxa" w:w="43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r>
              <w:rPr>
                <w:rFonts w:ascii="Arial" w:cs="Arial" w:eastAsia="Arial" w:hAnsi="Arial"/>
                <w:color w:val="1E1E1E"/>
                <w:sz w:val="19"/>
                <w:szCs w:val="19"/>
              </w:rPr>
              <w:t xml:space="preserve">Build a real MVP that runs MaxDiff end-to-end without manual facilitation</w:t>
            </w:r>
          </w:p>
        </w:tc>
        <w:tc>
          <w:tcPr>
            <w:tcW w:type="dxa" w:w="17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r>
              <w:rPr>
                <w:rFonts w:ascii="Arial" w:cs="Arial" w:eastAsia="Arial" w:hAnsi="Arial"/>
                <w:color w:val="1E1E1E"/>
                <w:sz w:val="19"/>
                <w:szCs w:val="19"/>
              </w:rPr>
              <w:t xml:space="preserve">Coding</w:t>
            </w:r>
          </w:p>
        </w:tc>
        <w:tc>
          <w:tcPr>
            <w:tcW w:type="dxa" w:w="7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bCs/>
                <w:color w:val="C4733A"/>
                <w:sz w:val="19"/>
                <w:szCs w:val="19"/>
              </w:rPr>
              <w:t xml:space="preserve">16</w:t>
            </w:r>
          </w:p>
        </w:tc>
      </w:tr>
      <w:tr>
        <w:tc>
          <w:tcPr>
            <w:tcW w:type="dxa" w:w="14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r>
              <w:rPr>
                <w:rFonts w:ascii="Arial" w:cs="Arial" w:eastAsia="Arial" w:hAnsi="Arial"/>
                <w:b/>
                <w:bCs/>
                <w:color w:val="C4733A"/>
                <w:sz w:val="19"/>
                <w:szCs w:val="19"/>
              </w:rPr>
              <w:t xml:space="preserve">5 — Launch</w:t>
            </w:r>
          </w:p>
        </w:tc>
        <w:tc>
          <w:tcPr>
            <w:tcW w:type="dxa" w:w="1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center"/>
            </w:pPr>
            <w:r>
              <w:rPr>
                <w:rFonts w:ascii="Arial" w:cs="Arial" w:eastAsia="Arial" w:hAnsi="Arial"/>
                <w:color w:val="1E1E1E"/>
                <w:sz w:val="19"/>
                <w:szCs w:val="19"/>
              </w:rPr>
              <w:t xml:space="preserve">11–14</w:t>
            </w:r>
          </w:p>
        </w:tc>
        <w:tc>
          <w:tcPr>
            <w:tcW w:type="dxa" w:w="436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r>
              <w:rPr>
                <w:rFonts w:ascii="Arial" w:cs="Arial" w:eastAsia="Arial" w:hAnsi="Arial"/>
                <w:color w:val="1E1E1E"/>
                <w:sz w:val="19"/>
                <w:szCs w:val="19"/>
              </w:rPr>
              <w:t xml:space="preserve">Onboard first paying customers; refine on real usage</w:t>
            </w:r>
          </w:p>
        </w:tc>
        <w:tc>
          <w:tcPr>
            <w:tcW w:type="dxa" w:w="17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r>
              <w:rPr>
                <w:rFonts w:ascii="Arial" w:cs="Arial" w:eastAsia="Arial" w:hAnsi="Arial"/>
                <w:color w:val="1E1E1E"/>
                <w:sz w:val="19"/>
                <w:szCs w:val="19"/>
              </w:rPr>
              <w:t xml:space="preserve">Sales + polish</w:t>
            </w:r>
          </w:p>
        </w:tc>
        <w:tc>
          <w:tcPr>
            <w:tcW w:type="dxa" w:w="7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center"/>
            </w:pPr>
            <w:r>
              <w:rPr>
                <w:rFonts w:ascii="Arial" w:cs="Arial" w:eastAsia="Arial" w:hAnsi="Arial"/>
                <w:b/>
                <w:bCs/>
                <w:color w:val="C4733A"/>
                <w:sz w:val="19"/>
                <w:szCs w:val="19"/>
              </w:rPr>
              <w:t xml:space="preserve">16</w:t>
            </w:r>
          </w:p>
        </w:tc>
      </w:tr>
      <w:tr>
        <w:tc>
          <w:tcPr>
            <w:tcW w:type="dxa" w:w="14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r>
              <w:rPr>
                <w:rFonts w:ascii="Arial" w:cs="Arial" w:eastAsia="Arial" w:hAnsi="Arial"/>
                <w:b/>
                <w:bCs/>
                <w:color w:val="C4733A"/>
                <w:sz w:val="19"/>
                <w:szCs w:val="19"/>
              </w:rPr>
              <w:t xml:space="preserve">6 — Decide</w:t>
            </w:r>
          </w:p>
        </w:tc>
        <w:tc>
          <w:tcPr>
            <w:tcW w:type="dxa" w:w="12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color w:val="1E1E1E"/>
                <w:sz w:val="19"/>
                <w:szCs w:val="19"/>
              </w:rPr>
              <w:t xml:space="preserve">15–18</w:t>
            </w:r>
          </w:p>
        </w:tc>
        <w:tc>
          <w:tcPr>
            <w:tcW w:type="dxa" w:w="43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r>
              <w:rPr>
                <w:rFonts w:ascii="Arial" w:cs="Arial" w:eastAsia="Arial" w:hAnsi="Arial"/>
                <w:color w:val="1E1E1E"/>
                <w:sz w:val="19"/>
                <w:szCs w:val="19"/>
              </w:rPr>
              <w:t xml:space="preserve">Make the full-time call with clear evidence</w:t>
            </w:r>
          </w:p>
        </w:tc>
        <w:tc>
          <w:tcPr>
            <w:tcW w:type="dxa" w:w="17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r>
              <w:rPr>
                <w:rFonts w:ascii="Arial" w:cs="Arial" w:eastAsia="Arial" w:hAnsi="Arial"/>
                <w:color w:val="1E1E1E"/>
                <w:sz w:val="19"/>
                <w:szCs w:val="19"/>
              </w:rPr>
              <w:t xml:space="preserve">Retrospective + planning</w:t>
            </w:r>
          </w:p>
        </w:tc>
        <w:tc>
          <w:tcPr>
            <w:tcW w:type="dxa" w:w="7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bCs/>
                <w:color w:val="C4733A"/>
                <w:sz w:val="19"/>
                <w:szCs w:val="19"/>
              </w:rPr>
              <w:t xml:space="preserve">12</w:t>
            </w:r>
          </w:p>
        </w:tc>
      </w:tr>
    </w:tbl>
    <w:p>
      <w:pPr>
        <w:pageBreakBefore/>
      </w:pPr>
    </w:p>
    <w:p>
      <w:pPr>
        <w:pStyle w:val="Heading1"/>
        <w:spacing w:before="320" w:after="120"/>
      </w:pPr>
      <w:r>
        <w:rPr>
          <w:rFonts w:ascii="Arial" w:cs="Arial" w:eastAsia="Arial" w:hAnsi="Arial"/>
          <w:b/>
          <w:bCs/>
          <w:color w:val="C4733A"/>
          <w:sz w:val="32"/>
          <w:szCs w:val="32"/>
        </w:rPr>
        <w:t xml:space="preserve">Phase 1 — Listen  (Months 1–2)</w:t>
      </w:r>
    </w:p>
    <w:p>
      <w:pPr>
        <w:spacing w:before="60" w:after="120"/>
        <w:jc w:val="left"/>
      </w:pPr>
      <w:r>
        <w:rPr>
          <w:rFonts w:ascii="Arial" w:cs="Arial" w:eastAsia="Arial" w:hAnsi="Arial"/>
          <w:b/>
          <w:bCs/>
          <w:i w:val="false"/>
          <w:iCs w:val="false"/>
          <w:color w:val="1E1E1E"/>
          <w:sz w:val="22"/>
          <w:szCs w:val="22"/>
        </w:rPr>
        <w:t xml:space="preserve">Goal: </w:t>
      </w:r>
      <w:r>
        <w:rPr>
          <w:rFonts w:ascii="Arial" w:cs="Arial" w:eastAsia="Arial" w:hAnsi="Arial"/>
          <w:b w:val="false"/>
          <w:bCs w:val="false"/>
          <w:i w:val="false"/>
          <w:iCs w:val="false"/>
          <w:color w:val="1E1E1E"/>
          <w:sz w:val="22"/>
          <w:szCs w:val="22"/>
        </w:rPr>
        <w:t xml:space="preserve">Validate the problem is real before building another line of code.</w:t>
      </w:r>
    </w:p>
    <w:p>
      <w:pPr>
        <w:spacing w:before="0" w:after="100"/>
        <w:jc w:val="left"/>
      </w:pPr>
      <w:r>
        <w:rPr>
          <w:rFonts w:ascii="Arial" w:cs="Arial" w:eastAsia="Arial" w:hAnsi="Arial"/>
          <w:b w:val="false"/>
          <w:bCs w:val="false"/>
          <w:i/>
          <w:iCs/>
          <w:color w:val="6B5E5A"/>
          <w:sz w:val="22"/>
          <w:szCs w:val="22"/>
        </w:rPr>
        <w:t xml:space="preserve">Your existing network skews enterprise. That is a constraint but not a blocker — enterprise contacts are useful as referral bridges. Ask them: “who do you know running a scrappy product team where they’re doing research without a dedicated researcher?” You’re not interviewing your enterprise contacts. You’re asking them to route you to the right people.</w:t>
      </w:r>
    </w:p>
    <w:p>
      <w:pPr>
        <w:spacing w:before="0" w:after="160"/>
        <w:jc w:val="left"/>
      </w:pPr>
      <w:r>
        <w:rPr>
          <w:rFonts w:ascii="Arial" w:cs="Arial" w:eastAsia="Arial" w:hAnsi="Arial"/>
          <w:b w:val="false"/>
          <w:bCs w:val="false"/>
          <w:i/>
          <w:iCs/>
          <w:color w:val="6B5E5A"/>
          <w:sz w:val="22"/>
          <w:szCs w:val="22"/>
        </w:rPr>
        <w:t xml:space="preserve">Supplement with direct community access. Lenny’s Slack, Mind the Product forums, and r/ProductManagement are full of exactly the PMs you’re targeting. Observe first, ask questions later.</w:t>
      </w:r>
    </w:p>
    <w:p>
      <w:pPr>
        <w:spacing w:before="160" w:after="60"/>
      </w:pPr>
      <w:r>
        <w:rPr>
          <w:rFonts w:ascii="Arial" w:cs="Arial" w:eastAsia="Arial" w:hAnsi="Arial"/>
          <w:b/>
          <w:bCs/>
          <w:color w:val="1E1E1E"/>
          <w:sz w:val="22"/>
          <w:szCs w:val="22"/>
        </w:rPr>
        <w:t xml:space="preserve">Activities by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c>
          <w:tcPr>
            <w:tcW w:type="dxa" w:w="240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540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156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Hrs/Wk</w:t>
            </w:r>
          </w:p>
        </w:tc>
      </w:tr>
      <w:tr>
        <w:tc>
          <w:tcPr>
            <w:tcW w:type="dxa" w:w="2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b/>
                <w:bCs/>
                <w:color w:val="1E1E1E"/>
                <w:sz w:val="20"/>
                <w:szCs w:val="20"/>
              </w:rPr>
              <w:t xml:space="preserve">Discovery interviews</w:t>
            </w:r>
          </w:p>
        </w:tc>
        <w:tc>
          <w:tcPr>
            <w:tcW w:type="dxa" w:w="5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color w:val="1E1E1E"/>
                <w:sz w:val="20"/>
                <w:szCs w:val="20"/>
              </w:rPr>
              <w:t xml:space="preserve">12–18 interviews with SMB PMs. Use enterprise contacts for warm referrals, not as subjects. Target: solo PM at a Series A/B startup, no dedicated researcher, real backlog.</w:t>
            </w:r>
          </w:p>
        </w:tc>
        <w:tc>
          <w:tcPr>
            <w:tcW w:type="dxa" w:w="156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5</w:t>
            </w:r>
          </w:p>
        </w:tc>
      </w:tr>
      <w:tr>
        <w:tc>
          <w:tcPr>
            <w:tcW w:type="dxa" w:w="2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b/>
                <w:bCs/>
                <w:color w:val="1E1E1E"/>
                <w:sz w:val="20"/>
                <w:szCs w:val="20"/>
              </w:rPr>
              <w:t xml:space="preserve">Community immersion</w:t>
            </w:r>
          </w:p>
        </w:tc>
        <w:tc>
          <w:tcPr>
            <w:tcW w:type="dxa" w:w="5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color w:val="1E1E1E"/>
                <w:sz w:val="20"/>
                <w:szCs w:val="20"/>
              </w:rPr>
              <w:t xml:space="preserve">Join Lenny’s community and Mind the Product Slack. Spend 30 min 3x/week reading and observing conversations about prioritization. Don’t post yet — just listen.</w:t>
            </w:r>
          </w:p>
        </w:tc>
        <w:tc>
          <w:tcPr>
            <w:tcW w:type="dxa" w:w="156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1.5</w:t>
            </w:r>
          </w:p>
        </w:tc>
      </w:tr>
      <w:tr>
        <w:tc>
          <w:tcPr>
            <w:tcW w:type="dxa" w:w="2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b/>
                <w:bCs/>
                <w:color w:val="1E1E1E"/>
                <w:sz w:val="20"/>
                <w:szCs w:val="20"/>
              </w:rPr>
              <w:t xml:space="preserve">The Odin Project</w:t>
            </w:r>
          </w:p>
        </w:tc>
        <w:tc>
          <w:tcPr>
            <w:tcW w:type="dxa" w:w="5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color w:val="1E1E1E"/>
                <w:sz w:val="20"/>
                <w:szCs w:val="20"/>
              </w:rPr>
              <w:t xml:space="preserve">Foundations + HTML/CSS. Build a daily habit of 30–60 minutes rather than long weekend sessions.</w:t>
            </w:r>
          </w:p>
        </w:tc>
        <w:tc>
          <w:tcPr>
            <w:tcW w:type="dxa" w:w="156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6</w:t>
            </w:r>
          </w:p>
        </w:tc>
      </w:tr>
      <w:tr>
        <w:tc>
          <w:tcPr>
            <w:tcW w:type="dxa" w:w="2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b/>
                <w:bCs/>
                <w:color w:val="1E1E1E"/>
                <w:sz w:val="20"/>
                <w:szCs w:val="20"/>
              </w:rPr>
              <w:t xml:space="preserve">Reading</w:t>
            </w:r>
          </w:p>
        </w:tc>
        <w:tc>
          <w:tcPr>
            <w:tcW w:type="dxa" w:w="5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color w:val="1E1E1E"/>
                <w:sz w:val="20"/>
                <w:szCs w:val="20"/>
              </w:rPr>
              <w:t xml:space="preserve">Read The Mom Test first. One chapter per session, one written reflection per chapter. Don’t move on until finished.</w:t>
            </w:r>
          </w:p>
        </w:tc>
        <w:tc>
          <w:tcPr>
            <w:tcW w:type="dxa" w:w="156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1.5</w:t>
            </w:r>
          </w:p>
        </w:tc>
      </w:tr>
    </w:tbl>
    <w:p>
      <w:pPr>
        <w:spacing w:before="160" w:after="60"/>
      </w:pPr>
      <w:r>
        <w:rPr>
          <w:rFonts w:ascii="Arial" w:cs="Arial" w:eastAsia="Arial" w:hAnsi="Arial"/>
          <w:b/>
          <w:bCs/>
          <w:color w:val="1E1E1E"/>
          <w:sz w:val="22"/>
          <w:szCs w:val="22"/>
        </w:rPr>
        <w:t xml:space="preserve">Weekly schedule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560"/>
      </w:tblGrid>
      <w:tr>
        <w:tc>
          <w:tcPr>
            <w:tcW w:type="dxa" w:w="22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Activity</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Mon</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Tue</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Wed</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Thu</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Fri</w:t>
            </w:r>
          </w:p>
        </w:tc>
        <w:tc>
          <w:tcPr>
            <w:tcW w:type="dxa" w:w="156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Sat/Sun</w:t>
            </w:r>
          </w:p>
        </w:tc>
      </w:tr>
      <w:tr>
        <w:tc>
          <w:tcPr>
            <w:tcW w:type="dxa" w:w="2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left"/>
            </w:pPr>
            <w:r>
              <w:rPr>
                <w:rFonts w:ascii="Arial" w:cs="Arial" w:eastAsia="Arial" w:hAnsi="Arial"/>
                <w:b/>
                <w:bCs/>
                <w:color w:val="1E1E1E"/>
                <w:sz w:val="18"/>
                <w:szCs w:val="18"/>
              </w:rPr>
              <w:t xml:space="preserve">The Odin Project</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90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90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5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2–3 hrs</w:t>
            </w:r>
          </w:p>
        </w:tc>
      </w:tr>
      <w:tr>
        <w:tc>
          <w:tcPr>
            <w:tcW w:type="dxa" w:w="2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left"/>
            </w:pPr>
            <w:r>
              <w:rPr>
                <w:rFonts w:ascii="Arial" w:cs="Arial" w:eastAsia="Arial" w:hAnsi="Arial"/>
                <w:b/>
                <w:bCs/>
                <w:color w:val="1E1E1E"/>
                <w:sz w:val="18"/>
                <w:szCs w:val="18"/>
              </w:rPr>
              <w:t xml:space="preserve">Discovery interview</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Prep</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Interview</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Debrief</w:t>
            </w:r>
          </w:p>
        </w:tc>
        <w:tc>
          <w:tcPr>
            <w:tcW w:type="dxa" w:w="15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r>
      <w:tr>
        <w:tc>
          <w:tcPr>
            <w:tcW w:type="dxa" w:w="2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left"/>
            </w:pPr>
            <w:r>
              <w:rPr>
                <w:rFonts w:ascii="Arial" w:cs="Arial" w:eastAsia="Arial" w:hAnsi="Arial"/>
                <w:b/>
                <w:bCs/>
                <w:color w:val="1E1E1E"/>
                <w:sz w:val="18"/>
                <w:szCs w:val="18"/>
              </w:rPr>
              <w:t xml:space="preserve">Community watching</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30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30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30 min</w:t>
            </w:r>
          </w:p>
        </w:tc>
        <w:tc>
          <w:tcPr>
            <w:tcW w:type="dxa" w:w="15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r>
      <w:tr>
        <w:tc>
          <w:tcPr>
            <w:tcW w:type="dxa" w:w="2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left"/>
            </w:pPr>
            <w:r>
              <w:rPr>
                <w:rFonts w:ascii="Arial" w:cs="Arial" w:eastAsia="Arial" w:hAnsi="Arial"/>
                <w:b/>
                <w:bCs/>
                <w:color w:val="1E1E1E"/>
                <w:sz w:val="18"/>
                <w:szCs w:val="18"/>
              </w:rPr>
              <w:t xml:space="preserve">Reading</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30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30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5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30 min</w:t>
            </w:r>
          </w:p>
        </w:tc>
      </w:tr>
    </w:tbl>
    <w:p>
      <w:pPr>
        <w:pageBreakBefore/>
      </w:pPr>
    </w:p>
    <w:p>
      <w:pPr>
        <w:pStyle w:val="Heading1"/>
        <w:spacing w:before="320" w:after="120"/>
      </w:pPr>
      <w:r>
        <w:rPr>
          <w:rFonts w:ascii="Arial" w:cs="Arial" w:eastAsia="Arial" w:hAnsi="Arial"/>
          <w:b/>
          <w:bCs/>
          <w:color w:val="C4733A"/>
          <w:sz w:val="32"/>
          <w:szCs w:val="32"/>
        </w:rPr>
        <w:t xml:space="preserve">Phase 2 — Focus  (Months 3–4)</w:t>
      </w:r>
    </w:p>
    <w:p>
      <w:pPr>
        <w:spacing w:before="60" w:after="120"/>
        <w:jc w:val="left"/>
      </w:pPr>
      <w:r>
        <w:rPr>
          <w:rFonts w:ascii="Arial" w:cs="Arial" w:eastAsia="Arial" w:hAnsi="Arial"/>
          <w:b/>
          <w:bCs/>
          <w:i w:val="false"/>
          <w:iCs w:val="false"/>
          <w:color w:val="1E1E1E"/>
          <w:sz w:val="22"/>
          <w:szCs w:val="22"/>
        </w:rPr>
        <w:t xml:space="preserve">Goal: </w:t>
      </w:r>
      <w:r>
        <w:rPr>
          <w:rFonts w:ascii="Arial" w:cs="Arial" w:eastAsia="Arial" w:hAnsi="Arial"/>
          <w:b w:val="false"/>
          <w:bCs w:val="false"/>
          <w:i w:val="false"/>
          <w:iCs w:val="false"/>
          <w:color w:val="1E1E1E"/>
          <w:sz w:val="22"/>
          <w:szCs w:val="22"/>
        </w:rPr>
        <w:t xml:space="preserve">Narrow your ICP and recruit 3–5 design partners, primarily through communities rather than warm contacts.</w:t>
      </w:r>
    </w:p>
    <w:p>
      <w:pPr>
        <w:spacing w:before="0" w:after="100"/>
        <w:jc w:val="left"/>
      </w:pPr>
      <w:r>
        <w:rPr>
          <w:rFonts w:ascii="Arial" w:cs="Arial" w:eastAsia="Arial" w:hAnsi="Arial"/>
          <w:b w:val="false"/>
          <w:bCs w:val="false"/>
          <w:i/>
          <w:iCs/>
          <w:color w:val="6B5E5A"/>
          <w:sz w:val="22"/>
          <w:szCs w:val="22"/>
        </w:rPr>
        <w:t xml:space="preserve">By now you should have enough interview data to describe your ideal customer in one sentence. A design partner in this context is a PM who agrees to walk you through a real prioritization decision they’re currently facing — not to use a product, but to explore whether your methodology produces something they’d act on. They’re co-investigators, not beta users.</w:t>
      </w:r>
    </w:p>
    <w:p>
      <w:pPr>
        <w:spacing w:before="0" w:after="160"/>
        <w:jc w:val="left"/>
      </w:pPr>
      <w:r>
        <w:rPr>
          <w:rFonts w:ascii="Arial" w:cs="Arial" w:eastAsia="Arial" w:hAnsi="Arial"/>
          <w:b w:val="false"/>
          <w:bCs w:val="false"/>
          <w:i/>
          <w:iCs/>
          <w:color w:val="6B5E5A"/>
          <w:sz w:val="22"/>
          <w:szCs w:val="22"/>
        </w:rPr>
        <w:t xml:space="preserve">Community contribution is the most efficient recruitment path at this stage. Answer prioritization questions in Lenny’s or MTP with genuine expertise. When someone says “this is exactly what I’m dealing with,” that’s the person to DM.</w:t>
      </w:r>
    </w:p>
    <w:p>
      <w:pPr>
        <w:spacing w:before="160" w:after="60"/>
      </w:pPr>
      <w:r>
        <w:rPr>
          <w:rFonts w:ascii="Arial" w:cs="Arial" w:eastAsia="Arial" w:hAnsi="Arial"/>
          <w:b/>
          <w:bCs/>
          <w:color w:val="1E1E1E"/>
          <w:sz w:val="22"/>
          <w:szCs w:val="22"/>
        </w:rPr>
        <w:t xml:space="preserve">Activities by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c>
          <w:tcPr>
            <w:tcW w:type="dxa" w:w="240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540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156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Hrs/Wk</w:t>
            </w:r>
          </w:p>
        </w:tc>
      </w:tr>
      <w:tr>
        <w:tc>
          <w:tcPr>
            <w:tcW w:type="dxa" w:w="2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b/>
                <w:bCs/>
                <w:color w:val="1E1E1E"/>
                <w:sz w:val="20"/>
                <w:szCs w:val="20"/>
              </w:rPr>
              <w:t xml:space="preserve">Community contribution</w:t>
            </w:r>
          </w:p>
        </w:tc>
        <w:tc>
          <w:tcPr>
            <w:tcW w:type="dxa" w:w="5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color w:val="1E1E1E"/>
                <w:sz w:val="20"/>
                <w:szCs w:val="20"/>
              </w:rPr>
              <w:t xml:space="preserve">Move from observer to contributor. Answer 2–3 questions per week in PM communities on prioritization, research methodology, or stakeholder alignment. Build a reputation before asking for anything.</w:t>
            </w:r>
          </w:p>
        </w:tc>
        <w:tc>
          <w:tcPr>
            <w:tcW w:type="dxa" w:w="156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2</w:t>
            </w:r>
          </w:p>
        </w:tc>
      </w:tr>
      <w:tr>
        <w:tc>
          <w:tcPr>
            <w:tcW w:type="dxa" w:w="2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b/>
                <w:bCs/>
                <w:color w:val="1E1E1E"/>
                <w:sz w:val="20"/>
                <w:szCs w:val="20"/>
              </w:rPr>
              <w:t xml:space="preserve">Design partner outreach</w:t>
            </w:r>
          </w:p>
        </w:tc>
        <w:tc>
          <w:tcPr>
            <w:tcW w:type="dxa" w:w="5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color w:val="1E1E1E"/>
                <w:sz w:val="20"/>
                <w:szCs w:val="20"/>
              </w:rPr>
              <w:t xml:space="preserve">Reach back to strongest interview contacts and to community members who engaged with your posts. Ask for one 60-minute session on a real backlog decision they’re currently facing. Aim for 3 yeses.</w:t>
            </w:r>
          </w:p>
        </w:tc>
        <w:tc>
          <w:tcPr>
            <w:tcW w:type="dxa" w:w="156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3</w:t>
            </w:r>
          </w:p>
        </w:tc>
      </w:tr>
      <w:tr>
        <w:tc>
          <w:tcPr>
            <w:tcW w:type="dxa" w:w="2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b/>
                <w:bCs/>
                <w:color w:val="1E1E1E"/>
                <w:sz w:val="20"/>
                <w:szCs w:val="20"/>
              </w:rPr>
              <w:t xml:space="preserve">The Odin Project</w:t>
            </w:r>
          </w:p>
        </w:tc>
        <w:tc>
          <w:tcPr>
            <w:tcW w:type="dxa" w:w="5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color w:val="1E1E1E"/>
                <w:sz w:val="20"/>
                <w:szCs w:val="20"/>
              </w:rPr>
              <w:t xml:space="preserve">JavaScript fundamentals. This is the hardest module. Protect coding sessions — don’t sacrifice them to partner calls.</w:t>
            </w:r>
          </w:p>
        </w:tc>
        <w:tc>
          <w:tcPr>
            <w:tcW w:type="dxa" w:w="156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8</w:t>
            </w:r>
          </w:p>
        </w:tc>
      </w:tr>
      <w:tr>
        <w:tc>
          <w:tcPr>
            <w:tcW w:type="dxa" w:w="2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b/>
                <w:bCs/>
                <w:color w:val="1E1E1E"/>
                <w:sz w:val="20"/>
                <w:szCs w:val="20"/>
              </w:rPr>
              <w:t xml:space="preserve">Prototype notes</w:t>
            </w:r>
          </w:p>
        </w:tc>
        <w:tc>
          <w:tcPr>
            <w:tcW w:type="dxa" w:w="5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color w:val="1E1E1E"/>
                <w:sz w:val="20"/>
                <w:szCs w:val="20"/>
              </w:rPr>
              <w:t xml:space="preserve">Don’t build. Every workflow gap you notice during partner conversations goes into a prioritized feature list.</w:t>
            </w:r>
          </w:p>
        </w:tc>
        <w:tc>
          <w:tcPr>
            <w:tcW w:type="dxa" w:w="156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2</w:t>
            </w:r>
          </w:p>
        </w:tc>
      </w:tr>
    </w:tbl>
    <w:p>
      <w:pPr>
        <w:spacing w:before="160" w:after="60"/>
      </w:pPr>
      <w:r>
        <w:rPr>
          <w:rFonts w:ascii="Arial" w:cs="Arial" w:eastAsia="Arial" w:hAnsi="Arial"/>
          <w:b/>
          <w:bCs/>
          <w:color w:val="1E1E1E"/>
          <w:sz w:val="22"/>
          <w:szCs w:val="22"/>
        </w:rPr>
        <w:t xml:space="preserve">Weekly schedule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560"/>
      </w:tblGrid>
      <w:tr>
        <w:tc>
          <w:tcPr>
            <w:tcW w:type="dxa" w:w="22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Activity</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Mon</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Tue</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Wed</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Thu</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Fri</w:t>
            </w:r>
          </w:p>
        </w:tc>
        <w:tc>
          <w:tcPr>
            <w:tcW w:type="dxa" w:w="156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Sat/Sun</w:t>
            </w:r>
          </w:p>
        </w:tc>
      </w:tr>
      <w:tr>
        <w:tc>
          <w:tcPr>
            <w:tcW w:type="dxa" w:w="2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left"/>
            </w:pPr>
            <w:r>
              <w:rPr>
                <w:rFonts w:ascii="Arial" w:cs="Arial" w:eastAsia="Arial" w:hAnsi="Arial"/>
                <w:b/>
                <w:bCs/>
                <w:color w:val="1E1E1E"/>
                <w:sz w:val="18"/>
                <w:szCs w:val="18"/>
              </w:rPr>
              <w:t xml:space="preserve">The Odin Project</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90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90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90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5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3 hrs</w:t>
            </w:r>
          </w:p>
        </w:tc>
      </w:tr>
      <w:tr>
        <w:tc>
          <w:tcPr>
            <w:tcW w:type="dxa" w:w="2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left"/>
            </w:pPr>
            <w:r>
              <w:rPr>
                <w:rFonts w:ascii="Arial" w:cs="Arial" w:eastAsia="Arial" w:hAnsi="Arial"/>
                <w:b/>
                <w:bCs/>
                <w:color w:val="1E1E1E"/>
                <w:sz w:val="18"/>
                <w:szCs w:val="18"/>
              </w:rPr>
              <w:t xml:space="preserve">Community contribution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20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20 min</w:t>
            </w:r>
          </w:p>
        </w:tc>
        <w:tc>
          <w:tcPr>
            <w:tcW w:type="dxa" w:w="15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r>
      <w:tr>
        <w:tc>
          <w:tcPr>
            <w:tcW w:type="dxa" w:w="2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left"/>
            </w:pPr>
            <w:r>
              <w:rPr>
                <w:rFonts w:ascii="Arial" w:cs="Arial" w:eastAsia="Arial" w:hAnsi="Arial"/>
                <w:b/>
                <w:bCs/>
                <w:color w:val="1E1E1E"/>
                <w:sz w:val="18"/>
                <w:szCs w:val="18"/>
              </w:rPr>
              <w:t xml:space="preserve">Design partner work</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Prep</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Session/call</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Notes</w:t>
            </w:r>
          </w:p>
        </w:tc>
        <w:tc>
          <w:tcPr>
            <w:tcW w:type="dxa" w:w="15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r>
      <w:tr>
        <w:tc>
          <w:tcPr>
            <w:tcW w:type="dxa" w:w="2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left"/>
            </w:pPr>
            <w:r>
              <w:rPr>
                <w:rFonts w:ascii="Arial" w:cs="Arial" w:eastAsia="Arial" w:hAnsi="Arial"/>
                <w:b/>
                <w:bCs/>
                <w:color w:val="1E1E1E"/>
                <w:sz w:val="18"/>
                <w:szCs w:val="18"/>
              </w:rPr>
              <w:t xml:space="preserve">Prototype notes</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30 min</w:t>
            </w:r>
          </w:p>
        </w:tc>
        <w:tc>
          <w:tcPr>
            <w:tcW w:type="dxa" w:w="15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r>
    </w:tbl>
    <w:p>
      <w:pPr>
        <w:pageBreakBefore/>
      </w:pPr>
    </w:p>
    <w:p>
      <w:pPr>
        <w:pStyle w:val="Heading1"/>
        <w:spacing w:before="320" w:after="120"/>
      </w:pPr>
      <w:r>
        <w:rPr>
          <w:rFonts w:ascii="Arial" w:cs="Arial" w:eastAsia="Arial" w:hAnsi="Arial"/>
          <w:b/>
          <w:bCs/>
          <w:color w:val="C4733A"/>
          <w:sz w:val="32"/>
          <w:szCs w:val="32"/>
        </w:rPr>
        <w:t xml:space="preserve">Phase 3 — Validate  (Months 5–7)</w:t>
      </w:r>
    </w:p>
    <w:p>
      <w:pPr>
        <w:spacing w:before="60" w:after="120"/>
        <w:jc w:val="left"/>
      </w:pPr>
      <w:r>
        <w:rPr>
          <w:rFonts w:ascii="Arial" w:cs="Arial" w:eastAsia="Arial" w:hAnsi="Arial"/>
          <w:b/>
          <w:bCs/>
          <w:i w:val="false"/>
          <w:iCs w:val="false"/>
          <w:color w:val="1E1E1E"/>
          <w:sz w:val="22"/>
          <w:szCs w:val="22"/>
        </w:rPr>
        <w:t xml:space="preserve">Goal: </w:t>
      </w:r>
      <w:r>
        <w:rPr>
          <w:rFonts w:ascii="Arial" w:cs="Arial" w:eastAsia="Arial" w:hAnsi="Arial"/>
          <w:b w:val="false"/>
          <w:bCs w:val="false"/>
          <w:i w:val="false"/>
          <w:iCs w:val="false"/>
          <w:color w:val="1E1E1E"/>
          <w:sz w:val="22"/>
          <w:szCs w:val="22"/>
        </w:rPr>
        <w:t xml:space="preserve">Prove the output changes decisions, using low-cost methods that don’t require running expensive real studies.</w:t>
      </w:r>
    </w:p>
    <w:p>
      <w:pPr>
        <w:spacing w:before="0" w:after="100"/>
        <w:jc w:val="left"/>
      </w:pPr>
      <w:r>
        <w:rPr>
          <w:rFonts w:ascii="Arial" w:cs="Arial" w:eastAsia="Arial" w:hAnsi="Arial"/>
          <w:b w:val="false"/>
          <w:bCs w:val="false"/>
          <w:i/>
          <w:iCs/>
          <w:color w:val="6B5E5A"/>
          <w:sz w:val="22"/>
          <w:szCs w:val="22"/>
        </w:rPr>
        <w:t xml:space="preserve">This phase replaces the Wizard-of-Oz approach from the original plan. Two problems with that approach: (1) running a rigorous MaxDiff study costs $2–3K in panel fees, which defeats the purpose of validating a cost-reduction product; (2) your existing contacts are enterprise-scale, where the pain is less acute and the workflow is different.</w:t>
      </w:r>
    </w:p>
    <w:p>
      <w:pPr>
        <w:spacing w:before="0" w:after="160"/>
        <w:jc w:val="left"/>
      </w:pPr>
      <w:r>
        <w:rPr>
          <w:rFonts w:ascii="Arial" w:cs="Arial" w:eastAsia="Arial" w:hAnsi="Arial"/>
          <w:b w:val="false"/>
          <w:bCs w:val="false"/>
          <w:i/>
          <w:iCs/>
          <w:color w:val="6B5E5A"/>
          <w:sz w:val="22"/>
          <w:szCs w:val="22"/>
        </w:rPr>
        <w:t xml:space="preserve">The three methods below achieve the same validation goal — proving that the output is decision-relevant and that PMs would pay for it — without those costs.</w:t>
      </w:r>
    </w:p>
    <w:p>
      <w:pPr>
        <w:spacing w:before="160" w:after="60"/>
      </w:pPr>
      <w:r>
        <w:rPr>
          <w:rFonts w:ascii="Arial" w:cs="Arial" w:eastAsia="Arial" w:hAnsi="Arial"/>
          <w:b/>
          <w:bCs/>
          <w:color w:val="1E1E1E"/>
          <w:sz w:val="22"/>
          <w:szCs w:val="22"/>
        </w:rPr>
        <w:t xml:space="preserve">Method 1 — Output-only validation</w:t>
      </w:r>
    </w:p>
    <w:p>
      <w:pPr>
        <w:spacing w:before="40" w:after="80"/>
        <w:jc w:val="left"/>
      </w:pPr>
      <w:r>
        <w:rPr>
          <w:rFonts w:ascii="Arial" w:cs="Arial" w:eastAsia="Arial" w:hAnsi="Arial"/>
          <w:b w:val="false"/>
          <w:bCs w:val="false"/>
          <w:i w:val="false"/>
          <w:iCs w:val="false"/>
          <w:color w:val="1E1E1E"/>
          <w:sz w:val="22"/>
          <w:szCs w:val="22"/>
        </w:rPr>
        <w:t xml:space="preserve">Build 2–3 realistic synthetic study outputs using the Temper prototype (results screen + feature map). These should look like a completed study on a recognisable SaaS product category. Recruit 10–15 PMs through communities for a 20-minute session framed as: “I have a mock MaxDiff results report — I’d love your reaction to whether this is useful for a real decision.”</w:t>
      </w:r>
    </w:p>
    <w:p>
      <w:pPr>
        <w:spacing w:before="0" w:after="120"/>
        <w:jc w:val="left"/>
      </w:pPr>
      <w:r>
        <w:rPr>
          <w:rFonts w:ascii="Arial" w:cs="Arial" w:eastAsia="Arial" w:hAnsi="Arial"/>
          <w:b w:val="false"/>
          <w:bCs w:val="false"/>
          <w:i/>
          <w:iCs/>
          <w:color w:val="6B5E5A"/>
          <w:sz w:val="22"/>
          <w:szCs w:val="22"/>
        </w:rPr>
        <w:t xml:space="preserve">What you’re testing: whether the output format is legible, whether the recommendation maps to how they actually make roadmap calls, and whether their instinct is “I would have used this last week” or “I don’t know what I’d do with this.” Zero panel cost. The prototype does the work.</w:t>
      </w:r>
    </w:p>
    <w:p>
      <w:pPr>
        <w:spacing w:before="160" w:after="60"/>
      </w:pPr>
      <w:r>
        <w:rPr>
          <w:rFonts w:ascii="Arial" w:cs="Arial" w:eastAsia="Arial" w:hAnsi="Arial"/>
          <w:b/>
          <w:bCs/>
          <w:color w:val="1E1E1E"/>
          <w:sz w:val="22"/>
          <w:szCs w:val="22"/>
        </w:rPr>
        <w:t xml:space="preserve">Method 2 — Internal stakeholder studies</w:t>
      </w:r>
    </w:p>
    <w:p>
      <w:pPr>
        <w:spacing w:before="40" w:after="80"/>
        <w:jc w:val="left"/>
      </w:pPr>
      <w:r>
        <w:rPr>
          <w:rFonts w:ascii="Arial" w:cs="Arial" w:eastAsia="Arial" w:hAnsi="Arial"/>
          <w:b w:val="false"/>
          <w:bCs w:val="false"/>
          <w:i w:val="false"/>
          <w:iCs w:val="false"/>
          <w:color w:val="1E1E1E"/>
          <w:sz w:val="22"/>
          <w:szCs w:val="22"/>
        </w:rPr>
        <w:t xml:space="preserve">The expensive part of a real MaxDiff study is the external panel. A study using a PM’s internal team — 6–12 colleagues, stakeholders, or founders — as respondents costs nothing in panel fees. You build the survey in Google Forms or a free Qualtrics tier, collect responses, analyze manually in a spreadsheet, and present results using the Temper prototype as the report layer.</w:t>
      </w:r>
    </w:p>
    <w:p>
      <w:pPr>
        <w:spacing w:before="0" w:after="120"/>
        <w:jc w:val="left"/>
      </w:pPr>
      <w:r>
        <w:rPr>
          <w:rFonts w:ascii="Arial" w:cs="Arial" w:eastAsia="Arial" w:hAnsi="Arial"/>
          <w:b w:val="false"/>
          <w:bCs w:val="false"/>
          <w:i/>
          <w:iCs/>
          <w:color w:val="6B5E5A"/>
          <w:sz w:val="22"/>
          <w:szCs w:val="22"/>
        </w:rPr>
        <w:t xml:space="preserve">This tests a real workflow: does running the process produce something a PM would bring to a roadmap conversation? It also validates an underexplored positioning for Temper — internal alignment as a primary use case, not just customer research. If PMs find internal consensus harder than external insight, that’s worth knowing now.</w:t>
      </w:r>
    </w:p>
    <w:p>
      <w:pPr>
        <w:spacing w:before="160" w:after="60"/>
      </w:pPr>
      <w:r>
        <w:rPr>
          <w:rFonts w:ascii="Arial" w:cs="Arial" w:eastAsia="Arial" w:hAnsi="Arial"/>
          <w:b/>
          <w:bCs/>
          <w:color w:val="1E1E1E"/>
          <w:sz w:val="22"/>
          <w:szCs w:val="22"/>
        </w:rPr>
        <w:t xml:space="preserve">Method 3 — Pricing signal through community</w:t>
      </w:r>
    </w:p>
    <w:p>
      <w:pPr>
        <w:spacing w:before="40" w:after="80"/>
        <w:jc w:val="left"/>
      </w:pPr>
      <w:r>
        <w:rPr>
          <w:rFonts w:ascii="Arial" w:cs="Arial" w:eastAsia="Arial" w:hAnsi="Arial"/>
          <w:b w:val="false"/>
          <w:bCs w:val="false"/>
          <w:i w:val="false"/>
          <w:iCs w:val="false"/>
          <w:color w:val="1E1E1E"/>
          <w:sz w:val="22"/>
          <w:szCs w:val="22"/>
        </w:rPr>
        <w:t xml:space="preserve">After establishing a presence in PM communities, write a short post describing the problem Temper solves: “How do you currently decide which features to prioritize when everyone has an opinion?” followed by a sketch of the solution. End with: “I’m building something in this space. If this resonates, I’d love to show you.”</w:t>
      </w:r>
    </w:p>
    <w:p>
      <w:pPr>
        <w:spacing w:before="0" w:after="120"/>
        <w:jc w:val="left"/>
      </w:pPr>
      <w:r>
        <w:rPr>
          <w:rFonts w:ascii="Arial" w:cs="Arial" w:eastAsia="Arial" w:hAnsi="Arial"/>
          <w:b w:val="false"/>
          <w:bCs w:val="false"/>
          <w:i/>
          <w:iCs/>
          <w:color w:val="6B5E5A"/>
          <w:sz w:val="22"/>
          <w:szCs w:val="22"/>
        </w:rPr>
        <w:t xml:space="preserve">When people respond, ask in the DM what they currently spend on research tooling or research ops. You’re not pitching — you’re establishing a baseline for willingness to pay before you name a price. This is the closest you can get to pricing signal without a product.</w:t>
      </w:r>
    </w:p>
    <w:p>
      <w:pPr>
        <w:spacing w:before="160" w:after="60"/>
      </w:pPr>
      <w:r>
        <w:rPr>
          <w:rFonts w:ascii="Arial" w:cs="Arial" w:eastAsia="Arial" w:hAnsi="Arial"/>
          <w:b/>
          <w:bCs/>
          <w:color w:val="1E1E1E"/>
          <w:sz w:val="22"/>
          <w:szCs w:val="22"/>
        </w:rPr>
        <w:t xml:space="preserve">Activities by bucket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c>
          <w:tcPr>
            <w:tcW w:type="dxa" w:w="240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540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156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Hrs/Wk</w:t>
            </w:r>
          </w:p>
        </w:tc>
      </w:tr>
      <w:tr>
        <w:tc>
          <w:tcPr>
            <w:tcW w:type="dxa" w:w="2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b/>
                <w:bCs/>
                <w:color w:val="1E1E1E"/>
                <w:sz w:val="20"/>
                <w:szCs w:val="20"/>
              </w:rPr>
              <w:t xml:space="preserve">Output validation sessions</w:t>
            </w:r>
          </w:p>
        </w:tc>
        <w:tc>
          <w:tcPr>
            <w:tcW w:type="dxa" w:w="5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color w:val="1E1E1E"/>
                <w:sz w:val="20"/>
                <w:szCs w:val="20"/>
              </w:rPr>
              <w:t xml:space="preserve">10–15 sessions showing synthetic study outputs to PMs. 20 minutes each. Document every reaction, especially confusion and excitement.</w:t>
            </w:r>
          </w:p>
        </w:tc>
        <w:tc>
          <w:tcPr>
            <w:tcW w:type="dxa" w:w="156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4</w:t>
            </w:r>
          </w:p>
        </w:tc>
      </w:tr>
      <w:tr>
        <w:tc>
          <w:tcPr>
            <w:tcW w:type="dxa" w:w="2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b/>
                <w:bCs/>
                <w:color w:val="1E1E1E"/>
                <w:sz w:val="20"/>
                <w:szCs w:val="20"/>
              </w:rPr>
              <w:t xml:space="preserve">Internal stakeholder study</w:t>
            </w:r>
          </w:p>
        </w:tc>
        <w:tc>
          <w:tcPr>
            <w:tcW w:type="dxa" w:w="5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color w:val="1E1E1E"/>
                <w:sz w:val="20"/>
                <w:szCs w:val="20"/>
              </w:rPr>
              <w:t xml:space="preserve">Run 1–2 studies with a willing design partner using their internal team as respondents. Manual analysis is fine — you’re testing value, not scalability.</w:t>
            </w:r>
          </w:p>
        </w:tc>
        <w:tc>
          <w:tcPr>
            <w:tcW w:type="dxa" w:w="156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4</w:t>
            </w:r>
          </w:p>
        </w:tc>
      </w:tr>
      <w:tr>
        <w:tc>
          <w:tcPr>
            <w:tcW w:type="dxa" w:w="2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b/>
                <w:bCs/>
                <w:color w:val="1E1E1E"/>
                <w:sz w:val="20"/>
                <w:szCs w:val="20"/>
              </w:rPr>
              <w:t xml:space="preserve">Community pricing conversations</w:t>
            </w:r>
          </w:p>
        </w:tc>
        <w:tc>
          <w:tcPr>
            <w:tcW w:type="dxa" w:w="5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color w:val="1E1E1E"/>
                <w:sz w:val="20"/>
                <w:szCs w:val="20"/>
              </w:rPr>
              <w:t xml:space="preserve">Contribute, invite DMs, then explore pricing context in 1:1 conversations. No pitch — just calibration.</w:t>
            </w:r>
          </w:p>
        </w:tc>
        <w:tc>
          <w:tcPr>
            <w:tcW w:type="dxa" w:w="156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2</w:t>
            </w:r>
          </w:p>
        </w:tc>
      </w:tr>
      <w:tr>
        <w:tc>
          <w:tcPr>
            <w:tcW w:type="dxa" w:w="2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b/>
                <w:bCs/>
                <w:color w:val="1E1E1E"/>
                <w:sz w:val="20"/>
                <w:szCs w:val="20"/>
              </w:rPr>
              <w:t xml:space="preserve">The Odin Project</w:t>
            </w:r>
          </w:p>
        </w:tc>
        <w:tc>
          <w:tcPr>
            <w:tcW w:type="dxa" w:w="5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color w:val="1E1E1E"/>
                <w:sz w:val="20"/>
                <w:szCs w:val="20"/>
              </w:rPr>
              <w:t xml:space="preserve">Advanced JavaScript and early React. This is what you’ll need in Phase 4.</w:t>
            </w:r>
          </w:p>
        </w:tc>
        <w:tc>
          <w:tcPr>
            <w:tcW w:type="dxa" w:w="156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5</w:t>
            </w:r>
          </w:p>
        </w:tc>
      </w:tr>
    </w:tbl>
    <w:p>
      <w:pPr>
        <w:spacing w:before="160" w:after="60"/>
      </w:pPr>
      <w:r>
        <w:rPr>
          <w:rFonts w:ascii="Arial" w:cs="Arial" w:eastAsia="Arial" w:hAnsi="Arial"/>
          <w:b/>
          <w:bCs/>
          <w:color w:val="1E1E1E"/>
          <w:sz w:val="22"/>
          <w:szCs w:val="22"/>
        </w:rPr>
        <w:t xml:space="preserve">Weekly schedule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560"/>
      </w:tblGrid>
      <w:tr>
        <w:tc>
          <w:tcPr>
            <w:tcW w:type="dxa" w:w="22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Activity</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Mon</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Tue</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Wed</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Thu</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Fri</w:t>
            </w:r>
          </w:p>
        </w:tc>
        <w:tc>
          <w:tcPr>
            <w:tcW w:type="dxa" w:w="156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Sat/Sun</w:t>
            </w:r>
          </w:p>
        </w:tc>
      </w:tr>
      <w:tr>
        <w:tc>
          <w:tcPr>
            <w:tcW w:type="dxa" w:w="2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left"/>
            </w:pPr>
            <w:r>
              <w:rPr>
                <w:rFonts w:ascii="Arial" w:cs="Arial" w:eastAsia="Arial" w:hAnsi="Arial"/>
                <w:b/>
                <w:bCs/>
                <w:color w:val="1E1E1E"/>
                <w:sz w:val="18"/>
                <w:szCs w:val="18"/>
              </w:rPr>
              <w:t xml:space="preserve">The Odin Project</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90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90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5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2 hrs</w:t>
            </w:r>
          </w:p>
        </w:tc>
      </w:tr>
      <w:tr>
        <w:tc>
          <w:tcPr>
            <w:tcW w:type="dxa" w:w="2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left"/>
            </w:pPr>
            <w:r>
              <w:rPr>
                <w:rFonts w:ascii="Arial" w:cs="Arial" w:eastAsia="Arial" w:hAnsi="Arial"/>
                <w:b/>
                <w:bCs/>
                <w:color w:val="1E1E1E"/>
                <w:sz w:val="18"/>
                <w:szCs w:val="18"/>
              </w:rPr>
              <w:t xml:space="preserve">Output validation session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Prep</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Session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Notes</w:t>
            </w:r>
          </w:p>
        </w:tc>
        <w:tc>
          <w:tcPr>
            <w:tcW w:type="dxa" w:w="15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r>
      <w:tr>
        <w:tc>
          <w:tcPr>
            <w:tcW w:type="dxa" w:w="2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left"/>
            </w:pPr>
            <w:r>
              <w:rPr>
                <w:rFonts w:ascii="Arial" w:cs="Arial" w:eastAsia="Arial" w:hAnsi="Arial"/>
                <w:b/>
                <w:bCs/>
                <w:color w:val="1E1E1E"/>
                <w:sz w:val="18"/>
                <w:szCs w:val="18"/>
              </w:rPr>
              <w:t xml:space="preserve">Internal study work</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1 hr</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1 hr</w:t>
            </w:r>
          </w:p>
        </w:tc>
        <w:tc>
          <w:tcPr>
            <w:tcW w:type="dxa" w:w="15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2 hrs</w:t>
            </w:r>
          </w:p>
        </w:tc>
      </w:tr>
      <w:tr>
        <w:tc>
          <w:tcPr>
            <w:tcW w:type="dxa" w:w="2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left"/>
            </w:pPr>
            <w:r>
              <w:rPr>
                <w:rFonts w:ascii="Arial" w:cs="Arial" w:eastAsia="Arial" w:hAnsi="Arial"/>
                <w:b/>
                <w:bCs/>
                <w:color w:val="1E1E1E"/>
                <w:sz w:val="18"/>
                <w:szCs w:val="18"/>
              </w:rPr>
              <w:t xml:space="preserve">Community + pricing</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20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20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20 min</w:t>
            </w:r>
          </w:p>
        </w:tc>
        <w:tc>
          <w:tcPr>
            <w:tcW w:type="dxa" w:w="15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r>
    </w:tbl>
    <w:p>
      <w:pPr>
        <w:pageBreakBefore/>
      </w:pPr>
    </w:p>
    <w:p>
      <w:pPr>
        <w:pStyle w:val="Heading1"/>
        <w:spacing w:before="320" w:after="120"/>
      </w:pPr>
      <w:r>
        <w:rPr>
          <w:rFonts w:ascii="Arial" w:cs="Arial" w:eastAsia="Arial" w:hAnsi="Arial"/>
          <w:b/>
          <w:bCs/>
          <w:color w:val="C4733A"/>
          <w:sz w:val="32"/>
          <w:szCs w:val="32"/>
        </w:rPr>
        <w:t xml:space="preserve">Viability Checkpoint  (End of Month 6–7)</w:t>
      </w:r>
    </w:p>
    <w:p>
      <w:pPr>
        <w:spacing w:before="60" w:after="160"/>
        <w:jc w:val="left"/>
      </w:pPr>
      <w:r>
        <w:rPr>
          <w:rFonts w:ascii="Arial" w:cs="Arial" w:eastAsia="Arial" w:hAnsi="Arial"/>
          <w:b w:val="false"/>
          <w:bCs w:val="false"/>
          <w:i w:val="false"/>
          <w:iCs w:val="false"/>
          <w:color w:val="1E1E1E"/>
          <w:sz w:val="22"/>
          <w:szCs w:val="22"/>
        </w:rPr>
        <w:t xml:space="preserve">This checkpoint is intentionally between phases 3 and 4. You don’t need to hit it at exactly month 6 — if your Phase 3 work is running a month behind, do more sessions before evaluating. The goal is a genuine signal read, not a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D1FAE5" w:val="clear"/>
            <w:tcMar>
              <w:top w:type="dxa" w:w="140"/>
              <w:left w:type="dxa" w:w="200"/>
              <w:bottom w:type="dxa" w:w="140"/>
              <w:right w:type="dxa" w:w="200"/>
            </w:tcMar>
          </w:tcPr>
          <w:p>
            <w:pPr>
              <w:spacing w:after="80"/>
            </w:pPr>
            <w:r>
              <w:rPr>
                <w:rFonts w:ascii="Arial" w:cs="Arial" w:eastAsia="Arial" w:hAnsi="Arial"/>
                <w:b/>
                <w:bCs/>
                <w:color w:val="1E1E1E"/>
                <w:sz w:val="22"/>
                <w:szCs w:val="22"/>
              </w:rPr>
              <w:t xml:space="preserve">Continue into Phase 4 if you can honestly say:</w:t>
            </w:r>
          </w:p>
          <w:p>
            <w:pPr>
              <w:pStyle w:val="ListParagraph"/>
              <w:numPr>
                <w:ilvl w:val="0"/>
                <w:numId w:val="2"/>
              </w:numPr>
              <w:spacing w:after="40"/>
            </w:pPr>
            <w:r>
              <w:rPr>
                <w:rFonts w:ascii="Arial" w:cs="Arial" w:eastAsia="Arial" w:hAnsi="Arial"/>
                <w:color w:val="1E1E1E"/>
                <w:sz w:val="20"/>
                <w:szCs w:val="20"/>
              </w:rPr>
              <w:t xml:space="preserve">Talked to 20+ PMs about how they prioritize backlogs</w:t>
            </w:r>
          </w:p>
          <w:p>
            <w:pPr>
              <w:pStyle w:val="ListParagraph"/>
              <w:numPr>
                <w:ilvl w:val="0"/>
                <w:numId w:val="2"/>
              </w:numPr>
              <w:spacing w:after="40"/>
            </w:pPr>
            <w:r>
              <w:rPr>
                <w:rFonts w:ascii="Arial" w:cs="Arial" w:eastAsia="Arial" w:hAnsi="Arial"/>
                <w:color w:val="1E1E1E"/>
                <w:sz w:val="20"/>
                <w:szCs w:val="20"/>
              </w:rPr>
              <w:t xml:space="preserve">At least 5 described the core pain unprompted: “I never really know what customers actually value most”</w:t>
            </w:r>
          </w:p>
          <w:p>
            <w:pPr>
              <w:pStyle w:val="ListParagraph"/>
              <w:numPr>
                <w:ilvl w:val="0"/>
                <w:numId w:val="2"/>
              </w:numPr>
              <w:spacing w:after="40"/>
            </w:pPr>
            <w:r>
              <w:rPr>
                <w:rFonts w:ascii="Arial" w:cs="Arial" w:eastAsia="Arial" w:hAnsi="Arial"/>
                <w:color w:val="1E1E1E"/>
                <w:sz w:val="20"/>
                <w:szCs w:val="20"/>
              </w:rPr>
              <w:t xml:space="preserve">Output validation sessions produced “I would have used this” reactions more often than confusion</w:t>
            </w:r>
          </w:p>
          <w:p>
            <w:pPr>
              <w:pStyle w:val="ListParagraph"/>
              <w:numPr>
                <w:ilvl w:val="0"/>
                <w:numId w:val="2"/>
              </w:numPr>
              <w:spacing w:after="40"/>
            </w:pPr>
            <w:r>
              <w:rPr>
                <w:rFonts w:ascii="Arial" w:cs="Arial" w:eastAsia="Arial" w:hAnsi="Arial"/>
                <w:color w:val="1E1E1E"/>
                <w:sz w:val="20"/>
                <w:szCs w:val="20"/>
              </w:rPr>
              <w:t xml:space="preserve">At least one internal stakeholder study produced a result the PM said they’d act on</w:t>
            </w:r>
          </w:p>
          <w:p>
            <w:pPr>
              <w:pStyle w:val="ListParagraph"/>
              <w:numPr>
                <w:ilvl w:val="0"/>
                <w:numId w:val="2"/>
              </w:numPr>
              <w:spacing w:after="40"/>
            </w:pPr>
            <w:r>
              <w:rPr>
                <w:rFonts w:ascii="Arial" w:cs="Arial" w:eastAsia="Arial" w:hAnsi="Arial"/>
                <w:color w:val="1E1E1E"/>
                <w:sz w:val="20"/>
                <w:szCs w:val="20"/>
              </w:rPr>
              <w:t xml:space="preserve">Community conversations suggest PMs spend $50–200/month on adjacent tools (willingness to pay proxy)</w:t>
            </w:r>
          </w:p>
          <w:p>
            <w:pPr>
              <w:pStyle w:val="ListParagraph"/>
              <w:numPr>
                <w:ilvl w:val="0"/>
                <w:numId w:val="2"/>
              </w:numPr>
              <w:spacing w:after="40"/>
            </w:pPr>
            <w:r>
              <w:rPr>
                <w:rFonts w:ascii="Arial" w:cs="Arial" w:eastAsia="Arial" w:hAnsi="Arial"/>
                <w:color w:val="1E1E1E"/>
                <w:sz w:val="20"/>
                <w:szCs w:val="20"/>
              </w:rPr>
              <w:t xml:space="preserve">You still find the problem genuinely interesting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EF3C7" w:val="clear"/>
            <w:tcMar>
              <w:top w:type="dxa" w:w="140"/>
              <w:left w:type="dxa" w:w="200"/>
              <w:bottom w:type="dxa" w:w="140"/>
              <w:right w:type="dxa" w:w="200"/>
            </w:tcMar>
          </w:tcPr>
          <w:p>
            <w:pPr>
              <w:spacing w:after="80"/>
            </w:pPr>
            <w:r>
              <w:rPr>
                <w:rFonts w:ascii="Arial" w:cs="Arial" w:eastAsia="Arial" w:hAnsi="Arial"/>
                <w:b/>
                <w:bCs/>
                <w:color w:val="1E1E1E"/>
                <w:sz w:val="22"/>
                <w:szCs w:val="22"/>
              </w:rPr>
              <w:t xml:space="preserve">Do more discovery before building if:</w:t>
            </w:r>
          </w:p>
          <w:p>
            <w:pPr>
              <w:pStyle w:val="ListParagraph"/>
              <w:numPr>
                <w:ilvl w:val="0"/>
                <w:numId w:val="2"/>
              </w:numPr>
              <w:spacing w:after="40"/>
            </w:pPr>
            <w:r>
              <w:rPr>
                <w:rFonts w:ascii="Arial" w:cs="Arial" w:eastAsia="Arial" w:hAnsi="Arial"/>
                <w:color w:val="1E1E1E"/>
                <w:sz w:val="20"/>
                <w:szCs w:val="20"/>
              </w:rPr>
              <w:t xml:space="preserve">Fewer than 12 output validation sessions completed — the data isn’t there yet</w:t>
            </w:r>
          </w:p>
          <w:p>
            <w:pPr>
              <w:pStyle w:val="ListParagraph"/>
              <w:numPr>
                <w:ilvl w:val="0"/>
                <w:numId w:val="2"/>
              </w:numPr>
              <w:spacing w:after="40"/>
            </w:pPr>
            <w:r>
              <w:rPr>
                <w:rFonts w:ascii="Arial" w:cs="Arial" w:eastAsia="Arial" w:hAnsi="Arial"/>
                <w:color w:val="1E1E1E"/>
                <w:sz w:val="20"/>
                <w:szCs w:val="20"/>
              </w:rPr>
              <w:t xml:space="preserve">Reactions to outputs were politely positive but vague — no one said they’d change a decision</w:t>
            </w:r>
          </w:p>
          <w:p>
            <w:pPr>
              <w:pStyle w:val="ListParagraph"/>
              <w:numPr>
                <w:ilvl w:val="0"/>
                <w:numId w:val="2"/>
              </w:numPr>
              <w:spacing w:after="40"/>
            </w:pPr>
            <w:r>
              <w:rPr>
                <w:rFonts w:ascii="Arial" w:cs="Arial" w:eastAsia="Arial" w:hAnsi="Arial"/>
                <w:color w:val="1E1E1E"/>
                <w:sz w:val="20"/>
                <w:szCs w:val="20"/>
              </w:rPr>
              <w:t xml:space="preserve">You can’t yet name a specific type of PM and a specific workflow this fits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E2E2" w:val="clear"/>
            <w:tcMar>
              <w:top w:type="dxa" w:w="140"/>
              <w:left w:type="dxa" w:w="200"/>
              <w:bottom w:type="dxa" w:w="140"/>
              <w:right w:type="dxa" w:w="200"/>
            </w:tcMar>
          </w:tcPr>
          <w:p>
            <w:pPr>
              <w:spacing w:after="80"/>
            </w:pPr>
            <w:r>
              <w:rPr>
                <w:rFonts w:ascii="Arial" w:cs="Arial" w:eastAsia="Arial" w:hAnsi="Arial"/>
                <w:b/>
                <w:bCs/>
                <w:color w:val="1E1E1E"/>
                <w:sz w:val="22"/>
                <w:szCs w:val="22"/>
              </w:rPr>
              <w:t xml:space="preserve">Reconsider the idea if:</w:t>
            </w:r>
          </w:p>
          <w:p>
            <w:pPr>
              <w:pStyle w:val="ListParagraph"/>
              <w:numPr>
                <w:ilvl w:val="0"/>
                <w:numId w:val="2"/>
              </w:numPr>
              <w:spacing w:after="40"/>
            </w:pPr>
            <w:r>
              <w:rPr>
                <w:rFonts w:ascii="Arial" w:cs="Arial" w:eastAsia="Arial" w:hAnsi="Arial"/>
                <w:color w:val="1E1E1E"/>
                <w:sz w:val="20"/>
                <w:szCs w:val="20"/>
              </w:rPr>
              <w:t xml:space="preserve">PMs say the problem is real but their current process (spreadsheet + gut) is good enough</w:t>
            </w:r>
          </w:p>
          <w:p>
            <w:pPr>
              <w:pStyle w:val="ListParagraph"/>
              <w:numPr>
                <w:ilvl w:val="0"/>
                <w:numId w:val="2"/>
              </w:numPr>
              <w:spacing w:after="40"/>
            </w:pPr>
            <w:r>
              <w:rPr>
                <w:rFonts w:ascii="Arial" w:cs="Arial" w:eastAsia="Arial" w:hAnsi="Arial"/>
                <w:color w:val="1E1E1E"/>
                <w:sz w:val="20"/>
                <w:szCs w:val="20"/>
              </w:rPr>
              <w:t xml:space="preserve">Every pricing conversation lands at zero — nobody thinks this is worth money</w:t>
            </w:r>
          </w:p>
          <w:p>
            <w:pPr>
              <w:pStyle w:val="ListParagraph"/>
              <w:numPr>
                <w:ilvl w:val="0"/>
                <w:numId w:val="2"/>
              </w:numPr>
              <w:spacing w:after="40"/>
            </w:pPr>
            <w:r>
              <w:rPr>
                <w:rFonts w:ascii="Arial" w:cs="Arial" w:eastAsia="Arial" w:hAnsi="Arial"/>
                <w:color w:val="1E1E1E"/>
                <w:sz w:val="20"/>
                <w:szCs w:val="20"/>
              </w:rPr>
              <w:t xml:space="preserve">You consistently can’t find PMs who feel the pain acutely enough to spend 20 minutes on it</w:t>
            </w:r>
          </w:p>
        </w:tc>
      </w:tr>
    </w:tbl>
    <w:p>
      <w:pPr>
        <w:pageBreakBefore/>
      </w:pPr>
    </w:p>
    <w:p>
      <w:pPr>
        <w:pStyle w:val="Heading1"/>
        <w:spacing w:before="320" w:after="120"/>
      </w:pPr>
      <w:r>
        <w:rPr>
          <w:rFonts w:ascii="Arial" w:cs="Arial" w:eastAsia="Arial" w:hAnsi="Arial"/>
          <w:b/>
          <w:bCs/>
          <w:color w:val="C4733A"/>
          <w:sz w:val="32"/>
          <w:szCs w:val="32"/>
        </w:rPr>
        <w:t xml:space="preserve">The Fork: Bootstrap or Funded?</w:t>
      </w:r>
    </w:p>
    <w:p>
      <w:pPr>
        <w:spacing w:before="60" w:after="160"/>
        <w:jc w:val="left"/>
      </w:pPr>
      <w:r>
        <w:rPr>
          <w:rFonts w:ascii="Arial" w:cs="Arial" w:eastAsia="Arial" w:hAnsi="Arial"/>
          <w:b w:val="false"/>
          <w:bCs w:val="false"/>
          <w:i w:val="false"/>
          <w:iCs w:val="false"/>
          <w:color w:val="1E1E1E"/>
          <w:sz w:val="22"/>
          <w:szCs w:val="22"/>
        </w:rPr>
        <w:t xml:space="preserve">Before starting Phase 4, decide which game you’re playing. The early phases are identical either way. From month 8 onward, they diverge significantly.</w:t>
      </w:r>
    </w:p>
    <w:p>
      <w:pPr>
        <w:spacing w:before="0" w:after="160"/>
        <w:jc w:val="left"/>
      </w:pPr>
      <w:r>
        <w:rPr>
          <w:rFonts w:ascii="Arial" w:cs="Arial" w:eastAsia="Arial" w:hAnsi="Arial"/>
          <w:b w:val="false"/>
          <w:bCs w:val="false"/>
          <w:i/>
          <w:iCs/>
          <w:color w:val="6B5E5A"/>
          <w:sz w:val="22"/>
          <w:szCs w:val="22"/>
        </w:rPr>
        <w:t xml:space="preserve">This isn’t a permanent decision — many bootstrapped founders raise later. But optimizing for both simultaneously is one of the most common ways early-stage companies get stuck.</w:t>
      </w:r>
    </w:p>
    <w:p>
      <w:pPr>
        <w:spacing w:before="160" w:after="60"/>
      </w:pPr>
      <w:r>
        <w:rPr>
          <w:rFonts w:ascii="Arial" w:cs="Arial" w:eastAsia="Arial" w:hAnsi="Arial"/>
          <w:b/>
          <w:bCs/>
          <w:color w:val="1E1E1E"/>
          <w:sz w:val="22"/>
          <w:szCs w:val="22"/>
        </w:rPr>
        <w:t xml:space="preserve">Path A — Bootstrap</w:t>
      </w:r>
    </w:p>
    <w:p>
      <w:pPr>
        <w:spacing w:before="40" w:after="80"/>
        <w:jc w:val="left"/>
      </w:pPr>
      <w:r>
        <w:rPr>
          <w:rFonts w:ascii="Arial" w:cs="Arial" w:eastAsia="Arial" w:hAnsi="Arial"/>
          <w:b w:val="false"/>
          <w:bCs w:val="false"/>
          <w:i w:val="false"/>
          <w:iCs w:val="false"/>
          <w:color w:val="1E1E1E"/>
          <w:sz w:val="22"/>
          <w:szCs w:val="22"/>
        </w:rPr>
        <w:t xml:space="preserve">The more natural fit for this product. Research tools for niche professional audiences are rarely venture-scale businesses, and that’s fine — a $300–500K/year SaaS business is a very good outcome and doesn’t require external capital to get there. You maintain full control, grow at a pace that doesn’t require hiring, and optimize for sustainability rather than speed.</w:t>
      </w:r>
    </w:p>
    <w:p>
      <w:pPr>
        <w:spacing w:before="0" w:after="120"/>
        <w:jc w:val="left"/>
      </w:pPr>
      <w:r>
        <w:rPr>
          <w:rFonts w:ascii="Arial" w:cs="Arial" w:eastAsia="Arial" w:hAnsi="Arial"/>
          <w:b w:val="false"/>
          <w:bCs w:val="false"/>
          <w:i w:val="false"/>
          <w:iCs w:val="false"/>
          <w:color w:val="1E1E1E"/>
          <w:sz w:val="22"/>
          <w:szCs w:val="22"/>
        </w:rPr>
        <w:t xml:space="preserve">The risk: slower growth means longer runway required before you can go full-time. The 18-month timeline in this plan assumes bootstrapping. Consider TinySeed or Calm Fund at $1–3K MRR if you want a small amount of capital without changing the fundamental approach.</w:t>
      </w:r>
    </w:p>
    <w:p>
      <w:pPr>
        <w:spacing w:before="160" w:after="60"/>
      </w:pPr>
      <w:r>
        <w:rPr>
          <w:rFonts w:ascii="Arial" w:cs="Arial" w:eastAsia="Arial" w:hAnsi="Arial"/>
          <w:b/>
          <w:bCs/>
          <w:color w:val="1E1E1E"/>
          <w:sz w:val="22"/>
          <w:szCs w:val="22"/>
        </w:rPr>
        <w:t xml:space="preserve">Path B — Raise pre-seed / accelerator</w:t>
      </w:r>
    </w:p>
    <w:p>
      <w:pPr>
        <w:spacing w:before="40" w:after="80"/>
        <w:jc w:val="left"/>
      </w:pPr>
      <w:r>
        <w:rPr>
          <w:rFonts w:ascii="Arial" w:cs="Arial" w:eastAsia="Arial" w:hAnsi="Arial"/>
          <w:b w:val="false"/>
          <w:bCs w:val="false"/>
          <w:i w:val="false"/>
          <w:iCs w:val="false"/>
          <w:color w:val="1E1E1E"/>
          <w:sz w:val="22"/>
          <w:szCs w:val="22"/>
        </w:rPr>
        <w:t xml:space="preserve">Realistic but requires more than you currently have. YCombinator invests pre-revenue and your founder-market fit (UX researcher building a research tool) is a strong signal. The gaps: you’re a solo founder still learning to code, which reads as execution risk. Investors want to see that the product can be built at speed.</w:t>
      </w:r>
    </w:p>
    <w:p>
      <w:pPr>
        <w:spacing w:before="0" w:after="80"/>
        <w:jc w:val="left"/>
      </w:pPr>
      <w:r>
        <w:rPr>
          <w:rFonts w:ascii="Arial" w:cs="Arial" w:eastAsia="Arial" w:hAnsi="Arial"/>
          <w:b w:val="false"/>
          <w:bCs w:val="false"/>
          <w:i w:val="false"/>
          <w:iCs w:val="false"/>
          <w:color w:val="1E1E1E"/>
          <w:sz w:val="22"/>
          <w:szCs w:val="22"/>
        </w:rPr>
        <w:t xml:space="preserve">If this path interests you, the right moment to pursue it is after Phase 3 — with design partner evidence, output validation data, and at least one signed letter of intent. That changes the conversation from “I have an idea” to “I have proof of demand.” Apply to YC for the batch that starts around month 10–12 on this timeline.</w:t>
      </w:r>
    </w:p>
    <w:p>
      <w:pPr>
        <w:spacing w:before="0" w:after="80"/>
        <w:jc w:val="left"/>
      </w:pPr>
      <w:r>
        <w:rPr>
          <w:rFonts w:ascii="Arial" w:cs="Arial" w:eastAsia="Arial" w:hAnsi="Arial"/>
          <w:b w:val="false"/>
          <w:bCs w:val="false"/>
          <w:i w:val="false"/>
          <w:iCs w:val="false"/>
          <w:color w:val="1E1E1E"/>
          <w:sz w:val="22"/>
          <w:szCs w:val="22"/>
        </w:rPr>
        <w:t xml:space="preserve">What it changes: you’d need to find a technical co-founder, dedicate 2–3 months to fundraising (during which you build and talk to customers less), and accept that investors will set expectations about growth pace. If accepted to YC, you’d likely leave your job immediately.</w:t>
      </w:r>
    </w:p>
    <w:p>
      <w:pPr>
        <w:spacing w:before="0" w:after="120"/>
        <w:jc w:val="left"/>
      </w:pPr>
      <w:r>
        <w:rPr>
          <w:rFonts w:ascii="Arial" w:cs="Arial" w:eastAsia="Arial" w:hAnsi="Arial"/>
          <w:b w:val="false"/>
          <w:bCs w:val="false"/>
          <w:i w:val="false"/>
          <w:iCs w:val="false"/>
          <w:color w:val="1E1E1E"/>
          <w:sz w:val="22"/>
          <w:szCs w:val="22"/>
        </w:rPr>
        <w:t xml:space="preserve">What it enables: quit your job earlier, hire a developer so your coding pace isn’t the bottleneck, run some real studies using investment capital to prove the panel cost reduction thesis.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4"/>
              <w:bottom w:val="single" w:color="3B82F6" w:sz="4"/>
              <w:right w:val="single" w:color="3B82F6" w:sz="4"/>
            </w:tcBorders>
            <w:shd w:fill="DBEAFE" w:val="clear"/>
            <w:tcMar>
              <w:top w:type="dxa" w:w="140"/>
              <w:left w:type="dxa" w:w="200"/>
              <w:bottom w:type="dxa" w:w="140"/>
              <w:right w:type="dxa" w:w="200"/>
            </w:tcMar>
          </w:tcPr>
          <w:p>
            <w:pPr>
              <w:spacing w:after="60"/>
            </w:pPr>
            <w:r>
              <w:rPr>
                <w:rFonts w:ascii="Arial" w:cs="Arial" w:eastAsia="Arial" w:hAnsi="Arial"/>
                <w:b/>
                <w:bCs/>
                <w:color w:val="1E1E1E"/>
                <w:sz w:val="22"/>
                <w:szCs w:val="22"/>
              </w:rPr>
              <w:t xml:space="preserve">The cleaner framing</w:t>
            </w:r>
          </w:p>
          <w:p>
            <w:pPr>
              <w:spacing w:after="0"/>
            </w:pPr>
            <w:r>
              <w:rPr>
                <w:rFonts w:ascii="Arial" w:cs="Arial" w:eastAsia="Arial" w:hAnsi="Arial"/>
                <w:i/>
                <w:iCs/>
                <w:color w:val="1E1E1E"/>
                <w:sz w:val="20"/>
                <w:szCs w:val="20"/>
              </w:rPr>
              <w:t xml:space="preserve">If your goal is a sustainable business you control that pays your salary — bootstrap. If your goal is to build the infrastructure layer for how product research gets done at scale across the market — raise. The early work is the same. The ambition level is what differs.</w:t>
            </w:r>
          </w:p>
        </w:tc>
      </w:tr>
    </w:tbl>
    <w:p>
      <w:pPr>
        <w:pageBreakBefore/>
      </w:pPr>
    </w:p>
    <w:p>
      <w:pPr>
        <w:pStyle w:val="Heading1"/>
        <w:spacing w:before="320" w:after="120"/>
      </w:pPr>
      <w:r>
        <w:rPr>
          <w:rFonts w:ascii="Arial" w:cs="Arial" w:eastAsia="Arial" w:hAnsi="Arial"/>
          <w:b/>
          <w:bCs/>
          <w:color w:val="C4733A"/>
          <w:sz w:val="32"/>
          <w:szCs w:val="32"/>
        </w:rPr>
        <w:t xml:space="preserve">Phase 4 — Build  (Months 8–10)</w:t>
      </w:r>
    </w:p>
    <w:p>
      <w:pPr>
        <w:spacing w:before="60" w:after="120"/>
        <w:jc w:val="left"/>
      </w:pPr>
      <w:r>
        <w:rPr>
          <w:rFonts w:ascii="Arial" w:cs="Arial" w:eastAsia="Arial" w:hAnsi="Arial"/>
          <w:b/>
          <w:bCs/>
          <w:i w:val="false"/>
          <w:iCs w:val="false"/>
          <w:color w:val="1E1E1E"/>
          <w:sz w:val="22"/>
          <w:szCs w:val="22"/>
        </w:rPr>
        <w:t xml:space="preserve">Goal: </w:t>
      </w:r>
      <w:r>
        <w:rPr>
          <w:rFonts w:ascii="Arial" w:cs="Arial" w:eastAsia="Arial" w:hAnsi="Arial"/>
          <w:b w:val="false"/>
          <w:bCs w:val="false"/>
          <w:i w:val="false"/>
          <w:iCs w:val="false"/>
          <w:color w:val="1E1E1E"/>
          <w:sz w:val="22"/>
          <w:szCs w:val="22"/>
        </w:rPr>
        <w:t xml:space="preserve">Build an MVP that runs a real MaxDiff study end-to-end without manual facilitation.</w:t>
      </w:r>
    </w:p>
    <w:p>
      <w:pPr>
        <w:spacing w:before="0" w:after="160"/>
        <w:jc w:val="left"/>
      </w:pPr>
      <w:r>
        <w:rPr>
          <w:rFonts w:ascii="Arial" w:cs="Arial" w:eastAsia="Arial" w:hAnsi="Arial"/>
          <w:b w:val="false"/>
          <w:bCs w:val="false"/>
          <w:i/>
          <w:iCs/>
          <w:color w:val="6B5E5A"/>
          <w:sz w:val="22"/>
          <w:szCs w:val="22"/>
        </w:rPr>
        <w:t xml:space="preserve">By this point you know enough JavaScript and React to start building something real, and building something real will accelerate your learning faster than continuing the curriculum. The core MVP is three things: a survey engine that generates and serves BIBD MaxDiff sets, a response collection mechanism, and a results dashboard. Everything else is secondary.</w:t>
      </w:r>
    </w:p>
    <w:p>
      <w:pPr>
        <w:spacing w:before="160" w:after="60"/>
      </w:pPr>
      <w:r>
        <w:rPr>
          <w:rFonts w:ascii="Arial" w:cs="Arial" w:eastAsia="Arial" w:hAnsi="Arial"/>
          <w:b/>
          <w:bCs/>
          <w:color w:val="1E1E1E"/>
          <w:sz w:val="22"/>
          <w:szCs w:val="22"/>
        </w:rPr>
        <w:t xml:space="preserve">Activities by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c>
          <w:tcPr>
            <w:tcW w:type="dxa" w:w="240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540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156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Hrs/Wk</w:t>
            </w:r>
          </w:p>
        </w:tc>
      </w:tr>
      <w:tr>
        <w:tc>
          <w:tcPr>
            <w:tcW w:type="dxa" w:w="2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b/>
                <w:bCs/>
                <w:color w:val="1E1E1E"/>
                <w:sz w:val="20"/>
                <w:szCs w:val="20"/>
              </w:rPr>
              <w:t xml:space="preserve">Building MVP</w:t>
            </w:r>
          </w:p>
        </w:tc>
        <w:tc>
          <w:tcPr>
            <w:tcW w:type="dxa" w:w="5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color w:val="1E1E1E"/>
                <w:sz w:val="20"/>
                <w:szCs w:val="20"/>
              </w:rPr>
              <w:t xml:space="preserve">Survey engine (MaxDiff BIBD + response collection), results dashboard, basic auth. React frontend + Node/Express + Supabase or SQLite. Ship something your design partners can actually use in month 8, even if rough.</w:t>
            </w:r>
          </w:p>
        </w:tc>
        <w:tc>
          <w:tcPr>
            <w:tcW w:type="dxa" w:w="156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10</w:t>
            </w:r>
          </w:p>
        </w:tc>
      </w:tr>
      <w:tr>
        <w:tc>
          <w:tcPr>
            <w:tcW w:type="dxa" w:w="2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b/>
                <w:bCs/>
                <w:color w:val="1E1E1E"/>
                <w:sz w:val="20"/>
                <w:szCs w:val="20"/>
              </w:rPr>
              <w:t xml:space="preserve">The Odin Project</w:t>
            </w:r>
          </w:p>
        </w:tc>
        <w:tc>
          <w:tcPr>
            <w:tcW w:type="dxa" w:w="5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color w:val="1E1E1E"/>
                <w:sz w:val="20"/>
                <w:szCs w:val="20"/>
              </w:rPr>
              <w:t xml:space="preserve">Wind down the structured curriculum and let real project work take over. Fill gaps (auth, databases, deployment) as you hit them in the build.</w:t>
            </w:r>
          </w:p>
        </w:tc>
        <w:tc>
          <w:tcPr>
            <w:tcW w:type="dxa" w:w="156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4</w:t>
            </w:r>
          </w:p>
        </w:tc>
      </w:tr>
      <w:tr>
        <w:tc>
          <w:tcPr>
            <w:tcW w:type="dxa" w:w="2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b/>
                <w:bCs/>
                <w:color w:val="1E1E1E"/>
                <w:sz w:val="20"/>
                <w:szCs w:val="20"/>
              </w:rPr>
              <w:t xml:space="preserve">Customer conversations</w:t>
            </w:r>
          </w:p>
        </w:tc>
        <w:tc>
          <w:tcPr>
            <w:tcW w:type="dxa" w:w="5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color w:val="1E1E1E"/>
                <w:sz w:val="20"/>
                <w:szCs w:val="20"/>
              </w:rPr>
              <w:t xml:space="preserve">Monthly 30-min check-in with each design partner. Show them what you’ve built. Document every friction point.</w:t>
            </w:r>
          </w:p>
        </w:tc>
        <w:tc>
          <w:tcPr>
            <w:tcW w:type="dxa" w:w="156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2</w:t>
            </w:r>
          </w:p>
        </w:tc>
      </w:tr>
      <w:tr>
        <w:tc>
          <w:tcPr>
            <w:tcW w:type="dxa" w:w="2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b/>
                <w:bCs/>
                <w:color w:val="1E1E1E"/>
                <w:sz w:val="20"/>
                <w:szCs w:val="20"/>
              </w:rPr>
              <w:t xml:space="preserve">Legal / admin (month 8 only)</w:t>
            </w:r>
          </w:p>
        </w:tc>
        <w:tc>
          <w:tcPr>
            <w:tcW w:type="dxa" w:w="5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color w:val="1E1E1E"/>
                <w:sz w:val="20"/>
                <w:szCs w:val="20"/>
              </w:rPr>
              <w:t xml:space="preserve">Read your employment contract carefully. If any clauses about IP or competing activities are ambiguous, a one-hour attorney consultation is worth the cost. Form an LLC before taking any money.</w:t>
            </w:r>
          </w:p>
        </w:tc>
        <w:tc>
          <w:tcPr>
            <w:tcW w:type="dxa" w:w="156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1</w:t>
            </w:r>
          </w:p>
        </w:tc>
      </w:tr>
    </w:tbl>
    <w:p>
      <w:pPr>
        <w:spacing w:before="160" w:after="60"/>
      </w:pPr>
      <w:r>
        <w:rPr>
          <w:rFonts w:ascii="Arial" w:cs="Arial" w:eastAsia="Arial" w:hAnsi="Arial"/>
          <w:b/>
          <w:bCs/>
          <w:color w:val="1E1E1E"/>
          <w:sz w:val="22"/>
          <w:szCs w:val="22"/>
        </w:rPr>
        <w:t xml:space="preserve">Weekly schedule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560"/>
      </w:tblGrid>
      <w:tr>
        <w:tc>
          <w:tcPr>
            <w:tcW w:type="dxa" w:w="22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Activity</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Mon</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Tue</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Wed</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Thu</w:t>
            </w:r>
          </w:p>
        </w:tc>
        <w:tc>
          <w:tcPr>
            <w:tcW w:type="dxa" w:w="110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Fri</w:t>
            </w:r>
          </w:p>
        </w:tc>
        <w:tc>
          <w:tcPr>
            <w:tcW w:type="dxa" w:w="1560"/>
            <w:tcBorders>
              <w:top w:val="single" w:color="E5DDD5" w:sz="1"/>
              <w:left w:val="single" w:color="E5DDD5" w:sz="1"/>
              <w:bottom w:val="single" w:color="E5DDD5" w:sz="1"/>
              <w:right w:val="single" w:color="E5DDD5" w:sz="1"/>
            </w:tcBorders>
            <w:shd w:fill="C4733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Sat/Sun</w:t>
            </w:r>
          </w:p>
        </w:tc>
      </w:tr>
      <w:tr>
        <w:tc>
          <w:tcPr>
            <w:tcW w:type="dxa" w:w="2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left"/>
            </w:pPr>
            <w:r>
              <w:rPr>
                <w:rFonts w:ascii="Arial" w:cs="Arial" w:eastAsia="Arial" w:hAnsi="Arial"/>
                <w:b/>
                <w:bCs/>
                <w:color w:val="1E1E1E"/>
                <w:sz w:val="18"/>
                <w:szCs w:val="18"/>
              </w:rPr>
              <w:t xml:space="preserve">Building MVP</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90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90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90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5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4–5 hrs</w:t>
            </w:r>
          </w:p>
        </w:tc>
      </w:tr>
      <w:tr>
        <w:tc>
          <w:tcPr>
            <w:tcW w:type="dxa" w:w="2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left"/>
            </w:pPr>
            <w:r>
              <w:rPr>
                <w:rFonts w:ascii="Arial" w:cs="Arial" w:eastAsia="Arial" w:hAnsi="Arial"/>
                <w:b/>
                <w:bCs/>
                <w:color w:val="1E1E1E"/>
                <w:sz w:val="18"/>
                <w:szCs w:val="18"/>
              </w:rPr>
              <w:t xml:space="preserve">The Odin Project</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90 min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1 hr</w:t>
            </w:r>
          </w:p>
        </w:tc>
        <w:tc>
          <w:tcPr>
            <w:tcW w:type="dxa" w:w="15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1 hr</w:t>
            </w:r>
          </w:p>
        </w:tc>
      </w:tr>
      <w:tr>
        <w:tc>
          <w:tcPr>
            <w:tcW w:type="dxa" w:w="2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left"/>
            </w:pPr>
            <w:r>
              <w:rPr>
                <w:rFonts w:ascii="Arial" w:cs="Arial" w:eastAsia="Arial" w:hAnsi="Arial"/>
                <w:b/>
                <w:bCs/>
                <w:color w:val="1E1E1E"/>
                <w:sz w:val="18"/>
                <w:szCs w:val="18"/>
              </w:rPr>
              <w:t xml:space="preserve">Partner check-in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bi-wkly</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5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r>
      <w:tr>
        <w:tc>
          <w:tcPr>
            <w:tcW w:type="dxa" w:w="2200"/>
            <w:tcBorders>
              <w:top w:val="single" w:color="E5DDD5" w:sz="1"/>
              <w:left w:val="single" w:color="E5DDD5" w:sz="1"/>
              <w:bottom w:val="single" w:color="E5DDD5" w:sz="1"/>
              <w:right w:val="single" w:color="E5DDD5" w:sz="1"/>
            </w:tcBorders>
            <w:shd w:fill="FAF7F4" w:val="clear"/>
            <w:tcMar>
              <w:top w:type="dxa" w:w="80"/>
              <w:left w:type="dxa" w:w="100"/>
              <w:bottom w:type="dxa" w:w="80"/>
              <w:right w:type="dxa" w:w="100"/>
            </w:tcMar>
          </w:tcPr>
          <w:p>
            <w:pPr>
              <w:jc w:val="left"/>
            </w:pPr>
            <w:r>
              <w:rPr>
                <w:rFonts w:ascii="Arial" w:cs="Arial" w:eastAsia="Arial" w:hAnsi="Arial"/>
                <w:b/>
                <w:bCs/>
                <w:color w:val="1E1E1E"/>
                <w:sz w:val="18"/>
                <w:szCs w:val="18"/>
              </w:rPr>
              <w:t xml:space="preserve">Reading / reflection</w:t>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c>
          <w:tcPr>
            <w:tcW w:type="dxa" w:w="110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1 hr</w:t>
            </w:r>
          </w:p>
        </w:tc>
        <w:tc>
          <w:tcPr>
            <w:tcW w:type="dxa" w:w="1560"/>
            <w:tcBorders>
              <w:top w:val="single" w:color="E5DDD5" w:sz="1"/>
              <w:left w:val="single" w:color="E5DDD5" w:sz="1"/>
              <w:bottom w:val="single" w:color="E5DDD5" w:sz="1"/>
              <w:right w:val="single" w:color="E5DDD5" w:sz="1"/>
            </w:tcBorders>
            <w:shd w:fill="FFFFFF" w:val="clear"/>
            <w:tcMar>
              <w:top w:type="dxa" w:w="80"/>
              <w:left w:type="dxa" w:w="100"/>
              <w:bottom w:type="dxa" w:w="80"/>
              <w:right w:type="dxa" w:w="100"/>
            </w:tcMar>
          </w:tcPr>
          <w:p>
            <w:pPr>
              <w:jc w:val="center"/>
            </w:pPr>
            <w:r>
              <w:rPr>
                <w:rFonts w:ascii="Arial" w:cs="Arial" w:eastAsia="Arial" w:hAnsi="Arial"/>
                <w:b w:val="false"/>
                <w:bCs w:val="false"/>
                <w:color w:val="1E1E1E"/>
                <w:sz w:val="18"/>
                <w:szCs w:val="18"/>
              </w:rPr>
              <w:t xml:space="preserve"/>
            </w:r>
          </w:p>
        </w:tc>
      </w:tr>
    </w:tbl>
    <w:p>
      <w:pPr>
        <w:pageBreakBefore/>
      </w:pPr>
    </w:p>
    <w:p>
      <w:pPr>
        <w:pStyle w:val="Heading1"/>
        <w:spacing w:before="320" w:after="120"/>
      </w:pPr>
      <w:r>
        <w:rPr>
          <w:rFonts w:ascii="Arial" w:cs="Arial" w:eastAsia="Arial" w:hAnsi="Arial"/>
          <w:b/>
          <w:bCs/>
          <w:color w:val="C4733A"/>
          <w:sz w:val="32"/>
          <w:szCs w:val="32"/>
        </w:rPr>
        <w:t xml:space="preserve">Phase 5 — Launch  (Months 11–14)</w:t>
      </w:r>
    </w:p>
    <w:p>
      <w:pPr>
        <w:spacing w:before="60" w:after="120"/>
        <w:jc w:val="left"/>
      </w:pPr>
      <w:r>
        <w:rPr>
          <w:rFonts w:ascii="Arial" w:cs="Arial" w:eastAsia="Arial" w:hAnsi="Arial"/>
          <w:b/>
          <w:bCs/>
          <w:i w:val="false"/>
          <w:iCs w:val="false"/>
          <w:color w:val="1E1E1E"/>
          <w:sz w:val="22"/>
          <w:szCs w:val="22"/>
        </w:rPr>
        <w:t xml:space="preserve">Goal: </w:t>
      </w:r>
      <w:r>
        <w:rPr>
          <w:rFonts w:ascii="Arial" w:cs="Arial" w:eastAsia="Arial" w:hAnsi="Arial"/>
          <w:b w:val="false"/>
          <w:bCs w:val="false"/>
          <w:i w:val="false"/>
          <w:iCs w:val="false"/>
          <w:color w:val="1E1E1E"/>
          <w:sz w:val="22"/>
          <w:szCs w:val="22"/>
        </w:rPr>
        <w:t xml:space="preserve">Convert design partners to paying customers and add 2–3 more through warm referral.</w:t>
      </w:r>
    </w:p>
    <w:p>
      <w:pPr>
        <w:spacing w:before="0" w:after="100"/>
        <w:jc w:val="left"/>
      </w:pPr>
      <w:r>
        <w:rPr>
          <w:rFonts w:ascii="Arial" w:cs="Arial" w:eastAsia="Arial" w:hAnsi="Arial"/>
          <w:b w:val="false"/>
          <w:bCs w:val="false"/>
          <w:i/>
          <w:iCs/>
          <w:color w:val="6B5E5A"/>
          <w:sz w:val="22"/>
          <w:szCs w:val="22"/>
        </w:rPr>
        <w:t xml:space="preserve">A wider window here is intentional. The first paying customer might come in month 11. It might come in month 13. The earlier v1 plan compressed this to 2 months, which would create pressure to discount aggressively or accept non-ideal customers just to hit a milestone. Don’t.</w:t>
      </w:r>
    </w:p>
    <w:p>
      <w:pPr>
        <w:spacing w:before="0" w:after="160"/>
        <w:jc w:val="left"/>
      </w:pPr>
      <w:r>
        <w:rPr>
          <w:rFonts w:ascii="Arial" w:cs="Arial" w:eastAsia="Arial" w:hAnsi="Arial"/>
          <w:b w:val="false"/>
          <w:bCs w:val="false"/>
          <w:i/>
          <w:iCs/>
          <w:color w:val="6B5E5A"/>
          <w:sz w:val="22"/>
          <w:szCs w:val="22"/>
        </w:rPr>
        <w:t xml:space="preserve">Paying customers tell you something no interview or prototype reaction can: they believe the value exceeds the price. One paying customer is worth more signal than 50 positive interviews.</w:t>
      </w:r>
    </w:p>
    <w:p>
      <w:pPr>
        <w:spacing w:before="160" w:after="60"/>
      </w:pPr>
      <w:r>
        <w:rPr>
          <w:rFonts w:ascii="Arial" w:cs="Arial" w:eastAsia="Arial" w:hAnsi="Arial"/>
          <w:b/>
          <w:bCs/>
          <w:color w:val="1E1E1E"/>
          <w:sz w:val="22"/>
          <w:szCs w:val="22"/>
        </w:rPr>
        <w:t xml:space="preserve">Activities by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c>
          <w:tcPr>
            <w:tcW w:type="dxa" w:w="240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540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156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Hrs/Wk</w:t>
            </w:r>
          </w:p>
        </w:tc>
      </w:tr>
      <w:tr>
        <w:tc>
          <w:tcPr>
            <w:tcW w:type="dxa" w:w="2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b/>
                <w:bCs/>
                <w:color w:val="1E1E1E"/>
                <w:sz w:val="20"/>
                <w:szCs w:val="20"/>
              </w:rPr>
              <w:t xml:space="preserve">Converting design partners</w:t>
            </w:r>
          </w:p>
        </w:tc>
        <w:tc>
          <w:tcPr>
            <w:tcW w:type="dxa" w:w="5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color w:val="1E1E1E"/>
                <w:sz w:val="20"/>
                <w:szCs w:val="20"/>
              </w:rPr>
              <w:t xml:space="preserve">Offer a founding-customer price (meaningful discount, permanent, clearly labeled as such). Ask each partner for one warm referral before offering the discount.</w:t>
            </w:r>
          </w:p>
        </w:tc>
        <w:tc>
          <w:tcPr>
            <w:tcW w:type="dxa" w:w="156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4</w:t>
            </w:r>
          </w:p>
        </w:tc>
      </w:tr>
      <w:tr>
        <w:tc>
          <w:tcPr>
            <w:tcW w:type="dxa" w:w="2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b/>
                <w:bCs/>
                <w:color w:val="1E1E1E"/>
                <w:sz w:val="20"/>
                <w:szCs w:val="20"/>
              </w:rPr>
              <w:t xml:space="preserve">Product polish</w:t>
            </w:r>
          </w:p>
        </w:tc>
        <w:tc>
          <w:tcPr>
            <w:tcW w:type="dxa" w:w="5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color w:val="1E1E1E"/>
                <w:sz w:val="20"/>
                <w:szCs w:val="20"/>
              </w:rPr>
              <w:t xml:space="preserve">Fix every friction point that comes up in real usage. Do not add new features until existing ones work reliably. Ship bug fixes fast.</w:t>
            </w:r>
          </w:p>
        </w:tc>
        <w:tc>
          <w:tcPr>
            <w:tcW w:type="dxa" w:w="156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8</w:t>
            </w:r>
          </w:p>
        </w:tc>
      </w:tr>
      <w:tr>
        <w:tc>
          <w:tcPr>
            <w:tcW w:type="dxa" w:w="2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b/>
                <w:bCs/>
                <w:color w:val="1E1E1E"/>
                <w:sz w:val="20"/>
                <w:szCs w:val="20"/>
              </w:rPr>
              <w:t xml:space="preserve">Audience building</w:t>
            </w:r>
          </w:p>
        </w:tc>
        <w:tc>
          <w:tcPr>
            <w:tcW w:type="dxa" w:w="54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color w:val="1E1E1E"/>
                <w:sz w:val="20"/>
                <w:szCs w:val="20"/>
              </w:rPr>
              <w:t xml:space="preserve">Your community posts should now include a light CTA: “I’m building something in this space — happy to show you.” No cold outreach. Warm inbound only.</w:t>
            </w:r>
          </w:p>
        </w:tc>
        <w:tc>
          <w:tcPr>
            <w:tcW w:type="dxa" w:w="156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2</w:t>
            </w:r>
          </w:p>
        </w:tc>
      </w:tr>
      <w:tr>
        <w:tc>
          <w:tcPr>
            <w:tcW w:type="dxa" w:w="2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b/>
                <w:bCs/>
                <w:color w:val="1E1E1E"/>
                <w:sz w:val="20"/>
                <w:szCs w:val="20"/>
              </w:rPr>
              <w:t xml:space="preserve">Metrics</w:t>
            </w:r>
          </w:p>
        </w:tc>
        <w:tc>
          <w:tcPr>
            <w:tcW w:type="dxa" w:w="54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color w:val="1E1E1E"/>
                <w:sz w:val="20"/>
                <w:szCs w:val="20"/>
              </w:rPr>
              <w:t xml:space="preserve">Track weekly: MRR, active users, studies run, churn. One dashboard, 15 minutes per week.</w:t>
            </w:r>
          </w:p>
        </w:tc>
        <w:tc>
          <w:tcPr>
            <w:tcW w:type="dxa" w:w="156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pPr>
              <w:jc w:val="center"/>
            </w:pPr>
            <w:r>
              <w:rPr>
                <w:rFonts w:ascii="Arial" w:cs="Arial" w:eastAsia="Arial" w:hAnsi="Arial"/>
                <w:b/>
                <w:bCs/>
                <w:color w:val="C4733A"/>
                <w:sz w:val="20"/>
                <w:szCs w:val="20"/>
              </w:rPr>
              <w:t xml:space="preserve">1</w:t>
            </w:r>
          </w:p>
        </w:tc>
      </w:tr>
    </w:tbl>
    <w:p>
      <w:pPr>
        <w:pageBreakBefore/>
      </w:pPr>
    </w:p>
    <w:p>
      <w:pPr>
        <w:pStyle w:val="Heading1"/>
        <w:spacing w:before="320" w:after="120"/>
      </w:pPr>
      <w:r>
        <w:rPr>
          <w:rFonts w:ascii="Arial" w:cs="Arial" w:eastAsia="Arial" w:hAnsi="Arial"/>
          <w:b/>
          <w:bCs/>
          <w:color w:val="C4733A"/>
          <w:sz w:val="32"/>
          <w:szCs w:val="32"/>
        </w:rPr>
        <w:t xml:space="preserve">12-Month Momentum Check</w:t>
      </w:r>
    </w:p>
    <w:p>
      <w:pPr>
        <w:spacing w:before="60" w:after="160"/>
        <w:jc w:val="left"/>
      </w:pPr>
      <w:r>
        <w:rPr>
          <w:rFonts w:ascii="Arial" w:cs="Arial" w:eastAsia="Arial" w:hAnsi="Arial"/>
          <w:b w:val="false"/>
          <w:bCs w:val="false"/>
          <w:i w:val="false"/>
          <w:iCs w:val="false"/>
          <w:color w:val="1E1E1E"/>
          <w:sz w:val="22"/>
          <w:szCs w:val="22"/>
        </w:rPr>
        <w:t xml:space="preserve">Month 12 is not the full-time decision — that comes later. It’s a momentum check. The question is not “can I go full-time now?” but “is this clearly heading somewhere?”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D1FAE5" w:val="clear"/>
            <w:tcMar>
              <w:top w:type="dxa" w:w="140"/>
              <w:left w:type="dxa" w:w="200"/>
              <w:bottom w:type="dxa" w:w="140"/>
              <w:right w:type="dxa" w:w="200"/>
            </w:tcMar>
          </w:tcPr>
          <w:p>
            <w:pPr>
              <w:spacing w:after="80"/>
            </w:pPr>
            <w:r>
              <w:rPr>
                <w:rFonts w:ascii="Arial" w:cs="Arial" w:eastAsia="Arial" w:hAnsi="Arial"/>
                <w:b/>
                <w:bCs/>
                <w:color w:val="1E1E1E"/>
                <w:sz w:val="22"/>
                <w:szCs w:val="22"/>
              </w:rPr>
              <w:t xml:space="preserve">Strong momentum — stay the course:</w:t>
            </w:r>
          </w:p>
          <w:p>
            <w:pPr>
              <w:pStyle w:val="ListParagraph"/>
              <w:numPr>
                <w:ilvl w:val="0"/>
                <w:numId w:val="2"/>
              </w:numPr>
              <w:spacing w:after="40"/>
            </w:pPr>
            <w:r>
              <w:rPr>
                <w:rFonts w:ascii="Arial" w:cs="Arial" w:eastAsia="Arial" w:hAnsi="Arial"/>
                <w:color w:val="1E1E1E"/>
                <w:sz w:val="20"/>
                <w:szCs w:val="20"/>
              </w:rPr>
              <w:t xml:space="preserve">At least 1 paying customer, even at a low founding price</w:t>
            </w:r>
          </w:p>
          <w:p>
            <w:pPr>
              <w:pStyle w:val="ListParagraph"/>
              <w:numPr>
                <w:ilvl w:val="0"/>
                <w:numId w:val="2"/>
              </w:numPr>
              <w:spacing w:after="40"/>
            </w:pPr>
            <w:r>
              <w:rPr>
                <w:rFonts w:ascii="Arial" w:cs="Arial" w:eastAsia="Arial" w:hAnsi="Arial"/>
                <w:color w:val="1E1E1E"/>
                <w:sz w:val="20"/>
                <w:szCs w:val="20"/>
              </w:rPr>
              <w:t xml:space="preserve">3+ design partners actively running studies (not just watching)</w:t>
            </w:r>
          </w:p>
          <w:p>
            <w:pPr>
              <w:pStyle w:val="ListParagraph"/>
              <w:numPr>
                <w:ilvl w:val="0"/>
                <w:numId w:val="2"/>
              </w:numPr>
              <w:spacing w:after="40"/>
            </w:pPr>
            <w:r>
              <w:rPr>
                <w:rFonts w:ascii="Arial" w:cs="Arial" w:eastAsia="Arial" w:hAnsi="Arial"/>
                <w:color w:val="1E1E1E"/>
                <w:sz w:val="20"/>
                <w:szCs w:val="20"/>
              </w:rPr>
              <w:t xml:space="preserve">Community presence is generating inbound conversations without you initiating them</w:t>
            </w:r>
          </w:p>
          <w:p>
            <w:pPr>
              <w:pStyle w:val="ListParagraph"/>
              <w:numPr>
                <w:ilvl w:val="0"/>
                <w:numId w:val="2"/>
              </w:numPr>
              <w:spacing w:after="40"/>
            </w:pPr>
            <w:r>
              <w:rPr>
                <w:rFonts w:ascii="Arial" w:cs="Arial" w:eastAsia="Arial" w:hAnsi="Arial"/>
                <w:color w:val="1E1E1E"/>
                <w:sz w:val="20"/>
                <w:szCs w:val="20"/>
              </w:rPr>
              <w:t xml:space="preserve">You’re not bored — the product problems still feel interesting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EF3C7" w:val="clear"/>
            <w:tcMar>
              <w:top w:type="dxa" w:w="140"/>
              <w:left w:type="dxa" w:w="200"/>
              <w:bottom w:type="dxa" w:w="140"/>
              <w:right w:type="dxa" w:w="200"/>
            </w:tcMar>
          </w:tcPr>
          <w:p>
            <w:pPr>
              <w:spacing w:after="80"/>
            </w:pPr>
            <w:r>
              <w:rPr>
                <w:rFonts w:ascii="Arial" w:cs="Arial" w:eastAsia="Arial" w:hAnsi="Arial"/>
                <w:b/>
                <w:bCs/>
                <w:color w:val="1E1E1E"/>
                <w:sz w:val="22"/>
                <w:szCs w:val="22"/>
              </w:rPr>
              <w:t xml:space="preserve">Weak momentum — diagnose before continuing:</w:t>
            </w:r>
          </w:p>
          <w:p>
            <w:pPr>
              <w:pStyle w:val="ListParagraph"/>
              <w:numPr>
                <w:ilvl w:val="0"/>
                <w:numId w:val="2"/>
              </w:numPr>
              <w:spacing w:after="40"/>
            </w:pPr>
            <w:r>
              <w:rPr>
                <w:rFonts w:ascii="Arial" w:cs="Arial" w:eastAsia="Arial" w:hAnsi="Arial"/>
                <w:color w:val="1E1E1E"/>
                <w:sz w:val="20"/>
                <w:szCs w:val="20"/>
              </w:rPr>
              <w:t xml:space="preserve">No paying customers after 11 months: is the pricing wrong, the product wrong, or the channel wrong?</w:t>
            </w:r>
          </w:p>
          <w:p>
            <w:pPr>
              <w:pStyle w:val="ListParagraph"/>
              <w:numPr>
                <w:ilvl w:val="0"/>
                <w:numId w:val="2"/>
              </w:numPr>
              <w:spacing w:after="40"/>
            </w:pPr>
            <w:r>
              <w:rPr>
                <w:rFonts w:ascii="Arial" w:cs="Arial" w:eastAsia="Arial" w:hAnsi="Arial"/>
                <w:color w:val="1E1E1E"/>
                <w:sz w:val="20"/>
                <w:szCs w:val="20"/>
              </w:rPr>
              <w:t xml:space="preserve">Design partners using it but not willing to pay: what specifically is missing?</w:t>
            </w:r>
          </w:p>
          <w:p>
            <w:pPr>
              <w:pStyle w:val="ListParagraph"/>
              <w:numPr>
                <w:ilvl w:val="0"/>
                <w:numId w:val="2"/>
              </w:numPr>
              <w:spacing w:after="40"/>
            </w:pPr>
            <w:r>
              <w:rPr>
                <w:rFonts w:ascii="Arial" w:cs="Arial" w:eastAsia="Arial" w:hAnsi="Arial"/>
                <w:color w:val="1E1E1E"/>
                <w:sz w:val="20"/>
                <w:szCs w:val="20"/>
              </w:rPr>
              <w:t xml:space="preserve">Building feels faster than learning: consider whether a technical co-founder changes the trajectory</w:t>
            </w:r>
          </w:p>
        </w:tc>
      </w:tr>
    </w:tbl>
    <w:p>
      <w:pPr>
        <w:pageBreakBefore/>
      </w:pPr>
    </w:p>
    <w:p>
      <w:pPr>
        <w:pStyle w:val="Heading1"/>
        <w:spacing w:before="320" w:after="120"/>
      </w:pPr>
      <w:r>
        <w:rPr>
          <w:rFonts w:ascii="Arial" w:cs="Arial" w:eastAsia="Arial" w:hAnsi="Arial"/>
          <w:b/>
          <w:bCs/>
          <w:color w:val="C4733A"/>
          <w:sz w:val="32"/>
          <w:szCs w:val="32"/>
        </w:rPr>
        <w:t xml:space="preserve">Phase 6 — Decide  (Months 15–18)</w:t>
      </w:r>
    </w:p>
    <w:p>
      <w:pPr>
        <w:spacing w:before="60" w:after="120"/>
        <w:jc w:val="left"/>
      </w:pPr>
      <w:r>
        <w:rPr>
          <w:rFonts w:ascii="Arial" w:cs="Arial" w:eastAsia="Arial" w:hAnsi="Arial"/>
          <w:b/>
          <w:bCs/>
          <w:i w:val="false"/>
          <w:iCs w:val="false"/>
          <w:color w:val="1E1E1E"/>
          <w:sz w:val="22"/>
          <w:szCs w:val="22"/>
        </w:rPr>
        <w:t xml:space="preserve">Goal: </w:t>
      </w:r>
      <w:r>
        <w:rPr>
          <w:rFonts w:ascii="Arial" w:cs="Arial" w:eastAsia="Arial" w:hAnsi="Arial"/>
          <w:b w:val="false"/>
          <w:bCs w:val="false"/>
          <w:i w:val="false"/>
          <w:iCs w:val="false"/>
          <w:color w:val="1E1E1E"/>
          <w:sz w:val="22"/>
          <w:szCs w:val="22"/>
        </w:rPr>
        <w:t xml:space="preserve">Make the full-time call with real evidence on both sides.</w:t>
      </w:r>
    </w:p>
    <w:p>
      <w:pPr>
        <w:spacing w:before="0" w:after="160"/>
        <w:jc w:val="left"/>
      </w:pPr>
      <w:r>
        <w:rPr>
          <w:rFonts w:ascii="Arial" w:cs="Arial" w:eastAsia="Arial" w:hAnsi="Arial"/>
          <w:b w:val="false"/>
          <w:bCs w:val="false"/>
          <w:i/>
          <w:iCs/>
          <w:color w:val="6B5E5A"/>
          <w:sz w:val="22"/>
          <w:szCs w:val="22"/>
        </w:rPr>
        <w:t xml:space="preserve">This window is wider than v1 because 12 months was optimistic for a solo founder building from scratch while employed. Month 15–18 is when you should have enough revenue history and growth trajectory to make a genuine financial case for leaving your job.</w:t>
      </w:r>
    </w:p>
    <w:p>
      <w:pPr>
        <w:spacing w:before="160" w:after="60"/>
      </w:pPr>
      <w:r>
        <w:rPr>
          <w:rFonts w:ascii="Arial" w:cs="Arial" w:eastAsia="Arial" w:hAnsi="Arial"/>
          <w:b/>
          <w:bCs/>
          <w:color w:val="1E1E1E"/>
          <w:sz w:val="22"/>
          <w:szCs w:val="22"/>
        </w:rPr>
        <w:t xml:space="preserve">The financial framing</w:t>
      </w:r>
    </w:p>
    <w:p>
      <w:pPr>
        <w:spacing w:before="40" w:after="120"/>
        <w:jc w:val="left"/>
      </w:pPr>
      <w:r>
        <w:rPr>
          <w:rFonts w:ascii="Arial" w:cs="Arial" w:eastAsia="Arial" w:hAnsi="Arial"/>
          <w:b w:val="false"/>
          <w:bCs w:val="false"/>
          <w:i w:val="false"/>
          <w:iCs w:val="false"/>
          <w:color w:val="1E1E1E"/>
          <w:sz w:val="22"/>
          <w:szCs w:val="22"/>
        </w:rPr>
        <w:t xml:space="preserve">The question isn’t “is my MRR equal to my salary?” It’s “do I have enough runway and enough trajectory that I can reach salary-replacement within 12 months of going full-time?” That typically means $2,500–4,000 MRR with clear month-on-month growth, plus 6–12 months of personal savings runway.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D1FAE5" w:val="clear"/>
            <w:tcMar>
              <w:top w:type="dxa" w:w="140"/>
              <w:left w:type="dxa" w:w="200"/>
              <w:bottom w:type="dxa" w:w="140"/>
              <w:right w:type="dxa" w:w="200"/>
            </w:tcMar>
          </w:tcPr>
          <w:p>
            <w:pPr>
              <w:spacing w:after="80"/>
            </w:pPr>
            <w:r>
              <w:rPr>
                <w:rFonts w:ascii="Arial" w:cs="Arial" w:eastAsia="Arial" w:hAnsi="Arial"/>
                <w:b/>
                <w:bCs/>
                <w:color w:val="1E1E1E"/>
                <w:sz w:val="22"/>
                <w:szCs w:val="22"/>
              </w:rPr>
              <w:t xml:space="preserve">Go full-time if:</w:t>
            </w:r>
          </w:p>
          <w:p>
            <w:pPr>
              <w:pStyle w:val="ListParagraph"/>
              <w:numPr>
                <w:ilvl w:val="0"/>
                <w:numId w:val="2"/>
              </w:numPr>
              <w:spacing w:after="40"/>
            </w:pPr>
            <w:r>
              <w:rPr>
                <w:rFonts w:ascii="Arial" w:cs="Arial" w:eastAsia="Arial" w:hAnsi="Arial"/>
                <w:color w:val="1E1E1E"/>
                <w:sz w:val="20"/>
                <w:szCs w:val="20"/>
              </w:rPr>
              <w:t xml:space="preserve">$2,500–4,000+ MRR with consistent month-on-month growth</w:t>
            </w:r>
          </w:p>
          <w:p>
            <w:pPr>
              <w:pStyle w:val="ListParagraph"/>
              <w:numPr>
                <w:ilvl w:val="0"/>
                <w:numId w:val="2"/>
              </w:numPr>
              <w:spacing w:after="40"/>
            </w:pPr>
            <w:r>
              <w:rPr>
                <w:rFonts w:ascii="Arial" w:cs="Arial" w:eastAsia="Arial" w:hAnsi="Arial"/>
                <w:color w:val="1E1E1E"/>
                <w:sz w:val="20"/>
                <w:szCs w:val="20"/>
              </w:rPr>
              <w:t xml:space="preserve">10+ active users running real studies (not just accounts)</w:t>
            </w:r>
          </w:p>
          <w:p>
            <w:pPr>
              <w:pStyle w:val="ListParagraph"/>
              <w:numPr>
                <w:ilvl w:val="0"/>
                <w:numId w:val="2"/>
              </w:numPr>
              <w:spacing w:after="40"/>
            </w:pPr>
            <w:r>
              <w:rPr>
                <w:rFonts w:ascii="Arial" w:cs="Arial" w:eastAsia="Arial" w:hAnsi="Arial"/>
                <w:color w:val="1E1E1E"/>
                <w:sz w:val="20"/>
                <w:szCs w:val="20"/>
              </w:rPr>
              <w:t xml:space="preserve">You can articulate why growth will accelerate full-time — specific channels, specific blockers</w:t>
            </w:r>
          </w:p>
          <w:p>
            <w:pPr>
              <w:pStyle w:val="ListParagraph"/>
              <w:numPr>
                <w:ilvl w:val="0"/>
                <w:numId w:val="2"/>
              </w:numPr>
              <w:spacing w:after="40"/>
            </w:pPr>
            <w:r>
              <w:rPr>
                <w:rFonts w:ascii="Arial" w:cs="Arial" w:eastAsia="Arial" w:hAnsi="Arial"/>
                <w:color w:val="1E1E1E"/>
                <w:sz w:val="20"/>
                <w:szCs w:val="20"/>
              </w:rPr>
              <w:t xml:space="preserve">Employment contract reviewed; no unresolved IP or non-compete concerns</w:t>
            </w:r>
          </w:p>
          <w:p>
            <w:pPr>
              <w:pStyle w:val="ListParagraph"/>
              <w:numPr>
                <w:ilvl w:val="0"/>
                <w:numId w:val="2"/>
              </w:numPr>
              <w:spacing w:after="40"/>
            </w:pPr>
            <w:r>
              <w:rPr>
                <w:rFonts w:ascii="Arial" w:cs="Arial" w:eastAsia="Arial" w:hAnsi="Arial"/>
                <w:color w:val="1E1E1E"/>
                <w:sz w:val="20"/>
                <w:szCs w:val="20"/>
              </w:rPr>
              <w:t xml:space="preserve">6–12 months of personal financial runway without salary</w:t>
            </w:r>
          </w:p>
          <w:p>
            <w:pPr>
              <w:pStyle w:val="ListParagraph"/>
              <w:numPr>
                <w:ilvl w:val="0"/>
                <w:numId w:val="2"/>
              </w:numPr>
              <w:spacing w:after="40"/>
            </w:pPr>
            <w:r>
              <w:rPr>
                <w:rFonts w:ascii="Arial" w:cs="Arial" w:eastAsia="Arial" w:hAnsi="Arial"/>
                <w:color w:val="1E1E1E"/>
                <w:sz w:val="20"/>
                <w:szCs w:val="20"/>
              </w:rPr>
              <w:t xml:space="preserve">You still wake up wanting to work on this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EF3C7" w:val="clear"/>
            <w:tcMar>
              <w:top w:type="dxa" w:w="140"/>
              <w:left w:type="dxa" w:w="200"/>
              <w:bottom w:type="dxa" w:w="140"/>
              <w:right w:type="dxa" w:w="200"/>
            </w:tcMar>
          </w:tcPr>
          <w:p>
            <w:pPr>
              <w:spacing w:after="80"/>
            </w:pPr>
            <w:r>
              <w:rPr>
                <w:rFonts w:ascii="Arial" w:cs="Arial" w:eastAsia="Arial" w:hAnsi="Arial"/>
                <w:b/>
                <w:bCs/>
                <w:color w:val="1E1E1E"/>
                <w:sz w:val="22"/>
                <w:szCs w:val="22"/>
              </w:rPr>
              <w:t xml:space="preserve">Set a firm date 3–6 months out and keep building if:</w:t>
            </w:r>
          </w:p>
          <w:p>
            <w:pPr>
              <w:pStyle w:val="ListParagraph"/>
              <w:numPr>
                <w:ilvl w:val="0"/>
                <w:numId w:val="2"/>
              </w:numPr>
              <w:spacing w:after="40"/>
            </w:pPr>
            <w:r>
              <w:rPr>
                <w:rFonts w:ascii="Arial" w:cs="Arial" w:eastAsia="Arial" w:hAnsi="Arial"/>
                <w:color w:val="1E1E1E"/>
                <w:sz w:val="20"/>
                <w:szCs w:val="20"/>
              </w:rPr>
              <w:t xml:space="preserve">Revenue is real, growing, but below the threshold — write down a specific number and a specific date</w:t>
            </w:r>
          </w:p>
          <w:p>
            <w:pPr>
              <w:pStyle w:val="ListParagraph"/>
              <w:numPr>
                <w:ilvl w:val="0"/>
                <w:numId w:val="2"/>
              </w:numPr>
              <w:spacing w:after="40"/>
            </w:pPr>
            <w:r>
              <w:rPr>
                <w:rFonts w:ascii="Arial" w:cs="Arial" w:eastAsia="Arial" w:hAnsi="Arial"/>
                <w:color w:val="1E1E1E"/>
                <w:sz w:val="20"/>
                <w:szCs w:val="20"/>
              </w:rPr>
              <w:t xml:space="preserve">You’ve identified 2–3 specific things that going full-time would unlock</w:t>
            </w:r>
          </w:p>
          <w:p>
            <w:pPr>
              <w:pStyle w:val="ListParagraph"/>
              <w:numPr>
                <w:ilvl w:val="0"/>
                <w:numId w:val="2"/>
              </w:numPr>
              <w:spacing w:after="40"/>
            </w:pPr>
            <w:r>
              <w:rPr>
                <w:rFonts w:ascii="Arial" w:cs="Arial" w:eastAsia="Arial" w:hAnsi="Arial"/>
                <w:color w:val="1E1E1E"/>
                <w:sz w:val="20"/>
                <w:szCs w:val="20"/>
              </w:rPr>
              <w:t xml:space="preserve">Savings runway exists but is shorter than ideal — build it before leaving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E2E2" w:val="clear"/>
            <w:tcMar>
              <w:top w:type="dxa" w:w="140"/>
              <w:left w:type="dxa" w:w="200"/>
              <w:bottom w:type="dxa" w:w="140"/>
              <w:right w:type="dxa" w:w="200"/>
            </w:tcMar>
          </w:tcPr>
          <w:p>
            <w:pPr>
              <w:spacing w:after="80"/>
            </w:pPr>
            <w:r>
              <w:rPr>
                <w:rFonts w:ascii="Arial" w:cs="Arial" w:eastAsia="Arial" w:hAnsi="Arial"/>
                <w:b/>
                <w:bCs/>
                <w:color w:val="1E1E1E"/>
                <w:sz w:val="22"/>
                <w:szCs w:val="22"/>
              </w:rPr>
              <w:t xml:space="preserve">Park the idea and bank the learning if:</w:t>
            </w:r>
          </w:p>
          <w:p>
            <w:pPr>
              <w:pStyle w:val="ListParagraph"/>
              <w:numPr>
                <w:ilvl w:val="0"/>
                <w:numId w:val="2"/>
              </w:numPr>
              <w:spacing w:after="40"/>
            </w:pPr>
            <w:r>
              <w:rPr>
                <w:rFonts w:ascii="Arial" w:cs="Arial" w:eastAsia="Arial" w:hAnsi="Arial"/>
                <w:color w:val="1E1E1E"/>
                <w:sz w:val="20"/>
                <w:szCs w:val="20"/>
              </w:rPr>
              <w:t xml:space="preserve">No paying customers after 14 months of genuine effort</w:t>
            </w:r>
          </w:p>
          <w:p>
            <w:pPr>
              <w:pStyle w:val="ListParagraph"/>
              <w:numPr>
                <w:ilvl w:val="0"/>
                <w:numId w:val="2"/>
              </w:numPr>
              <w:spacing w:after="40"/>
            </w:pPr>
            <w:r>
              <w:rPr>
                <w:rFonts w:ascii="Arial" w:cs="Arial" w:eastAsia="Arial" w:hAnsi="Arial"/>
                <w:color w:val="1E1E1E"/>
                <w:sz w:val="20"/>
                <w:szCs w:val="20"/>
              </w:rPr>
              <w:t xml:space="preserve">MRR exists but has been flat for 3+ consecutive months with no clear explanation</w:t>
            </w:r>
          </w:p>
          <w:p>
            <w:pPr>
              <w:pStyle w:val="ListParagraph"/>
              <w:numPr>
                <w:ilvl w:val="0"/>
                <w:numId w:val="2"/>
              </w:numPr>
              <w:spacing w:after="40"/>
            </w:pPr>
            <w:r>
              <w:rPr>
                <w:rFonts w:ascii="Arial" w:cs="Arial" w:eastAsia="Arial" w:hAnsi="Arial"/>
                <w:color w:val="1E1E1E"/>
                <w:sz w:val="20"/>
                <w:szCs w:val="20"/>
              </w:rPr>
              <w:t xml:space="preserve">You’ve genuinely lost curiosity about the problem</w:t>
            </w:r>
          </w:p>
        </w:tc>
      </w:tr>
    </w:tbl>
    <w:p>
      <w:pPr>
        <w:pageBreakBefore/>
      </w:pPr>
    </w:p>
    <w:p>
      <w:pPr>
        <w:pStyle w:val="Heading1"/>
        <w:spacing w:before="320" w:after="120"/>
      </w:pPr>
      <w:r>
        <w:rPr>
          <w:rFonts w:ascii="Arial" w:cs="Arial" w:eastAsia="Arial" w:hAnsi="Arial"/>
          <w:b/>
          <w:bCs/>
          <w:color w:val="C4733A"/>
          <w:sz w:val="32"/>
          <w:szCs w:val="32"/>
        </w:rPr>
        <w:t xml:space="preserve">Reading List</w:t>
      </w:r>
    </w:p>
    <w:p>
      <w:pPr>
        <w:spacing w:before="60" w:after="160"/>
        <w:jc w:val="left"/>
      </w:pPr>
      <w:r>
        <w:rPr>
          <w:rFonts w:ascii="Arial" w:cs="Arial" w:eastAsia="Arial" w:hAnsi="Arial"/>
          <w:b w:val="false"/>
          <w:bCs w:val="false"/>
          <w:i w:val="false"/>
          <w:iCs w:val="false"/>
          <w:color w:val="1E1E1E"/>
          <w:sz w:val="22"/>
          <w:szCs w:val="22"/>
        </w:rPr>
        <w:t xml:space="preserve">Sequenced for where you’ll be in each phase. The order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3000"/>
        <w:gridCol w:w="1560"/>
      </w:tblGrid>
      <w:tr>
        <w:tc>
          <w:tcPr>
            <w:tcW w:type="dxa" w:w="120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360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r>
              <w:rPr>
                <w:rFonts w:ascii="Arial" w:cs="Arial" w:eastAsia="Arial" w:hAnsi="Arial"/>
                <w:b/>
                <w:bCs/>
                <w:color w:val="FFFFFF"/>
                <w:sz w:val="20"/>
                <w:szCs w:val="20"/>
              </w:rPr>
              <w:t xml:space="preserve">Book</w:t>
            </w:r>
          </w:p>
        </w:tc>
        <w:tc>
          <w:tcPr>
            <w:tcW w:type="dxa" w:w="300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1560"/>
            <w:tcBorders>
              <w:top w:val="single" w:color="C4733A" w:sz="1"/>
              <w:left w:val="single" w:color="C4733A" w:sz="1"/>
              <w:bottom w:val="single" w:color="C4733A" w:sz="1"/>
              <w:right w:val="single" w:color="C4733A" w:sz="1"/>
            </w:tcBorders>
            <w:shd w:fill="C4733A"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2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b/>
                <w:bCs/>
                <w:color w:val="C4733A"/>
                <w:sz w:val="19"/>
                <w:szCs w:val="19"/>
              </w:rPr>
              <w:t xml:space="preserve">Now</w:t>
            </w:r>
          </w:p>
        </w:tc>
        <w:tc>
          <w:tcPr>
            <w:tcW w:type="dxa" w:w="36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b/>
                <w:bCs/>
                <w:color w:val="1E1E1E"/>
                <w:sz w:val="19"/>
                <w:szCs w:val="19"/>
              </w:rPr>
              <w:t xml:space="preserve">The Mom Test</w:t>
            </w:r>
          </w:p>
        </w:tc>
        <w:tc>
          <w:tcPr>
            <w:tcW w:type="dxa" w:w="30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color w:val="1E1E1E"/>
                <w:sz w:val="19"/>
                <w:szCs w:val="19"/>
              </w:rPr>
              <w:t xml:space="preserve">Teaches you to run discovery interviews that generate honest signal, not polite noise.</w:t>
            </w:r>
          </w:p>
        </w:tc>
        <w:tc>
          <w:tcPr>
            <w:tcW w:type="dxa" w:w="156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i/>
                <w:iCs/>
                <w:color w:val="6B5E5A"/>
                <w:sz w:val="19"/>
                <w:szCs w:val="19"/>
              </w:rPr>
              <w:t xml:space="preserve">Rob Fitzpatrick</w:t>
            </w:r>
          </w:p>
        </w:tc>
      </w:tr>
      <w:tr>
        <w:tc>
          <w:tcPr>
            <w:tcW w:type="dxa" w:w="12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b/>
                <w:bCs/>
                <w:color w:val="C4733A"/>
                <w:sz w:val="19"/>
                <w:szCs w:val="19"/>
              </w:rPr>
              <w:t xml:space="preserve">Month 2</w:t>
            </w:r>
          </w:p>
        </w:tc>
        <w:tc>
          <w:tcPr>
            <w:tcW w:type="dxa" w:w="36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b/>
                <w:bCs/>
                <w:color w:val="1E1E1E"/>
                <w:sz w:val="19"/>
                <w:szCs w:val="19"/>
              </w:rPr>
              <w:t xml:space="preserve">Continuous Discovery Habits</w:t>
            </w:r>
          </w:p>
        </w:tc>
        <w:tc>
          <w:tcPr>
            <w:tcW w:type="dxa" w:w="30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color w:val="1E1E1E"/>
                <w:sz w:val="19"/>
                <w:szCs w:val="19"/>
              </w:rPr>
              <w:t xml:space="preserve">Built for exactly your context: a researcher making fast product decisions without dedicated infrastructure.</w:t>
            </w:r>
          </w:p>
        </w:tc>
        <w:tc>
          <w:tcPr>
            <w:tcW w:type="dxa" w:w="156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i/>
                <w:iCs/>
                <w:color w:val="6B5E5A"/>
                <w:sz w:val="19"/>
                <w:szCs w:val="19"/>
              </w:rPr>
              <w:t xml:space="preserve">Teresa Torres</w:t>
            </w:r>
          </w:p>
        </w:tc>
      </w:tr>
      <w:tr>
        <w:tc>
          <w:tcPr>
            <w:tcW w:type="dxa" w:w="12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b/>
                <w:bCs/>
                <w:color w:val="C4733A"/>
                <w:sz w:val="19"/>
                <w:szCs w:val="19"/>
              </w:rPr>
              <w:t xml:space="preserve">Month 4</w:t>
            </w:r>
          </w:p>
        </w:tc>
        <w:tc>
          <w:tcPr>
            <w:tcW w:type="dxa" w:w="36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b/>
                <w:bCs/>
                <w:color w:val="1E1E1E"/>
                <w:sz w:val="19"/>
                <w:szCs w:val="19"/>
              </w:rPr>
              <w:t xml:space="preserve">Zero to Sold</w:t>
            </w:r>
          </w:p>
        </w:tc>
        <w:tc>
          <w:tcPr>
            <w:tcW w:type="dxa" w:w="30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color w:val="1E1E1E"/>
                <w:sz w:val="19"/>
                <w:szCs w:val="19"/>
              </w:rPr>
              <w:t xml:space="preserve">A bootstrapper’s guide from idea to revenue. Written for solo founders building without VC.</w:t>
            </w:r>
          </w:p>
        </w:tc>
        <w:tc>
          <w:tcPr>
            <w:tcW w:type="dxa" w:w="156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i/>
                <w:iCs/>
                <w:color w:val="6B5E5A"/>
                <w:sz w:val="19"/>
                <w:szCs w:val="19"/>
              </w:rPr>
              <w:t xml:space="preserve">Arvid Kahl</w:t>
            </w:r>
          </w:p>
        </w:tc>
      </w:tr>
      <w:tr>
        <w:tc>
          <w:tcPr>
            <w:tcW w:type="dxa" w:w="12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b/>
                <w:bCs/>
                <w:color w:val="C4733A"/>
                <w:sz w:val="19"/>
                <w:szCs w:val="19"/>
              </w:rPr>
              <w:t xml:space="preserve">Month 6</w:t>
            </w:r>
          </w:p>
        </w:tc>
        <w:tc>
          <w:tcPr>
            <w:tcW w:type="dxa" w:w="36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b/>
                <w:bCs/>
                <w:color w:val="1E1E1E"/>
                <w:sz w:val="19"/>
                <w:szCs w:val="19"/>
              </w:rPr>
              <w:t xml:space="preserve">Obviously Awesome</w:t>
            </w:r>
          </w:p>
        </w:tc>
        <w:tc>
          <w:tcPr>
            <w:tcW w:type="dxa" w:w="30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color w:val="1E1E1E"/>
                <w:sz w:val="19"/>
                <w:szCs w:val="19"/>
              </w:rPr>
              <w:t xml:space="preserve">Positioning. When you need to explain what Temper is and who it’s for in one sentence, this is the framework.</w:t>
            </w:r>
          </w:p>
        </w:tc>
        <w:tc>
          <w:tcPr>
            <w:tcW w:type="dxa" w:w="156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i/>
                <w:iCs/>
                <w:color w:val="6B5E5A"/>
                <w:sz w:val="19"/>
                <w:szCs w:val="19"/>
              </w:rPr>
              <w:t xml:space="preserve">April Dunford</w:t>
            </w:r>
          </w:p>
        </w:tc>
      </w:tr>
      <w:tr>
        <w:tc>
          <w:tcPr>
            <w:tcW w:type="dxa" w:w="12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b/>
                <w:bCs/>
                <w:color w:val="C4733A"/>
                <w:sz w:val="19"/>
                <w:szCs w:val="19"/>
              </w:rPr>
              <w:t xml:space="preserve">Month 8</w:t>
            </w:r>
          </w:p>
        </w:tc>
        <w:tc>
          <w:tcPr>
            <w:tcW w:type="dxa" w:w="36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b/>
                <w:bCs/>
                <w:color w:val="1E1E1E"/>
                <w:sz w:val="19"/>
                <w:szCs w:val="19"/>
              </w:rPr>
              <w:t xml:space="preserve">Competing Against Luck</w:t>
            </w:r>
          </w:p>
        </w:tc>
        <w:tc>
          <w:tcPr>
            <w:tcW w:type="dxa" w:w="300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color w:val="1E1E1E"/>
                <w:sz w:val="19"/>
                <w:szCs w:val="19"/>
              </w:rPr>
              <w:t xml:space="preserve">Jobs-to-be-done. Helps you understand what PMs are actually hiring Temper to do — not what you think they’re hiring it for.</w:t>
            </w:r>
          </w:p>
        </w:tc>
        <w:tc>
          <w:tcPr>
            <w:tcW w:type="dxa" w:w="1560"/>
            <w:tcBorders>
              <w:top w:val="single" w:color="E5DDD5" w:sz="1"/>
              <w:left w:val="single" w:color="E5DDD5" w:sz="1"/>
              <w:bottom w:val="single" w:color="E5DDD5" w:sz="1"/>
              <w:right w:val="single" w:color="E5DDD5" w:sz="1"/>
            </w:tcBorders>
            <w:shd w:fill="FAF7F4" w:val="clear"/>
            <w:tcMar>
              <w:top w:type="dxa" w:w="80"/>
              <w:left w:type="dxa" w:w="120"/>
              <w:bottom w:type="dxa" w:w="80"/>
              <w:right w:type="dxa" w:w="120"/>
            </w:tcMar>
          </w:tcPr>
          <w:p>
            <w:r>
              <w:rPr>
                <w:rFonts w:ascii="Arial" w:cs="Arial" w:eastAsia="Arial" w:hAnsi="Arial"/>
                <w:i/>
                <w:iCs/>
                <w:color w:val="6B5E5A"/>
                <w:sz w:val="19"/>
                <w:szCs w:val="19"/>
              </w:rPr>
              <w:t xml:space="preserve">Clayton Christensen</w:t>
            </w:r>
          </w:p>
        </w:tc>
      </w:tr>
      <w:tr>
        <w:tc>
          <w:tcPr>
            <w:tcW w:type="dxa" w:w="12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b/>
                <w:bCs/>
                <w:color w:val="C4733A"/>
                <w:sz w:val="19"/>
                <w:szCs w:val="19"/>
              </w:rPr>
              <w:t xml:space="preserve">Month 12</w:t>
            </w:r>
          </w:p>
        </w:tc>
        <w:tc>
          <w:tcPr>
            <w:tcW w:type="dxa" w:w="36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b/>
                <w:bCs/>
                <w:color w:val="1E1E1E"/>
                <w:sz w:val="19"/>
                <w:szCs w:val="19"/>
              </w:rPr>
              <w:t xml:space="preserve">The SaaS Playbook</w:t>
            </w:r>
          </w:p>
        </w:tc>
        <w:tc>
          <w:tcPr>
            <w:tcW w:type="dxa" w:w="300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color w:val="1E1E1E"/>
                <w:sz w:val="19"/>
                <w:szCs w:val="19"/>
              </w:rPr>
              <w:t xml:space="preserve">Practical guidance on SaaS pricing, growth levers, and unit economics for bootstrapped founders.</w:t>
            </w:r>
          </w:p>
        </w:tc>
        <w:tc>
          <w:tcPr>
            <w:tcW w:type="dxa" w:w="1560"/>
            <w:tcBorders>
              <w:top w:val="single" w:color="E5DDD5" w:sz="1"/>
              <w:left w:val="single" w:color="E5DDD5" w:sz="1"/>
              <w:bottom w:val="single" w:color="E5DDD5" w:sz="1"/>
              <w:right w:val="single" w:color="E5DDD5" w:sz="1"/>
            </w:tcBorders>
            <w:shd w:fill="FFFFFF" w:val="clear"/>
            <w:tcMar>
              <w:top w:type="dxa" w:w="80"/>
              <w:left w:type="dxa" w:w="120"/>
              <w:bottom w:type="dxa" w:w="80"/>
              <w:right w:type="dxa" w:w="120"/>
            </w:tcMar>
          </w:tcPr>
          <w:p>
            <w:r>
              <w:rPr>
                <w:rFonts w:ascii="Arial" w:cs="Arial" w:eastAsia="Arial" w:hAnsi="Arial"/>
                <w:i/>
                <w:iCs/>
                <w:color w:val="6B5E5A"/>
                <w:sz w:val="19"/>
                <w:szCs w:val="19"/>
              </w:rPr>
              <w:t xml:space="preserve">Rob Walling</w:t>
            </w:r>
          </w:p>
        </w:tc>
      </w:tr>
    </w:tbl>
    <w:p>
      <w:pPr>
        <w:pageBreakBefore/>
      </w:pPr>
    </w:p>
    <w:p>
      <w:pPr>
        <w:pStyle w:val="Heading1"/>
        <w:spacing w:before="320" w:after="120"/>
      </w:pPr>
      <w:r>
        <w:rPr>
          <w:rFonts w:ascii="Arial" w:cs="Arial" w:eastAsia="Arial" w:hAnsi="Arial"/>
          <w:b/>
          <w:bCs/>
          <w:color w:val="C4733A"/>
          <w:sz w:val="32"/>
          <w:szCs w:val="32"/>
        </w:rPr>
        <w:t xml:space="preserve">Before Month 1 — Do These First</w:t>
      </w:r>
    </w:p>
    <w:p>
      <w:pPr>
        <w:spacing w:before="160" w:after="60"/>
      </w:pPr>
      <w:r>
        <w:rPr>
          <w:rFonts w:ascii="Arial" w:cs="Arial" w:eastAsia="Arial" w:hAnsi="Arial"/>
          <w:b/>
          <w:bCs/>
          <w:color w:val="C4733A"/>
          <w:sz w:val="22"/>
          <w:szCs w:val="22"/>
        </w:rPr>
        <w:t xml:space="preserve">Review your employment contract</w:t>
      </w:r>
    </w:p>
    <w:p>
      <w:pPr>
        <w:spacing w:before="40" w:after="120"/>
        <w:jc w:val="left"/>
      </w:pPr>
      <w:r>
        <w:rPr>
          <w:rFonts w:ascii="Arial" w:cs="Arial" w:eastAsia="Arial" w:hAnsi="Arial"/>
          <w:b w:val="false"/>
          <w:bCs w:val="false"/>
          <w:i w:val="false"/>
          <w:iCs w:val="false"/>
          <w:color w:val="1E1E1E"/>
          <w:sz w:val="22"/>
          <w:szCs w:val="22"/>
        </w:rPr>
        <w:t xml:space="preserve">Read your agreement for IP assignment clauses (who owns work created outside employment), non-compete and non-solicitation language, and any clauses about competitive activities. You are a UX researcher building a research tool — make sure this is clearly distinguishable from your employer’s business. One hour with an employment attorney is worth it if anything is ambiguous.</w:t>
      </w:r>
    </w:p>
    <w:p>
      <w:pPr>
        <w:spacing w:before="160" w:after="60"/>
      </w:pPr>
      <w:r>
        <w:rPr>
          <w:rFonts w:ascii="Arial" w:cs="Arial" w:eastAsia="Arial" w:hAnsi="Arial"/>
          <w:b/>
          <w:bCs/>
          <w:color w:val="C4733A"/>
          <w:sz w:val="22"/>
          <w:szCs w:val="22"/>
        </w:rPr>
        <w:t xml:space="preserve">Build a research log system</w:t>
      </w:r>
    </w:p>
    <w:p>
      <w:pPr>
        <w:spacing w:before="40" w:after="120"/>
        <w:jc w:val="left"/>
      </w:pPr>
      <w:r>
        <w:rPr>
          <w:rFonts w:ascii="Arial" w:cs="Arial" w:eastAsia="Arial" w:hAnsi="Arial"/>
          <w:b w:val="false"/>
          <w:bCs w:val="false"/>
          <w:i w:val="false"/>
          <w:iCs w:val="false"/>
          <w:color w:val="1E1E1E"/>
          <w:sz w:val="22"/>
          <w:szCs w:val="22"/>
        </w:rPr>
        <w:t xml:space="preserve">One document per interview. One master synthesis document. One running “quotes that matter” list. Notion or Obsidian both work. Set this up before your first conversation — you’ll thank yourself in month 4 when you’re trying to reconstruct what 20 PMs told you.</w:t>
      </w:r>
    </w:p>
    <w:p>
      <w:pPr>
        <w:spacing w:before="160" w:after="60"/>
      </w:pPr>
      <w:r>
        <w:rPr>
          <w:rFonts w:ascii="Arial" w:cs="Arial" w:eastAsia="Arial" w:hAnsi="Arial"/>
          <w:b/>
          <w:bCs/>
          <w:color w:val="C4733A"/>
          <w:sz w:val="22"/>
          <w:szCs w:val="22"/>
        </w:rPr>
        <w:t xml:space="preserve">Schedule your first three interviews</w:t>
      </w:r>
    </w:p>
    <w:p>
      <w:pPr>
        <w:spacing w:before="40" w:after="120"/>
        <w:jc w:val="left"/>
      </w:pPr>
      <w:r>
        <w:rPr>
          <w:rFonts w:ascii="Arial" w:cs="Arial" w:eastAsia="Arial" w:hAnsi="Arial"/>
          <w:b w:val="false"/>
          <w:bCs w:val="false"/>
          <w:i w:val="false"/>
          <w:iCs w:val="false"/>
          <w:color w:val="1E1E1E"/>
          <w:sz w:val="22"/>
          <w:szCs w:val="22"/>
        </w:rPr>
        <w:t xml:space="preserve">Don’t wait for the right moment. Put three names in your calendar before you close this document. Former colleagues who can route you to startup PMs. LinkedIn contacts at smaller companies. The first three are practice — not perfect data.</w:t>
      </w:r>
    </w:p>
    <w:p>
      <w:pPr>
        <w:spacing w:before="160" w:after="60"/>
      </w:pPr>
      <w:r>
        <w:rPr>
          <w:rFonts w:ascii="Arial" w:cs="Arial" w:eastAsia="Arial" w:hAnsi="Arial"/>
          <w:b/>
          <w:bCs/>
          <w:color w:val="C4733A"/>
          <w:sz w:val="22"/>
          <w:szCs w:val="22"/>
        </w:rPr>
        <w:t xml:space="preserve">Join two communities</w:t>
      </w:r>
    </w:p>
    <w:p>
      <w:pPr>
        <w:spacing w:before="40" w:after="120"/>
        <w:jc w:val="left"/>
      </w:pPr>
      <w:r>
        <w:rPr>
          <w:rFonts w:ascii="Arial" w:cs="Arial" w:eastAsia="Arial" w:hAnsi="Arial"/>
          <w:b w:val="false"/>
          <w:bCs w:val="false"/>
          <w:i w:val="false"/>
          <w:iCs w:val="false"/>
          <w:color w:val="1E1E1E"/>
          <w:sz w:val="22"/>
          <w:szCs w:val="22"/>
        </w:rPr>
        <w:t xml:space="preserve">Lenny’s Newsletter community (paid but worth it for access to the Slack) and the Mind the Product Slack (free). Spend the first two weeks reading only. Observe which conversations come up repeatedly around prioritization and roadmap decisions. That pattern is your discovery interview guide.</w:t>
      </w:r>
    </w:p>
    <w:p>
      <w:pPr>
        <w:spacing w:before="160" w:after="60"/>
      </w:pPr>
      <w:r>
        <w:rPr>
          <w:rFonts w:ascii="Arial" w:cs="Arial" w:eastAsia="Arial" w:hAnsi="Arial"/>
          <w:b/>
          <w:bCs/>
          <w:color w:val="C4733A"/>
          <w:sz w:val="22"/>
          <w:szCs w:val="22"/>
        </w:rPr>
        <w:t xml:space="preserve">Create a minimal waitlist page</w:t>
      </w:r>
    </w:p>
    <w:p>
      <w:pPr>
        <w:spacing w:before="40" w:after="120"/>
        <w:jc w:val="left"/>
      </w:pPr>
      <w:r>
        <w:rPr>
          <w:rFonts w:ascii="Arial" w:cs="Arial" w:eastAsia="Arial" w:hAnsi="Arial"/>
          <w:b w:val="false"/>
          <w:bCs w:val="false"/>
          <w:i w:val="false"/>
          <w:iCs w:val="false"/>
          <w:color w:val="1E1E1E"/>
          <w:sz w:val="22"/>
          <w:szCs w:val="22"/>
        </w:rPr>
        <w:t xml:space="preserve">A single page: headline, two sentences about the problem, email field. This forces you to articulate the value proposition in plain language and gives you a place to send people who say “let me know when it’s ready.” Carrd.co takes 30 minutes. Do it this week.</w:t>
      </w:r>
    </w:p>
    <w:p>
      <w:pPr>
        <w:spacing w:before="160" w:after="60"/>
      </w:pPr>
      <w:r>
        <w:rPr>
          <w:rFonts w:ascii="Arial" w:cs="Arial" w:eastAsia="Arial" w:hAnsi="Arial"/>
          <w:b/>
          <w:bCs/>
          <w:color w:val="C4733A"/>
          <w:sz w:val="22"/>
          <w:szCs w:val="22"/>
        </w:rPr>
        <w:t xml:space="preserve">A note on the Odin Project timeline</w:t>
      </w:r>
    </w:p>
    <w:p>
      <w:pPr>
        <w:spacing w:before="40" w:after="240"/>
        <w:jc w:val="left"/>
      </w:pPr>
      <w:r>
        <w:rPr>
          <w:rFonts w:ascii="Arial" w:cs="Arial" w:eastAsia="Arial" w:hAnsi="Arial"/>
          <w:b w:val="false"/>
          <w:bCs w:val="false"/>
          <w:i w:val="false"/>
          <w:iCs w:val="false"/>
          <w:color w:val="1E1E1E"/>
          <w:sz w:val="22"/>
          <w:szCs w:val="22"/>
        </w:rPr>
        <w:t xml:space="preserve">A realistic target: Foundations by end of month 2, HTML/CSS by month 4, JavaScript by month 7, React by month 9. You don’t need to finish the curriculum before building — once you know enough JavaScript to be dangerous, the real project will teach you faster. Track a weekly minimum, not a daily one. Consistency over intensity.</w:t>
      </w:r>
    </w:p>
    <w:p>
      <w:pPr>
        <w:pBdr>
          <w:bottom w:val="single" w:color="E5DDD5" w:sz="4" w:space="1"/>
        </w:pBdr>
        <w:spacing w:before="120" w:after="120"/>
      </w:pPr>
    </w:p>
    <w:p>
      <w:pPr>
        <w:spacing w:before="160" w:after="80"/>
        <w:jc w:val="center"/>
      </w:pPr>
      <w:r>
        <w:rPr>
          <w:rFonts w:ascii="Arial" w:cs="Arial" w:eastAsia="Arial" w:hAnsi="Arial"/>
          <w:i/>
          <w:iCs/>
          <w:color w:val="6B5E5A"/>
          <w:sz w:val="20"/>
          <w:szCs w:val="20"/>
        </w:rPr>
        <w:t xml:space="preserve">Temper  —  Raw ideas. Refined priorities.</w:t>
      </w:r>
    </w:p>
    <w:p>
      <w:pPr>
        <w:spacing w:before="0" w:after="0"/>
        <w:jc w:val="center"/>
      </w:pPr>
      <w:r>
        <w:rPr>
          <w:rFonts w:ascii="Arial" w:cs="Arial" w:eastAsia="Arial" w:hAnsi="Arial"/>
          <w:color w:val="6B5E5A"/>
          <w:sz w:val="18"/>
          <w:szCs w:val="18"/>
        </w:rPr>
        <w:t xml:space="preserve">Roadmap v2  |  March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2026-03-18T17:59:26.972Z</dcterms:created>
  <dcterms:modified xsi:type="dcterms:W3CDTF">2026-03-18T17:59:26.972Z</dcterms:modified>
</cp:coreProperties>
</file>

<file path=docProps/custom.xml><?xml version="1.0" encoding="utf-8"?>
<Properties xmlns="http://schemas.openxmlformats.org/officeDocument/2006/custom-properties" xmlns:vt="http://schemas.openxmlformats.org/officeDocument/2006/docPropsVTypes"/>
</file>