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Design Document</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Research</w:t>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following terms were used to research the capabilities of self-driving cars: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Self-Driving Car [Zhou et al., 2019]</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Autonomous Car [Pannu et al., 2015]</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Capabilities of Self-Driving Cars [Jo et al., 2014]</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Self-Driving Car Technologies [Reddy et al., 2019]</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Energy Consumption [Phan et al., 2020]</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Predictive Maintenance [Arena et al., 2021]</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Route Planning [Zhao et al., 2018]</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first four terms provided an excellent overview of technologies commonly used in self-driving vehicles. Based on the articles read, my research focused on the three latter terms in combination with the first four to discover how these technologies work.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System Design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3543300"/>
            <wp:effectExtent b="0" l="0" r="0" t="0"/>
            <wp:docPr id="1" name="image1.png"/>
            <a:graphic>
              <a:graphicData uri="http://schemas.openxmlformats.org/drawingml/2006/picture">
                <pic:pic>
                  <pic:nvPicPr>
                    <pic:cNvPr id="0" name="image1.png"/>
                    <pic:cNvPicPr preferRelativeResize="0"/>
                  </pic:nvPicPr>
                  <pic:blipFill>
                    <a:blip r:embed="rId6"/>
                    <a:srcRect b="0" l="61" r="61"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system consists of three “main” classes, “RoutePlanner”, “EnergyMonitor”, and “MaintenanceMonitor”, which control part of the system’s operation. The “SelfDrivingCar” class represents the vehicle. The “UserInterface” class is the blueprint for the user's interface with the system. Working in conjunction with these “main” classes, the “Trip”, “Location”, “Road”, “Part”, and “Battery” classes support the inner working of the system.</w:t>
      </w:r>
    </w:p>
    <w:p w:rsidR="00000000" w:rsidDel="00000000" w:rsidP="00000000" w:rsidRDefault="00000000" w:rsidRPr="00000000" w14:paraId="00000015">
      <w:pPr>
        <w:rPr/>
      </w:pPr>
      <w:r w:rsidDel="00000000" w:rsidR="00000000" w:rsidRPr="00000000">
        <w:rPr>
          <w:rtl w:val="0"/>
        </w:rPr>
        <w:t xml:space="preserve">The user can input a destination into the user interface, which sends the input to the “RoutePlanner”. The “RoutePlanner” calculates the optimal route from the car’s location to the destination. Once calculated, it sends the distance information to the “EnergyMonitor”, querying the battery level to ensure the car can travel along this route. If the “EnergyMonitor” approves the route, the “RoutePlanner” sends the data back to the UI, where the user can confirm the route or request a different one. If the “EnergyMonitor” calculates that the battery’s charge is insufficient, it requests a route to a charging station and informs the user.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“MaintenanceMonitor” can request the condition of each part in the car and compare it to its respective minimum. Based on the total distance travelled since the last maintenance date and the deterioration of parts, the operation can calculate when maintenance will likely be due. The car’s overall condition and battery level will be displayed on the UI.</w:t>
      </w:r>
    </w:p>
    <w:p w:rsidR="00000000" w:rsidDel="00000000" w:rsidP="00000000" w:rsidRDefault="00000000" w:rsidRPr="00000000" w14:paraId="00000018">
      <w:pPr>
        <w:rPr/>
      </w:pPr>
      <w:r w:rsidDel="00000000" w:rsidR="00000000" w:rsidRPr="00000000">
        <w:rPr>
          <w:rtl w:val="0"/>
        </w:rPr>
        <w:t xml:space="preserve">As a route is effectively a list of coordinates, it makes the most sense to handle it as a queue. Because a queue works with the “first in, first out” principle, removing coordinates from this list will be relatively easy once the car has passed them.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 issue instructions, the system uses boolean values. For example, the “EnergyMonitor” returns “True” if it approves a route and “False” if it rejects it. The same is done when instructing the car to move or when the “MaintenanceMonitor” alerts the UI of an emergency. “Roads” and “ChargingStations” are nested dictionaries, which consist of a “name” string, a “latitude” float and a “longitude” float. “Trips” is also a nested dictionary consisting of an “ID” string, a “date” string and a “distance_travelled” string. Some classes contain instances of other classes. For example, the “beginning” and “end” attributes of the “Road” class are instances of the “Location” class. The “UserInterface” runs instances of each of the three operations. The user only interacts with the UI, which controls all other operations “behind the scenes”.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rtl w:val="0"/>
        </w:rPr>
      </w:r>
    </w:p>
    <w:p w:rsidR="00000000" w:rsidDel="00000000" w:rsidP="00000000" w:rsidRDefault="00000000" w:rsidRPr="00000000" w14:paraId="00000029">
      <w:pPr>
        <w:rPr>
          <w:u w:val="single"/>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rtl w:val="0"/>
        </w:rPr>
      </w:r>
    </w:p>
    <w:p w:rsidR="00000000" w:rsidDel="00000000" w:rsidP="00000000" w:rsidRDefault="00000000" w:rsidRPr="00000000" w14:paraId="0000002E">
      <w:pPr>
        <w:rPr>
          <w:u w:val="single"/>
        </w:rPr>
      </w:pPr>
      <w:r w:rsidDel="00000000" w:rsidR="00000000" w:rsidRPr="00000000">
        <w:rPr>
          <w:u w:val="single"/>
          <w:rtl w:val="0"/>
        </w:rPr>
        <w:t xml:space="preserve">UML Diagrams</w:t>
      </w:r>
    </w:p>
    <w:p w:rsidR="00000000" w:rsidDel="00000000" w:rsidP="00000000" w:rsidRDefault="00000000" w:rsidRPr="00000000" w14:paraId="0000002F">
      <w:pPr>
        <w:rPr>
          <w:u w:val="single"/>
        </w:rPr>
      </w:pPr>
      <w:r w:rsidDel="00000000" w:rsidR="00000000" w:rsidRPr="00000000">
        <w:rPr>
          <w:rtl w:val="0"/>
        </w:rPr>
      </w:r>
    </w:p>
    <w:p w:rsidR="00000000" w:rsidDel="00000000" w:rsidP="00000000" w:rsidRDefault="00000000" w:rsidRPr="00000000" w14:paraId="00000030">
      <w:pPr>
        <w:rPr>
          <w:u w:val="single"/>
        </w:rPr>
      </w:pPr>
      <w:r w:rsidDel="00000000" w:rsidR="00000000" w:rsidRPr="00000000">
        <w:rPr>
          <w:rtl w:val="0"/>
        </w:rPr>
      </w:r>
    </w:p>
    <w:p w:rsidR="00000000" w:rsidDel="00000000" w:rsidP="00000000" w:rsidRDefault="00000000" w:rsidRPr="00000000" w14:paraId="00000031">
      <w:pPr>
        <w:rPr>
          <w:u w:val="single"/>
        </w:rPr>
      </w:pPr>
      <w:r w:rsidDel="00000000" w:rsidR="00000000" w:rsidRPr="00000000">
        <w:rPr>
          <w:rtl w:val="0"/>
        </w:rPr>
      </w:r>
    </w:p>
    <w:p w:rsidR="00000000" w:rsidDel="00000000" w:rsidP="00000000" w:rsidRDefault="00000000" w:rsidRPr="00000000" w14:paraId="00000032">
      <w:pPr>
        <w:rPr>
          <w:u w:val="single"/>
        </w:rPr>
      </w:pPr>
      <w:r w:rsidDel="00000000" w:rsidR="00000000" w:rsidRPr="00000000">
        <w:rPr>
          <w:rtl w:val="0"/>
        </w:rPr>
      </w:r>
    </w:p>
    <w:p w:rsidR="00000000" w:rsidDel="00000000" w:rsidP="00000000" w:rsidRDefault="00000000" w:rsidRPr="00000000" w14:paraId="00000033">
      <w:pPr>
        <w:rPr>
          <w:u w:val="single"/>
        </w:rPr>
      </w:pPr>
      <w:r w:rsidDel="00000000" w:rsidR="00000000" w:rsidRPr="00000000">
        <w:rPr>
          <w:u w:val="single"/>
        </w:rPr>
        <w:drawing>
          <wp:inline distB="114300" distT="114300" distL="114300" distR="114300">
            <wp:extent cx="5943600" cy="383540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u w:val="single"/>
        </w:rPr>
      </w:pPr>
      <w:r w:rsidDel="00000000" w:rsidR="00000000" w:rsidRPr="00000000">
        <w:rPr>
          <w:u w:val="single"/>
        </w:rPr>
        <w:drawing>
          <wp:inline distB="114300" distT="114300" distL="114300" distR="114300">
            <wp:extent cx="5943600" cy="3962400"/>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u w:val="single"/>
        </w:rPr>
        <w:drawing>
          <wp:inline distB="114300" distT="114300" distL="114300" distR="114300">
            <wp:extent cx="5429250" cy="486727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29250"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u w:val="single"/>
        </w:rPr>
      </w:pPr>
      <w:r w:rsidDel="00000000" w:rsidR="00000000" w:rsidRPr="00000000">
        <w:rPr>
          <w:u w:val="single"/>
        </w:rPr>
        <w:drawing>
          <wp:inline distB="114300" distT="114300" distL="114300" distR="114300">
            <wp:extent cx="5943600" cy="364490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u w:val="single"/>
        </w:rPr>
      </w:pPr>
      <w:r w:rsidDel="00000000" w:rsidR="00000000" w:rsidRPr="00000000">
        <w:rPr>
          <w:rtl w:val="0"/>
        </w:rPr>
      </w:r>
    </w:p>
    <w:p w:rsidR="00000000" w:rsidDel="00000000" w:rsidP="00000000" w:rsidRDefault="00000000" w:rsidRPr="00000000" w14:paraId="00000039">
      <w:pPr>
        <w:rPr>
          <w:u w:val="single"/>
        </w:rPr>
      </w:pPr>
      <w:r w:rsidDel="00000000" w:rsidR="00000000" w:rsidRPr="00000000">
        <w:rPr>
          <w:rtl w:val="0"/>
        </w:rPr>
      </w:r>
    </w:p>
    <w:p w:rsidR="00000000" w:rsidDel="00000000" w:rsidP="00000000" w:rsidRDefault="00000000" w:rsidRPr="00000000" w14:paraId="0000003A">
      <w:pPr>
        <w:rPr>
          <w:u w:val="single"/>
        </w:rPr>
      </w:pPr>
      <w:r w:rsidDel="00000000" w:rsidR="00000000" w:rsidRPr="00000000">
        <w:rPr>
          <w:rtl w:val="0"/>
        </w:rPr>
      </w:r>
    </w:p>
    <w:p w:rsidR="00000000" w:rsidDel="00000000" w:rsidP="00000000" w:rsidRDefault="00000000" w:rsidRPr="00000000" w14:paraId="0000003B">
      <w:pPr>
        <w:rPr>
          <w:u w:val="single"/>
        </w:rPr>
      </w:pPr>
      <w:r w:rsidDel="00000000" w:rsidR="00000000" w:rsidRPr="00000000">
        <w:rPr>
          <w:u w:val="single"/>
        </w:rPr>
        <w:drawing>
          <wp:inline distB="114300" distT="114300" distL="114300" distR="114300">
            <wp:extent cx="5943600" cy="32258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u w:val="single"/>
        </w:rPr>
      </w:pPr>
      <w:r w:rsidDel="00000000" w:rsidR="00000000" w:rsidRPr="00000000">
        <w:rPr>
          <w:rtl w:val="0"/>
        </w:rPr>
      </w:r>
    </w:p>
    <w:p w:rsidR="00000000" w:rsidDel="00000000" w:rsidP="00000000" w:rsidRDefault="00000000" w:rsidRPr="00000000" w14:paraId="0000003D">
      <w:pPr>
        <w:rPr>
          <w:u w:val="single"/>
        </w:rPr>
      </w:pPr>
      <w:r w:rsidDel="00000000" w:rsidR="00000000" w:rsidRPr="00000000">
        <w:rPr>
          <w:u w:val="single"/>
        </w:rPr>
        <w:drawing>
          <wp:inline distB="114300" distT="114300" distL="114300" distR="114300">
            <wp:extent cx="5400675" cy="4276725"/>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00675"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u w:val="single"/>
        </w:rPr>
      </w:pPr>
      <w:r w:rsidDel="00000000" w:rsidR="00000000" w:rsidRPr="00000000">
        <w:rPr>
          <w:rtl w:val="0"/>
        </w:rPr>
      </w:r>
    </w:p>
    <w:p w:rsidR="00000000" w:rsidDel="00000000" w:rsidP="00000000" w:rsidRDefault="00000000" w:rsidRPr="00000000" w14:paraId="0000003F">
      <w:pPr>
        <w:rPr>
          <w:u w:val="single"/>
        </w:rPr>
      </w:pPr>
      <w:r w:rsidDel="00000000" w:rsidR="00000000" w:rsidRPr="00000000">
        <w:rPr>
          <w:rtl w:val="0"/>
        </w:rPr>
      </w:r>
    </w:p>
    <w:p w:rsidR="00000000" w:rsidDel="00000000" w:rsidP="00000000" w:rsidRDefault="00000000" w:rsidRPr="00000000" w14:paraId="00000040">
      <w:pPr>
        <w:rPr>
          <w:u w:val="single"/>
        </w:rPr>
      </w:pPr>
      <w:r w:rsidDel="00000000" w:rsidR="00000000" w:rsidRPr="00000000">
        <w:rPr>
          <w:u w:val="single"/>
        </w:rPr>
        <w:drawing>
          <wp:inline distB="114300" distT="114300" distL="114300" distR="114300">
            <wp:extent cx="5943600" cy="5143500"/>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u w:val="single"/>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rtl w:val="0"/>
        </w:rPr>
      </w:r>
    </w:p>
    <w:p w:rsidR="00000000" w:rsidDel="00000000" w:rsidP="00000000" w:rsidRDefault="00000000" w:rsidRPr="00000000" w14:paraId="00000043">
      <w:pPr>
        <w:rPr>
          <w:u w:val="single"/>
        </w:rPr>
      </w:pPr>
      <w:r w:rsidDel="00000000" w:rsidR="00000000" w:rsidRPr="00000000">
        <w:rPr>
          <w:rtl w:val="0"/>
        </w:rPr>
      </w:r>
    </w:p>
    <w:p w:rsidR="00000000" w:rsidDel="00000000" w:rsidP="00000000" w:rsidRDefault="00000000" w:rsidRPr="00000000" w14:paraId="00000044">
      <w:pPr>
        <w:rPr>
          <w:u w:val="single"/>
        </w:rPr>
      </w:pPr>
      <w:r w:rsidDel="00000000" w:rsidR="00000000" w:rsidRPr="00000000">
        <w:rPr>
          <w:u w:val="single"/>
        </w:rPr>
        <w:drawing>
          <wp:inline distB="114300" distT="114300" distL="114300" distR="114300">
            <wp:extent cx="5943600" cy="20701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u w:val="single"/>
        </w:rPr>
      </w:pPr>
      <w:r w:rsidDel="00000000" w:rsidR="00000000" w:rsidRPr="00000000">
        <w:rPr>
          <w:rtl w:val="0"/>
        </w:rPr>
      </w:r>
    </w:p>
    <w:p w:rsidR="00000000" w:rsidDel="00000000" w:rsidP="00000000" w:rsidRDefault="00000000" w:rsidRPr="00000000" w14:paraId="00000046">
      <w:pPr>
        <w:rPr>
          <w:u w:val="single"/>
        </w:rPr>
      </w:pPr>
      <w:r w:rsidDel="00000000" w:rsidR="00000000" w:rsidRPr="00000000">
        <w:rPr>
          <w:u w:val="single"/>
        </w:rPr>
        <w:drawing>
          <wp:inline distB="114300" distT="114300" distL="114300" distR="114300">
            <wp:extent cx="5943600" cy="311150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u w:val="single"/>
        </w:rPr>
      </w:pPr>
      <w:r w:rsidDel="00000000" w:rsidR="00000000" w:rsidRPr="00000000">
        <w:rPr>
          <w:rtl w:val="0"/>
        </w:rPr>
      </w:r>
    </w:p>
    <w:p w:rsidR="00000000" w:rsidDel="00000000" w:rsidP="00000000" w:rsidRDefault="00000000" w:rsidRPr="00000000" w14:paraId="00000048">
      <w:pPr>
        <w:rPr>
          <w:u w:val="single"/>
        </w:rPr>
      </w:pPr>
      <w:r w:rsidDel="00000000" w:rsidR="00000000" w:rsidRPr="00000000">
        <w:rPr>
          <w:rtl w:val="0"/>
        </w:rPr>
      </w:r>
    </w:p>
    <w:p w:rsidR="00000000" w:rsidDel="00000000" w:rsidP="00000000" w:rsidRDefault="00000000" w:rsidRPr="00000000" w14:paraId="00000049">
      <w:pPr>
        <w:rPr>
          <w:u w:val="single"/>
        </w:rPr>
      </w:pPr>
      <w:r w:rsidDel="00000000" w:rsidR="00000000" w:rsidRPr="00000000">
        <w:rPr>
          <w:rtl w:val="0"/>
        </w:rPr>
      </w:r>
    </w:p>
    <w:p w:rsidR="00000000" w:rsidDel="00000000" w:rsidP="00000000" w:rsidRDefault="00000000" w:rsidRPr="00000000" w14:paraId="0000004A">
      <w:pPr>
        <w:rPr>
          <w:u w:val="single"/>
        </w:rPr>
      </w:pPr>
      <w:r w:rsidDel="00000000" w:rsidR="00000000" w:rsidRPr="00000000">
        <w:rPr>
          <w:rtl w:val="0"/>
        </w:rPr>
      </w:r>
    </w:p>
    <w:p w:rsidR="00000000" w:rsidDel="00000000" w:rsidP="00000000" w:rsidRDefault="00000000" w:rsidRPr="00000000" w14:paraId="0000004B">
      <w:pPr>
        <w:rPr>
          <w:u w:val="single"/>
        </w:rPr>
      </w:pPr>
      <w:r w:rsidDel="00000000" w:rsidR="00000000" w:rsidRPr="00000000">
        <w:rPr>
          <w:rtl w:val="0"/>
        </w:rPr>
      </w:r>
    </w:p>
    <w:p w:rsidR="00000000" w:rsidDel="00000000" w:rsidP="00000000" w:rsidRDefault="00000000" w:rsidRPr="00000000" w14:paraId="0000004C">
      <w:pPr>
        <w:rPr>
          <w:u w:val="single"/>
        </w:rPr>
      </w:pPr>
      <w:r w:rsidDel="00000000" w:rsidR="00000000" w:rsidRPr="00000000">
        <w:rPr>
          <w:rtl w:val="0"/>
        </w:rPr>
      </w:r>
    </w:p>
    <w:p w:rsidR="00000000" w:rsidDel="00000000" w:rsidP="00000000" w:rsidRDefault="00000000" w:rsidRPr="00000000" w14:paraId="0000004D">
      <w:pPr>
        <w:rPr>
          <w:u w:val="single"/>
        </w:rPr>
      </w:pPr>
      <w:r w:rsidDel="00000000" w:rsidR="00000000" w:rsidRPr="00000000">
        <w:rPr>
          <w:rtl w:val="0"/>
        </w:rPr>
      </w:r>
    </w:p>
    <w:p w:rsidR="00000000" w:rsidDel="00000000" w:rsidP="00000000" w:rsidRDefault="00000000" w:rsidRPr="00000000" w14:paraId="0000004E">
      <w:pPr>
        <w:rPr>
          <w:u w:val="single"/>
        </w:rPr>
      </w:pPr>
      <w:r w:rsidDel="00000000" w:rsidR="00000000" w:rsidRPr="00000000">
        <w:rPr>
          <w:rtl w:val="0"/>
        </w:rPr>
      </w:r>
    </w:p>
    <w:p w:rsidR="00000000" w:rsidDel="00000000" w:rsidP="00000000" w:rsidRDefault="00000000" w:rsidRPr="00000000" w14:paraId="0000004F">
      <w:pPr>
        <w:rPr>
          <w:u w:val="single"/>
        </w:rPr>
      </w:pPr>
      <w:r w:rsidDel="00000000" w:rsidR="00000000" w:rsidRPr="00000000">
        <w:rPr>
          <w:rtl w:val="0"/>
        </w:rPr>
      </w:r>
    </w:p>
    <w:p w:rsidR="00000000" w:rsidDel="00000000" w:rsidP="00000000" w:rsidRDefault="00000000" w:rsidRPr="00000000" w14:paraId="00000050">
      <w:pPr>
        <w:rPr>
          <w:u w:val="single"/>
        </w:rPr>
      </w:pPr>
      <w:r w:rsidDel="00000000" w:rsidR="00000000" w:rsidRPr="00000000">
        <w:rPr>
          <w:rtl w:val="0"/>
        </w:rPr>
      </w:r>
    </w:p>
    <w:p w:rsidR="00000000" w:rsidDel="00000000" w:rsidP="00000000" w:rsidRDefault="00000000" w:rsidRPr="00000000" w14:paraId="00000051">
      <w:pPr>
        <w:rPr>
          <w:u w:val="single"/>
        </w:rPr>
      </w:pPr>
      <w:r w:rsidDel="00000000" w:rsidR="00000000" w:rsidRPr="00000000">
        <w:rPr>
          <w:rtl w:val="0"/>
        </w:rPr>
      </w:r>
    </w:p>
    <w:p w:rsidR="00000000" w:rsidDel="00000000" w:rsidP="00000000" w:rsidRDefault="00000000" w:rsidRPr="00000000" w14:paraId="00000052">
      <w:pPr>
        <w:rPr>
          <w:u w:val="single"/>
        </w:rPr>
      </w:pPr>
      <w:r w:rsidDel="00000000" w:rsidR="00000000" w:rsidRPr="00000000">
        <w:rPr>
          <w:rtl w:val="0"/>
        </w:rPr>
      </w:r>
    </w:p>
    <w:p w:rsidR="00000000" w:rsidDel="00000000" w:rsidP="00000000" w:rsidRDefault="00000000" w:rsidRPr="00000000" w14:paraId="00000053">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54">
      <w:pPr>
        <w:rPr>
          <w:u w:val="single"/>
        </w:rPr>
      </w:pPr>
      <w:r w:rsidDel="00000000" w:rsidR="00000000" w:rsidRPr="00000000">
        <w:rPr>
          <w:u w:val="single"/>
          <w:rtl w:val="0"/>
        </w:rPr>
        <w:t xml:space="preserve">References</w:t>
      </w:r>
    </w:p>
    <w:p w:rsidR="00000000" w:rsidDel="00000000" w:rsidP="00000000" w:rsidRDefault="00000000" w:rsidRPr="00000000" w14:paraId="00000055">
      <w:pPr>
        <w:rPr>
          <w:u w:val="single"/>
        </w:rPr>
      </w:pPr>
      <w:r w:rsidDel="00000000" w:rsidR="00000000" w:rsidRPr="00000000">
        <w:rPr>
          <w:rtl w:val="0"/>
        </w:rPr>
      </w:r>
    </w:p>
    <w:p w:rsidR="00000000" w:rsidDel="00000000" w:rsidP="00000000" w:rsidRDefault="00000000" w:rsidRPr="00000000" w14:paraId="00000056">
      <w:pPr>
        <w:shd w:fill="ffffff" w:val="clear"/>
        <w:spacing w:after="300" w:lineRule="auto"/>
        <w:ind w:left="0" w:firstLine="0"/>
        <w:rPr>
          <w:color w:val="373a3c"/>
          <w:sz w:val="24"/>
          <w:szCs w:val="24"/>
        </w:rPr>
      </w:pPr>
      <w:r w:rsidDel="00000000" w:rsidR="00000000" w:rsidRPr="00000000">
        <w:rPr>
          <w:color w:val="373a3c"/>
          <w:sz w:val="24"/>
          <w:szCs w:val="24"/>
          <w:rtl w:val="0"/>
        </w:rPr>
        <w:t xml:space="preserve">Reddy, P. P. (2019) Driverless Car: Software Modelling and Design using Python and TensorFlow.</w:t>
      </w:r>
    </w:p>
    <w:p w:rsidR="00000000" w:rsidDel="00000000" w:rsidP="00000000" w:rsidRDefault="00000000" w:rsidRPr="00000000" w14:paraId="00000057">
      <w:pPr>
        <w:shd w:fill="ffffff" w:val="clear"/>
        <w:spacing w:after="300" w:lineRule="auto"/>
        <w:ind w:left="0" w:firstLine="0"/>
        <w:rPr>
          <w:color w:val="373a3c"/>
          <w:sz w:val="24"/>
          <w:szCs w:val="24"/>
        </w:rPr>
      </w:pPr>
      <w:r w:rsidDel="00000000" w:rsidR="00000000" w:rsidRPr="00000000">
        <w:rPr>
          <w:color w:val="373a3c"/>
          <w:sz w:val="24"/>
          <w:szCs w:val="24"/>
          <w:rtl w:val="0"/>
        </w:rPr>
        <w:t xml:space="preserve">Zhou, Z. Q. &amp; Sun, L. (2019) Metamorphic testing of driverless cars. </w:t>
      </w:r>
      <w:r w:rsidDel="00000000" w:rsidR="00000000" w:rsidRPr="00000000">
        <w:rPr>
          <w:i w:val="1"/>
          <w:color w:val="373a3c"/>
          <w:sz w:val="24"/>
          <w:szCs w:val="24"/>
          <w:rtl w:val="0"/>
        </w:rPr>
        <w:t xml:space="preserve">Commun. ACM </w:t>
      </w:r>
      <w:r w:rsidDel="00000000" w:rsidR="00000000" w:rsidRPr="00000000">
        <w:rPr>
          <w:color w:val="373a3c"/>
          <w:sz w:val="24"/>
          <w:szCs w:val="24"/>
          <w:rtl w:val="0"/>
        </w:rPr>
        <w:t xml:space="preserve">62(3): 61–67. DOI: </w:t>
      </w:r>
      <w:hyperlink r:id="rId16">
        <w:r w:rsidDel="00000000" w:rsidR="00000000" w:rsidRPr="00000000">
          <w:rPr>
            <w:color w:val="1155cc"/>
            <w:sz w:val="24"/>
            <w:szCs w:val="24"/>
            <w:u w:val="single"/>
            <w:rtl w:val="0"/>
          </w:rPr>
          <w:t xml:space="preserve">https://doi.org/10.1145/3241979</w:t>
        </w:r>
      </w:hyperlink>
      <w:r w:rsidDel="00000000" w:rsidR="00000000" w:rsidRPr="00000000">
        <w:rPr>
          <w:color w:val="373a3c"/>
          <w:sz w:val="24"/>
          <w:szCs w:val="24"/>
          <w:rtl w:val="0"/>
        </w:rPr>
        <w:t xml:space="preserve">.</w:t>
      </w:r>
    </w:p>
    <w:p w:rsidR="00000000" w:rsidDel="00000000" w:rsidP="00000000" w:rsidRDefault="00000000" w:rsidRPr="00000000" w14:paraId="00000058">
      <w:pPr>
        <w:shd w:fill="ffffff" w:val="clear"/>
        <w:spacing w:after="300" w:lineRule="auto"/>
        <w:ind w:left="0" w:firstLine="0"/>
        <w:rPr>
          <w:color w:val="373a3c"/>
          <w:sz w:val="24"/>
          <w:szCs w:val="24"/>
        </w:rPr>
      </w:pPr>
      <w:r w:rsidDel="00000000" w:rsidR="00000000" w:rsidRPr="00000000">
        <w:rPr>
          <w:color w:val="373a3c"/>
          <w:sz w:val="24"/>
          <w:szCs w:val="24"/>
          <w:rtl w:val="0"/>
        </w:rPr>
        <w:t xml:space="preserve">Zhao, J., Liang, B. &amp; Chen, Q. (2018) The key technology toward the self-driving car. </w:t>
      </w:r>
      <w:r w:rsidDel="00000000" w:rsidR="00000000" w:rsidRPr="00000000">
        <w:rPr>
          <w:i w:val="1"/>
          <w:color w:val="373a3c"/>
          <w:sz w:val="24"/>
          <w:szCs w:val="24"/>
          <w:rtl w:val="0"/>
        </w:rPr>
        <w:t xml:space="preserve">International Journal of Intelligent Unmanned Systems </w:t>
      </w:r>
      <w:r w:rsidDel="00000000" w:rsidR="00000000" w:rsidRPr="00000000">
        <w:rPr>
          <w:color w:val="373a3c"/>
          <w:sz w:val="24"/>
          <w:szCs w:val="24"/>
          <w:rtl w:val="0"/>
        </w:rPr>
        <w:t xml:space="preserve">6(1): 2-20. </w:t>
      </w:r>
    </w:p>
    <w:p w:rsidR="00000000" w:rsidDel="00000000" w:rsidP="00000000" w:rsidRDefault="00000000" w:rsidRPr="00000000" w14:paraId="00000059">
      <w:pPr>
        <w:shd w:fill="ffffff" w:val="clear"/>
        <w:spacing w:after="300" w:lineRule="auto"/>
        <w:ind w:left="0" w:firstLine="0"/>
        <w:rPr>
          <w:color w:val="373a3c"/>
          <w:sz w:val="24"/>
          <w:szCs w:val="24"/>
        </w:rPr>
      </w:pPr>
      <w:r w:rsidDel="00000000" w:rsidR="00000000" w:rsidRPr="00000000">
        <w:rPr>
          <w:color w:val="373a3c"/>
          <w:sz w:val="24"/>
          <w:szCs w:val="24"/>
          <w:rtl w:val="0"/>
        </w:rPr>
        <w:t xml:space="preserve">Jo, K., Kim, J., Kim, D., Jang, C. &amp; Sunwoo, M. (2014) Development of Autonomous Car - Part I: Distributed System Architecture and Development Process. </w:t>
      </w:r>
      <w:r w:rsidDel="00000000" w:rsidR="00000000" w:rsidRPr="00000000">
        <w:rPr>
          <w:i w:val="1"/>
          <w:color w:val="373a3c"/>
          <w:sz w:val="24"/>
          <w:szCs w:val="24"/>
          <w:rtl w:val="0"/>
        </w:rPr>
        <w:t xml:space="preserve">IEEE Transactions on Industrial Electronics</w:t>
      </w:r>
      <w:r w:rsidDel="00000000" w:rsidR="00000000" w:rsidRPr="00000000">
        <w:rPr>
          <w:color w:val="373a3c"/>
          <w:sz w:val="24"/>
          <w:szCs w:val="24"/>
          <w:rtl w:val="0"/>
        </w:rPr>
        <w:t xml:space="preserve"> 61(12): 7131 - 7140.</w:t>
      </w:r>
    </w:p>
    <w:p w:rsidR="00000000" w:rsidDel="00000000" w:rsidP="00000000" w:rsidRDefault="00000000" w:rsidRPr="00000000" w14:paraId="0000005A">
      <w:pPr>
        <w:shd w:fill="ffffff" w:val="clear"/>
        <w:spacing w:after="300" w:lineRule="auto"/>
        <w:ind w:left="0" w:firstLine="0"/>
        <w:rPr>
          <w:color w:val="373a3c"/>
          <w:sz w:val="24"/>
          <w:szCs w:val="24"/>
        </w:rPr>
      </w:pPr>
      <w:r w:rsidDel="00000000" w:rsidR="00000000" w:rsidRPr="00000000">
        <w:rPr>
          <w:color w:val="373a3c"/>
          <w:sz w:val="24"/>
          <w:szCs w:val="24"/>
          <w:rtl w:val="0"/>
        </w:rPr>
        <w:t xml:space="preserve">Herr, N., Nicod, J., M., Varnier, C., Zerhouni, N. &amp; Dersin, P. (2017) ‘Predictive maintenance of moving systems’, </w:t>
      </w:r>
      <w:r w:rsidDel="00000000" w:rsidR="00000000" w:rsidRPr="00000000">
        <w:rPr>
          <w:i w:val="1"/>
          <w:color w:val="373a3c"/>
          <w:sz w:val="24"/>
          <w:szCs w:val="24"/>
          <w:rtl w:val="0"/>
        </w:rPr>
        <w:t xml:space="preserve">Prognostics and System Health Management Conference (PHM). </w:t>
      </w:r>
      <w:r w:rsidDel="00000000" w:rsidR="00000000" w:rsidRPr="00000000">
        <w:rPr>
          <w:color w:val="373a3c"/>
          <w:sz w:val="24"/>
          <w:szCs w:val="24"/>
          <w:rtl w:val="0"/>
        </w:rPr>
        <w:t xml:space="preserve">Harbin, China, 9-12 July. Online: IEEE. Available from:</w:t>
      </w:r>
      <w:hyperlink r:id="rId17">
        <w:r w:rsidDel="00000000" w:rsidR="00000000" w:rsidRPr="00000000">
          <w:rPr>
            <w:color w:val="373a3c"/>
            <w:sz w:val="24"/>
            <w:szCs w:val="24"/>
            <w:rtl w:val="0"/>
          </w:rPr>
          <w:t xml:space="preserve"> </w:t>
        </w:r>
      </w:hyperlink>
      <w:hyperlink r:id="rId18">
        <w:r w:rsidDel="00000000" w:rsidR="00000000" w:rsidRPr="00000000">
          <w:rPr>
            <w:color w:val="1155cc"/>
            <w:sz w:val="24"/>
            <w:szCs w:val="24"/>
            <w:u w:val="single"/>
            <w:rtl w:val="0"/>
          </w:rPr>
          <w:t xml:space="preserve">https://ieeexplore.ieee.org/abstract/document/8079111</w:t>
        </w:r>
      </w:hyperlink>
      <w:r w:rsidDel="00000000" w:rsidR="00000000" w:rsidRPr="00000000">
        <w:rPr>
          <w:color w:val="373a3c"/>
          <w:sz w:val="24"/>
          <w:szCs w:val="24"/>
          <w:rtl w:val="0"/>
        </w:rPr>
        <w:t xml:space="preserve"> [Accessed: 06/03/2023].</w:t>
      </w:r>
    </w:p>
    <w:p w:rsidR="00000000" w:rsidDel="00000000" w:rsidP="00000000" w:rsidRDefault="00000000" w:rsidRPr="00000000" w14:paraId="0000005B">
      <w:pPr>
        <w:shd w:fill="ffffff" w:val="clear"/>
        <w:spacing w:after="300" w:lineRule="auto"/>
        <w:ind w:left="0" w:firstLine="0"/>
        <w:rPr>
          <w:color w:val="373a3c"/>
          <w:sz w:val="24"/>
          <w:szCs w:val="24"/>
        </w:rPr>
      </w:pPr>
      <w:r w:rsidDel="00000000" w:rsidR="00000000" w:rsidRPr="00000000">
        <w:rPr>
          <w:color w:val="373a3c"/>
          <w:sz w:val="24"/>
          <w:szCs w:val="24"/>
          <w:rtl w:val="0"/>
        </w:rPr>
        <w:t xml:space="preserve">Phan, D., Bab-Hadishar, A., Lai, C. Y., Crawford, B., Hoseinnezhad, R., Jazar, R. N. &amp; Khayyam, H. (2020) Intelligent energy management system for conventional autonomous vehicles. </w:t>
      </w:r>
      <w:r w:rsidDel="00000000" w:rsidR="00000000" w:rsidRPr="00000000">
        <w:rPr>
          <w:i w:val="1"/>
          <w:color w:val="373a3c"/>
          <w:sz w:val="24"/>
          <w:szCs w:val="24"/>
          <w:rtl w:val="0"/>
        </w:rPr>
        <w:t xml:space="preserve">Energy</w:t>
      </w:r>
      <w:r w:rsidDel="00000000" w:rsidR="00000000" w:rsidRPr="00000000">
        <w:rPr>
          <w:color w:val="373a3c"/>
          <w:sz w:val="24"/>
          <w:szCs w:val="24"/>
          <w:rtl w:val="0"/>
        </w:rPr>
        <w:t xml:space="preserve"> 191. DOI:</w:t>
      </w:r>
      <w:hyperlink r:id="rId19">
        <w:r w:rsidDel="00000000" w:rsidR="00000000" w:rsidRPr="00000000">
          <w:rPr>
            <w:color w:val="373a3c"/>
            <w:sz w:val="24"/>
            <w:szCs w:val="24"/>
            <w:rtl w:val="0"/>
          </w:rPr>
          <w:t xml:space="preserve"> </w:t>
        </w:r>
      </w:hyperlink>
      <w:hyperlink r:id="rId20">
        <w:r w:rsidDel="00000000" w:rsidR="00000000" w:rsidRPr="00000000">
          <w:rPr>
            <w:color w:val="1155cc"/>
            <w:sz w:val="24"/>
            <w:szCs w:val="24"/>
            <w:u w:val="single"/>
            <w:rtl w:val="0"/>
          </w:rPr>
          <w:t xml:space="preserve">https://doi.org/10.1016/j.energy.2019.116476</w:t>
        </w:r>
      </w:hyperlink>
      <w:r w:rsidDel="00000000" w:rsidR="00000000" w:rsidRPr="00000000">
        <w:rPr>
          <w:color w:val="373a3c"/>
          <w:sz w:val="24"/>
          <w:szCs w:val="24"/>
          <w:rtl w:val="0"/>
        </w:rPr>
        <w:t xml:space="preserve">.</w:t>
      </w:r>
    </w:p>
    <w:p w:rsidR="00000000" w:rsidDel="00000000" w:rsidP="00000000" w:rsidRDefault="00000000" w:rsidRPr="00000000" w14:paraId="0000005C">
      <w:pPr>
        <w:shd w:fill="ffffff" w:val="clear"/>
        <w:spacing w:after="300" w:lineRule="auto"/>
        <w:ind w:left="0" w:firstLine="0"/>
        <w:rPr>
          <w:color w:val="373a3c"/>
          <w:sz w:val="24"/>
          <w:szCs w:val="24"/>
        </w:rPr>
      </w:pPr>
      <w:r w:rsidDel="00000000" w:rsidR="00000000" w:rsidRPr="00000000">
        <w:rPr>
          <w:color w:val="373a3c"/>
          <w:sz w:val="24"/>
          <w:szCs w:val="24"/>
          <w:rtl w:val="0"/>
        </w:rPr>
        <w:t xml:space="preserve">Arena, F., Collotta, M., Luca, L., Ruggieri, M. &amp; Termine, F. G. (2021) Predictive Maintenance in the Automotive Sector: A Literature Review. </w:t>
      </w:r>
      <w:r w:rsidDel="00000000" w:rsidR="00000000" w:rsidRPr="00000000">
        <w:rPr>
          <w:i w:val="1"/>
          <w:color w:val="373a3c"/>
          <w:sz w:val="24"/>
          <w:szCs w:val="24"/>
          <w:rtl w:val="0"/>
        </w:rPr>
        <w:t xml:space="preserve">Mathematical and Computational Applications</w:t>
      </w:r>
      <w:r w:rsidDel="00000000" w:rsidR="00000000" w:rsidRPr="00000000">
        <w:rPr>
          <w:color w:val="373a3c"/>
          <w:sz w:val="24"/>
          <w:szCs w:val="24"/>
          <w:rtl w:val="0"/>
        </w:rPr>
        <w:t xml:space="preserve"> 27(1): 2. DOI:</w:t>
      </w:r>
      <w:hyperlink r:id="rId21">
        <w:r w:rsidDel="00000000" w:rsidR="00000000" w:rsidRPr="00000000">
          <w:rPr>
            <w:color w:val="373a3c"/>
            <w:sz w:val="24"/>
            <w:szCs w:val="24"/>
            <w:rtl w:val="0"/>
          </w:rPr>
          <w:t xml:space="preserve"> </w:t>
        </w:r>
      </w:hyperlink>
      <w:hyperlink r:id="rId22">
        <w:r w:rsidDel="00000000" w:rsidR="00000000" w:rsidRPr="00000000">
          <w:rPr>
            <w:color w:val="1155cc"/>
            <w:sz w:val="24"/>
            <w:szCs w:val="24"/>
            <w:u w:val="single"/>
            <w:rtl w:val="0"/>
          </w:rPr>
          <w:t xml:space="preserve">https://doi.org/10.3390/mca27010002</w:t>
        </w:r>
      </w:hyperlink>
      <w:r w:rsidDel="00000000" w:rsidR="00000000" w:rsidRPr="00000000">
        <w:rPr>
          <w:color w:val="373a3c"/>
          <w:sz w:val="24"/>
          <w:szCs w:val="24"/>
          <w:rtl w:val="0"/>
        </w:rPr>
        <w:t xml:space="preserve">.</w:t>
      </w:r>
    </w:p>
    <w:p w:rsidR="00000000" w:rsidDel="00000000" w:rsidP="00000000" w:rsidRDefault="00000000" w:rsidRPr="00000000" w14:paraId="0000005D">
      <w:pPr>
        <w:shd w:fill="ffffff" w:val="clear"/>
        <w:spacing w:after="300" w:lineRule="auto"/>
        <w:ind w:left="0" w:firstLine="0"/>
        <w:rPr>
          <w:color w:val="373a3c"/>
          <w:sz w:val="24"/>
          <w:szCs w:val="24"/>
        </w:rPr>
      </w:pPr>
      <w:r w:rsidDel="00000000" w:rsidR="00000000" w:rsidRPr="00000000">
        <w:rPr>
          <w:rtl w:val="0"/>
        </w:rPr>
      </w:r>
    </w:p>
    <w:p w:rsidR="00000000" w:rsidDel="00000000" w:rsidP="00000000" w:rsidRDefault="00000000" w:rsidRPr="00000000" w14:paraId="0000005E">
      <w:pPr>
        <w:rPr>
          <w:u w:val="single"/>
        </w:rPr>
      </w:pPr>
      <w:r w:rsidDel="00000000" w:rsidR="00000000" w:rsidRPr="00000000">
        <w:rPr>
          <w:rtl w:val="0"/>
        </w:rPr>
      </w:r>
    </w:p>
    <w:p w:rsidR="00000000" w:rsidDel="00000000" w:rsidP="00000000" w:rsidRDefault="00000000" w:rsidRPr="00000000" w14:paraId="0000005F">
      <w:pPr>
        <w:rPr>
          <w:u w:val="single"/>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16/j.energy.2019.116476" TargetMode="External"/><Relationship Id="rId11" Type="http://schemas.openxmlformats.org/officeDocument/2006/relationships/image" Target="media/image6.png"/><Relationship Id="rId22" Type="http://schemas.openxmlformats.org/officeDocument/2006/relationships/hyperlink" Target="https://doi.org/10.3390/mca27010002" TargetMode="External"/><Relationship Id="rId10" Type="http://schemas.openxmlformats.org/officeDocument/2006/relationships/image" Target="media/image8.png"/><Relationship Id="rId21" Type="http://schemas.openxmlformats.org/officeDocument/2006/relationships/hyperlink" Target="https://doi.org/10.3390/mca27010002" TargetMode="External"/><Relationship Id="rId13" Type="http://schemas.openxmlformats.org/officeDocument/2006/relationships/image" Target="media/image10.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hyperlink" Target="https://ieeexplore.ieee.org/abstract/document/8079111" TargetMode="External"/><Relationship Id="rId16" Type="http://schemas.openxmlformats.org/officeDocument/2006/relationships/hyperlink" Target="https://doi.org/10.1145/3241979" TargetMode="External"/><Relationship Id="rId5" Type="http://schemas.openxmlformats.org/officeDocument/2006/relationships/styles" Target="styles.xml"/><Relationship Id="rId19" Type="http://schemas.openxmlformats.org/officeDocument/2006/relationships/hyperlink" Target="https://doi.org/10.1016/j.energy.2019.116476" TargetMode="External"/><Relationship Id="rId6" Type="http://schemas.openxmlformats.org/officeDocument/2006/relationships/image" Target="media/image1.png"/><Relationship Id="rId18" Type="http://schemas.openxmlformats.org/officeDocument/2006/relationships/hyperlink" Target="https://ieeexplore.ieee.org/abstract/document/8079111" TargetMode="External"/><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