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7"/>
        <w:pBdr/>
        <w:spacing w:after="60" w:before="0"/>
        <w:ind/>
        <w:rPr/>
      </w:pPr>
      <w:r>
        <w:rPr>
          <w:rFonts w:ascii="Courier New" w:hAnsi="Courier New" w:eastAsia="Courier New" w:cs="Courier New"/>
          <w:b/>
          <w:bCs/>
          <w:color w:val="1a6b3c"/>
          <w:spacing w:val="60"/>
          <w:sz w:val="18"/>
          <w:szCs w:val="18"/>
        </w:rPr>
        <w:t xml:space="preserve">CSC4780 · NETWORK SECURITY</w:t>
      </w:r>
      <w:r/>
    </w:p>
    <w:p>
      <w:pPr>
        <w:pStyle w:val="877"/>
        <w:pBdr/>
        <w:spacing w:after="80" w:before="0"/>
        <w:ind/>
        <w:rPr/>
      </w:pPr>
      <w:r>
        <w:rPr>
          <w:rFonts w:ascii="Georgia" w:hAnsi="Georgia" w:eastAsia="Georgia" w:cs="Georgia"/>
          <w:b/>
          <w:bCs/>
          <w:color w:val="0d1f2d"/>
          <w:sz w:val="40"/>
          <w:szCs w:val="40"/>
        </w:rPr>
        <w:t xml:space="preserve">Midterm </w:t>
      </w:r>
      <w:r>
        <w:rPr>
          <w:rFonts w:ascii="Georgia" w:hAnsi="Georgia" w:eastAsia="Georgia" w:cs="Georgia"/>
          <w:b/>
          <w:bCs/>
          <w:color w:val="0d1f2d"/>
          <w:sz w:val="40"/>
          <w:szCs w:val="40"/>
        </w:rPr>
        <w:t xml:space="preserve">Study Guide</w:t>
      </w:r>
      <w:r/>
    </w:p>
    <w:p>
      <w:pPr>
        <w:pStyle w:val="877"/>
        <w:pBdr/>
        <w:spacing w:after="60" w:before="0"/>
        <w:ind/>
        <w:rPr>
          <w:rFonts w:ascii="Calibri" w:hAnsi="Calibri" w:eastAsia="Calibri" w:cs="Calibri"/>
          <w:i/>
          <w:iCs/>
          <w:color w:val="888888"/>
          <w:sz w:val="18"/>
          <w:szCs w:val="18"/>
        </w:rPr>
      </w:pPr>
      <w:r>
        <w:rPr>
          <w:rFonts w:ascii="Calibri" w:hAnsi="Calibri" w:eastAsia="Calibri" w:cs="Calibri"/>
          <w:i/>
          <w:iCs/>
          <w:color w:val="888888"/>
          <w:sz w:val="18"/>
          <w:szCs w:val="18"/>
        </w:rPr>
      </w:r>
      <w:r>
        <w:rPr>
          <w:rFonts w:ascii="Calibri" w:hAnsi="Calibri" w:eastAsia="Calibri" w:cs="Calibri"/>
          <w:i/>
          <w:iCs/>
          <w:color w:val="888888"/>
          <w:sz w:val="18"/>
          <w:szCs w:val="18"/>
        </w:rPr>
      </w:r>
      <w:r>
        <w:rPr>
          <w:rFonts w:ascii="Calibri" w:hAnsi="Calibri" w:eastAsia="Calibri" w:cs="Calibri"/>
          <w:i/>
          <w:iCs/>
          <w:color w:val="888888"/>
          <w:sz w:val="18"/>
          <w:szCs w:val="18"/>
        </w:rPr>
      </w:r>
    </w:p>
    <w:p>
      <w:pPr>
        <w:pStyle w:val="877"/>
        <w:pBdr>
          <w:bottom w:val="single" w:color="1a6b3c" w:sz="12" w:space="1"/>
        </w:pBdr>
        <w:spacing w:after="400" w:before="0"/>
        <w:ind/>
        <w:rPr/>
      </w:pPr>
      <w:r/>
      <w:r/>
    </w:p>
    <w:p>
      <w:pPr>
        <w:pStyle w:val="877"/>
        <w:pBdr/>
        <w:spacing w:after="60" w:before="480"/>
        <w:ind/>
        <w:rPr/>
      </w:pPr>
      <w:r>
        <w:rPr>
          <w:rFonts w:ascii="Courier New" w:hAnsi="Courier New" w:eastAsia="Courier New" w:cs="Courier New"/>
          <w:b/>
          <w:bCs/>
          <w:color w:val="1a6b3c"/>
          <w:sz w:val="18"/>
          <w:szCs w:val="18"/>
        </w:rPr>
        <w:t xml:space="preserve">[Routing Security]  </w:t>
      </w:r>
      <w:r>
        <w:rPr>
          <w:rFonts w:ascii="Georgia" w:hAnsi="Georgia" w:eastAsia="Georgia" w:cs="Georgia"/>
          <w:b/>
          <w:bCs/>
          <w:color w:val="0d1f2d"/>
          <w:sz w:val="26"/>
          <w:szCs w:val="26"/>
        </w:rPr>
        <w:t xml:space="preserve">BGP Basics &amp; Why It Has No Built-In Security</w:t>
      </w:r>
      <w:r/>
    </w:p>
    <w:p>
      <w:pPr>
        <w:pStyle w:val="877"/>
        <w:pBdr>
          <w:bottom w:val="single" w:color="1a6b3c" w:sz="8" w:space="1"/>
        </w:pBdr>
        <w:spacing w:after="200" w:before="0"/>
        <w:ind/>
        <w:rPr/>
      </w:pPr>
      <w:r/>
      <w:r/>
    </w:p>
    <w:p>
      <w:pPr>
        <w:pStyle w:val="877"/>
        <w:pBdr/>
        <w:spacing w:after="0" w:before="160"/>
        <w:ind/>
        <w:rPr/>
      </w:pPr>
      <w:r/>
      <w:r/>
    </w:p>
    <w:p>
      <w:pPr>
        <w:pStyle w:val="877"/>
        <w:pBdr/>
        <w:spacing w:after="60" w:before="240"/>
        <w:ind/>
        <w:rPr/>
      </w:pP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</w:rPr>
        <w:t xml:space="preserve">EXPLANATION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BGP (Border Gateway Protocol)</w:t>
      </w:r>
      <w:r>
        <w:rPr>
          <w:rFonts w:eastAsia="Calibri" w:cs="Calibri"/>
          <w:color w:val="333333"/>
          <w:sz w:val="20"/>
          <w:szCs w:val="20"/>
        </w:rPr>
        <w:t xml:space="preserve"> is the protocol that routes traffic between Autonomous Systems (ASes) — the large networks run by ISPs, universities, and corporations. It is the 'glue of the internet.'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Key properties: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BGP is concerned with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reachability</w:t>
      </w:r>
      <w:r>
        <w:rPr>
          <w:rFonts w:eastAsia="Calibri" w:cs="Calibri"/>
          <w:color w:val="333333"/>
          <w:sz w:val="20"/>
          <w:szCs w:val="20"/>
        </w:rPr>
        <w:t xml:space="preserve">, not optimality. It finds a valid path, not necessarily the fastest one.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Routes are chosen based on customizable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attributes</w:t>
      </w:r>
      <w:r>
        <w:rPr>
          <w:rFonts w:eastAsia="Calibri" w:cs="Calibri"/>
          <w:color w:val="333333"/>
          <w:sz w:val="20"/>
          <w:szCs w:val="20"/>
        </w:rPr>
        <w:t xml:space="preserve"> (AS_PATH length, LOCAL_PREF, MED, etc.), not just speed.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BGP has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no built-in authentication</w:t>
      </w:r>
      <w:r>
        <w:rPr>
          <w:rFonts w:eastAsia="Calibri" w:cs="Calibri"/>
          <w:color w:val="333333"/>
          <w:sz w:val="20"/>
          <w:szCs w:val="20"/>
        </w:rPr>
        <w:t xml:space="preserve"> — a router accepts route announcements at face value.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IBGP vs EBGP: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EBGP = between different ASes (exterior). Used at border routers.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IBGP = within the same AS (interior). Requires a full mesh — every BGP router talks to every other.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Why is this dangerous?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Any AS can announce a prefix it does not own. Other ASes believe it. Traffic gets rerouted — this is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BGP hijacking</w:t>
      </w:r>
      <w:r>
        <w:rPr>
          <w:rFonts w:eastAsia="Calibri" w:cs="Calibri"/>
          <w:color w:val="333333"/>
          <w:sz w:val="20"/>
          <w:szCs w:val="20"/>
        </w:rPr>
        <w:t xml:space="preserve">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BGP Decision Process (simplified order):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1. Highest LOCAL_PREF   2. Shortest AS_PATH   3. Lowest MED   4. Prefer EBGP over IBGP   5. Lowest router-ID (tiebreak)</w:t>
      </w:r>
      <w:r/>
    </w:p>
    <w:p>
      <w:pPr>
        <w:pStyle w:val="877"/>
        <w:pBdr/>
        <w:spacing w:after="60" w:before="240"/>
        <w:ind/>
        <w:rPr/>
      </w:pP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</w:rPr>
        <w:t xml:space="preserve">MATH / WORKED EXAMPLES</w:t>
      </w:r>
      <w:r/>
    </w:p>
    <w:p>
      <w:pPr>
        <w:pStyle w:val="877"/>
        <w:pBdr/>
        <w:spacing w:after="80" w:before="100"/>
        <w:ind/>
        <w:rPr/>
      </w:pPr>
      <w:r/>
      <w:r/>
    </w:p>
    <w:tbl>
      <w:tblPr>
        <w:tblInd w:w="0" w:type="dxa"/>
        <w:tblW w:w="9360" w:type="dxa"/>
        <w:tblCellMar>
          <w:left w:w="140" w:type="dxa"/>
          <w:top w:w="80" w:type="dxa"/>
          <w:right w:w="120" w:type="dxa"/>
          <w:bottom w:w="4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99"/>
        <w:gridCol w:w="8960"/>
      </w:tblGrid>
      <w:tr>
        <w:trPr/>
        <w:tc>
          <w:tcPr>
            <w:gridSpan w:val="2"/>
            <w:shd w:val="clear" w:color="auto" w:fill="f0f8f4"/>
            <w:tcBorders>
              <w:top w:val="single" w:color="1a6b3c" w:sz="4" w:space="0"/>
              <w:left w:val="single" w:color="1a6b3c" w:sz="4" w:space="0"/>
              <w:right w:val="single" w:color="1a6b3c" w:sz="4" w:space="0"/>
            </w:tcBorders>
            <w:tcW w:w="935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b3c"/>
                <w:sz w:val="18"/>
                <w:szCs w:val="18"/>
              </w:rPr>
              <w:t xml:space="preserve">✦  </w:t>
            </w:r>
            <w:r>
              <w:rPr>
                <w:rFonts w:ascii="Courier New" w:hAnsi="Courier New" w:eastAsia="Courier New" w:cs="Courier New"/>
                <w:b/>
                <w:bCs/>
                <w:color w:val="1a6b3c"/>
                <w:sz w:val="18"/>
                <w:szCs w:val="18"/>
              </w:rPr>
              <w:t xml:space="preserve">Example 1: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AS path selection — which route wins?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a6b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b3c"/>
                <w:sz w:val="18"/>
                <w:szCs w:val="18"/>
              </w:rPr>
              <w:t xml:space="preserve">1.</w:t>
            </w:r>
            <w:r/>
          </w:p>
        </w:tc>
        <w:tc>
          <w:tcPr>
            <w:shd w:val="clear" w:color="auto" w:fill="f8fcfa"/>
            <w:tcBorders>
              <w:right w:val="single" w:color="1a6b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Router receives two routes to 10.0.0.0/8: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a6b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b3c"/>
                <w:sz w:val="18"/>
                <w:szCs w:val="18"/>
              </w:rPr>
              <w:t xml:space="preserve">2.</w:t>
            </w:r>
            <w:r/>
          </w:p>
        </w:tc>
        <w:tc>
          <w:tcPr>
            <w:shd w:val="clear" w:color="auto" w:fill="f8fcfa"/>
            <w:tcBorders>
              <w:right w:val="single" w:color="1a6b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Route A: LOCAL_PREF=200, AS_PATH = [AS2, AS5]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a6b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b3c"/>
                <w:sz w:val="18"/>
                <w:szCs w:val="18"/>
              </w:rPr>
              <w:t xml:space="preserve">3.</w:t>
            </w:r>
            <w:r/>
          </w:p>
        </w:tc>
        <w:tc>
          <w:tcPr>
            <w:shd w:val="clear" w:color="auto" w:fill="f8fcfa"/>
            <w:tcBorders>
              <w:right w:val="single" w:color="1a6b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Route B: LOCAL_PREF=100, AS_PATH = [AS3]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a6b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b3c"/>
                <w:sz w:val="18"/>
                <w:szCs w:val="18"/>
              </w:rPr>
              <w:t xml:space="preserve">4.</w:t>
            </w:r>
            <w:r/>
          </w:p>
        </w:tc>
        <w:tc>
          <w:tcPr>
            <w:shd w:val="clear" w:color="auto" w:fill="f8fcfa"/>
            <w:tcBorders>
              <w:right w:val="single" w:color="1a6b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Step 1: Compare LOCAL_PREF → 200 &gt; 100 →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Route A wins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(shorter path doesn't matter!)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a6b3c" w:sz="4" w:space="0"/>
              <w:bottom w:val="single" w:color="1a6b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b3c"/>
                <w:sz w:val="18"/>
                <w:szCs w:val="18"/>
              </w:rPr>
              <w:t xml:space="preserve">5.</w:t>
            </w:r>
            <w:r/>
          </w:p>
        </w:tc>
        <w:tc>
          <w:tcPr>
            <w:shd w:val="clear" w:color="auto" w:fill="f8fcfa"/>
            <w:tcBorders>
              <w:bottom w:val="single" w:color="1a6b3c" w:sz="4" w:space="0"/>
              <w:right w:val="single" w:color="1a6b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LOCAL_PREF is always checked first. It overrides AS_PATH length.</w:t>
            </w:r>
            <w:r/>
          </w:p>
        </w:tc>
      </w:tr>
    </w:tbl>
    <w:p>
      <w:pPr>
        <w:pStyle w:val="877"/>
        <w:pBdr/>
        <w:spacing w:after="80" w:before="100"/>
        <w:ind/>
        <w:rPr/>
      </w:pPr>
      <w:r/>
      <w:r/>
    </w:p>
    <w:tbl>
      <w:tblPr>
        <w:tblInd w:w="0" w:type="dxa"/>
        <w:tblW w:w="9360" w:type="dxa"/>
        <w:tblCellMar>
          <w:left w:w="140" w:type="dxa"/>
          <w:top w:w="80" w:type="dxa"/>
          <w:right w:w="120" w:type="dxa"/>
          <w:bottom w:w="4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99"/>
        <w:gridCol w:w="8960"/>
      </w:tblGrid>
      <w:tr>
        <w:trPr/>
        <w:tc>
          <w:tcPr>
            <w:gridSpan w:val="2"/>
            <w:shd w:val="clear" w:color="auto" w:fill="f0f8f4"/>
            <w:tcBorders>
              <w:top w:val="single" w:color="1a6b3c" w:sz="4" w:space="0"/>
              <w:left w:val="single" w:color="1a6b3c" w:sz="4" w:space="0"/>
              <w:right w:val="single" w:color="1a6b3c" w:sz="4" w:space="0"/>
            </w:tcBorders>
            <w:tcW w:w="935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b3c"/>
                <w:sz w:val="18"/>
                <w:szCs w:val="18"/>
              </w:rPr>
              <w:t xml:space="preserve">✦  </w:t>
            </w:r>
            <w:r>
              <w:rPr>
                <w:rFonts w:ascii="Courier New" w:hAnsi="Courier New" w:eastAsia="Courier New" w:cs="Courier New"/>
                <w:b/>
                <w:bCs/>
                <w:color w:val="1a6b3c"/>
                <w:sz w:val="18"/>
                <w:szCs w:val="18"/>
              </w:rPr>
              <w:t xml:space="preserve">Example 2: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BGP Hijack scenario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a6b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b3c"/>
                <w:sz w:val="18"/>
                <w:szCs w:val="18"/>
              </w:rPr>
              <w:t xml:space="preserve">1.</w:t>
            </w:r>
            <w:r/>
          </w:p>
        </w:tc>
        <w:tc>
          <w:tcPr>
            <w:shd w:val="clear" w:color="auto" w:fill="f8fcfa"/>
            <w:tcBorders>
              <w:right w:val="single" w:color="1a6b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Legitimate owner: AS100 announces 192.0.2.0/24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a6b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b3c"/>
                <w:sz w:val="18"/>
                <w:szCs w:val="18"/>
              </w:rPr>
              <w:t xml:space="preserve">2.</w:t>
            </w:r>
            <w:r/>
          </w:p>
        </w:tc>
        <w:tc>
          <w:tcPr>
            <w:shd w:val="clear" w:color="auto" w:fill="f8fcfa"/>
            <w:tcBorders>
              <w:right w:val="single" w:color="1a6b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Attacker AS666 also announces 192.0.2.0/24 (same prefix)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a6b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b3c"/>
                <w:sz w:val="18"/>
                <w:szCs w:val="18"/>
              </w:rPr>
              <w:t xml:space="preserve">3.</w:t>
            </w:r>
            <w:r/>
          </w:p>
        </w:tc>
        <w:tc>
          <w:tcPr>
            <w:shd w:val="clear" w:color="auto" w:fill="f8fcfa"/>
            <w:tcBorders>
              <w:right w:val="single" w:color="1a6b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BGP has no way to verify ownership — some routers believe the attacker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a6b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b3c"/>
                <w:sz w:val="18"/>
                <w:szCs w:val="18"/>
              </w:rPr>
              <w:t xml:space="preserve">4.</w:t>
            </w:r>
            <w:r/>
          </w:p>
        </w:tc>
        <w:tc>
          <w:tcPr>
            <w:shd w:val="clear" w:color="auto" w:fill="f8fcfa"/>
            <w:tcBorders>
              <w:right w:val="single" w:color="1a6b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Traffic destined for legitimate AS100 now flows to AS666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a6b3c" w:sz="4" w:space="0"/>
              <w:bottom w:val="single" w:color="1a6b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b3c"/>
                <w:sz w:val="18"/>
                <w:szCs w:val="18"/>
              </w:rPr>
              <w:t xml:space="preserve">5.</w:t>
            </w:r>
            <w:r/>
          </w:p>
        </w:tc>
        <w:tc>
          <w:tcPr>
            <w:shd w:val="clear" w:color="auto" w:fill="f8fcfa"/>
            <w:tcBorders>
              <w:bottom w:val="single" w:color="1a6b3c" w:sz="4" w:space="0"/>
              <w:right w:val="single" w:color="1a6b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Fix: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RPKI — cryptographically ties prefixes to owners (see Topic 2)</w:t>
            </w:r>
            <w:r/>
          </w:p>
        </w:tc>
      </w:tr>
    </w:tbl>
    <w:p>
      <w:pPr>
        <w:pStyle w:val="877"/>
        <w:pBdr/>
        <w:spacing w:after="0" w:before="200"/>
        <w:ind/>
        <w:rPr/>
      </w:pPr>
      <w:r>
        <w:br/>
      </w:r>
      <w:r/>
    </w:p>
    <w:p>
      <w:pPr>
        <w:pStyle w:val="877"/>
        <w:pBdr/>
        <w:spacing w:after="60" w:before="480"/>
        <w:ind/>
        <w:rPr/>
      </w:pPr>
      <w:r>
        <w:rPr>
          <w:rFonts w:ascii="Courier New" w:hAnsi="Courier New" w:eastAsia="Courier New" w:cs="Courier New"/>
          <w:b/>
          <w:bCs/>
          <w:color w:val="2e86ab"/>
          <w:sz w:val="18"/>
          <w:szCs w:val="18"/>
        </w:rPr>
        <w:t xml:space="preserve">[Routing Security]  </w:t>
      </w:r>
      <w:r>
        <w:rPr>
          <w:rFonts w:ascii="Georgia" w:hAnsi="Georgia" w:eastAsia="Georgia" w:cs="Georgia"/>
          <w:b/>
          <w:bCs/>
          <w:color w:val="0d1f2d"/>
          <w:sz w:val="26"/>
          <w:szCs w:val="26"/>
        </w:rPr>
        <w:t xml:space="preserve">RPKI and BGPsec — Securing Routing</w:t>
      </w:r>
      <w:r/>
    </w:p>
    <w:p>
      <w:pPr>
        <w:pStyle w:val="877"/>
        <w:pBdr>
          <w:bottom w:val="single" w:color="1a6b3c" w:sz="8" w:space="1"/>
        </w:pBdr>
        <w:spacing w:after="200" w:before="0"/>
        <w:ind/>
        <w:rPr/>
      </w:pPr>
      <w:r/>
      <w:r/>
    </w:p>
    <w:p>
      <w:pPr>
        <w:pStyle w:val="877"/>
        <w:pBdr/>
        <w:spacing w:after="0" w:before="160"/>
        <w:ind/>
        <w:rPr/>
      </w:pPr>
      <w:r/>
      <w:r/>
    </w:p>
    <w:p>
      <w:pPr>
        <w:pStyle w:val="877"/>
        <w:pBdr/>
        <w:spacing w:after="60" w:before="240"/>
        <w:ind/>
        <w:rPr/>
      </w:pP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</w:rPr>
        <w:t xml:space="preserve">EXPLANATION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RPKI (Resource Public Key Infrastructure):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Cryptographically ties IP prefixes to their rightful AS owners using signed certificates.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Route Origin Authorization (ROA):</w:t>
      </w:r>
      <w:r>
        <w:rPr>
          <w:rFonts w:eastAsia="Calibri" w:cs="Calibri"/>
          <w:color w:val="333333"/>
          <w:sz w:val="20"/>
          <w:szCs w:val="20"/>
        </w:rPr>
        <w:t xml:space="preserve"> A signed statement: 'AS X is allowed to announce prefix P.'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Trust Anchors:</w:t>
      </w:r>
      <w:r>
        <w:rPr>
          <w:rFonts w:eastAsia="Calibri" w:cs="Calibri"/>
          <w:color w:val="333333"/>
          <w:sz w:val="20"/>
          <w:szCs w:val="20"/>
        </w:rPr>
        <w:t xml:space="preserve"> The 5 Regional Internet Registries (RIRs: ARIN, RIPE NCC, APNIC, LACNIC, AFRINIC). They sign the top-level certificates. These are organizations, not individuals.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Relying Party software</w:t>
      </w:r>
      <w:r>
        <w:rPr>
          <w:rFonts w:eastAsia="Calibri" w:cs="Calibri"/>
          <w:color w:val="333333"/>
          <w:sz w:val="20"/>
          <w:szCs w:val="20"/>
        </w:rPr>
        <w:t xml:space="preserve"> (running at each AS) downloads ROAs and validates incoming BGP announcements against them.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Invalid route</w:t>
      </w:r>
      <w:r>
        <w:rPr>
          <w:rFonts w:eastAsia="Calibri" w:cs="Calibri"/>
          <w:color w:val="333333"/>
          <w:sz w:val="20"/>
          <w:szCs w:val="20"/>
        </w:rPr>
        <w:t xml:space="preserve"> = prefix announced by an AS not listed in any ROA → router can drop or de-prefer it.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BGPsec: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Extends RPKI to authenticate the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entire AS path</w:t>
      </w:r>
      <w:r>
        <w:rPr>
          <w:rFonts w:eastAsia="Calibri" w:cs="Calibri"/>
          <w:color w:val="333333"/>
          <w:sz w:val="20"/>
          <w:szCs w:val="20"/>
        </w:rPr>
        <w:t xml:space="preserve">, not just the origin.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Each AS cryptographically signs the path when forwarding a route announcement.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Prevents an attacker from inserting a fake AS into the path.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BGPsec + non-BGPsec interoperability: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When a BGPsec path enters a non-BGPsec zone, the signatures are stripped and it falls back to regular BGP. The path integrity guarantee ends at that boundary.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RPKI ≠ BGPsec:</w:t>
      </w:r>
      <w:r>
        <w:rPr>
          <w:rFonts w:eastAsia="Calibri" w:cs="Calibri"/>
          <w:color w:val="333333"/>
          <w:sz w:val="20"/>
          <w:szCs w:val="20"/>
        </w:rPr>
        <w:t xml:space="preserve"> RPKI validates *origin*. BGPsec validates the *whole path*.</w:t>
      </w:r>
      <w:r/>
    </w:p>
    <w:p w14:paraId="22E21CF2">
      <w:pPr>
        <w:pStyle w:val="877"/>
        <w:pBdr/>
        <w:spacing w:after="60" w:before="240"/>
        <w:ind/>
        <w:rPr/>
      </w:pP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  <w:highlight w:val="none"/>
        </w:rPr>
      </w: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  <w:highlight w:val="none"/>
        </w:rPr>
      </w:r>
      <w:r/>
    </w:p>
    <w:p>
      <w:pPr>
        <w:pStyle w:val="877"/>
        <w:pBdr/>
        <w:spacing w:after="60" w:before="240"/>
        <w:ind/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  <w:highlight w:val="none"/>
        </w:rPr>
      </w:pP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</w:rPr>
        <w:t xml:space="preserve">MATH / WORKED EXAMPLES</w:t>
      </w: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  <w:highlight w:val="none"/>
        </w:rPr>
      </w:r>
    </w:p>
    <w:p>
      <w:pPr>
        <w:pStyle w:val="877"/>
        <w:pBdr/>
        <w:spacing w:after="80" w:before="100"/>
        <w:ind/>
        <w:rPr/>
      </w:pPr>
      <w:r/>
      <w:r/>
    </w:p>
    <w:tbl>
      <w:tblPr>
        <w:tblInd w:w="0" w:type="dxa"/>
        <w:tblW w:w="9360" w:type="dxa"/>
        <w:tblCellMar>
          <w:left w:w="140" w:type="dxa"/>
          <w:top w:w="80" w:type="dxa"/>
          <w:right w:w="120" w:type="dxa"/>
          <w:bottom w:w="4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99"/>
        <w:gridCol w:w="8960"/>
      </w:tblGrid>
      <w:tr>
        <w:trPr/>
        <w:tc>
          <w:tcPr>
            <w:gridSpan w:val="2"/>
            <w:shd w:val="clear" w:color="auto" w:fill="f0f8f4"/>
            <w:tcBorders>
              <w:top w:val="single" w:color="2e86ab" w:sz="4" w:space="0"/>
              <w:left w:val="single" w:color="2e86ab" w:sz="4" w:space="0"/>
              <w:right w:val="single" w:color="2e86ab" w:sz="4" w:space="0"/>
            </w:tcBorders>
            <w:tcW w:w="935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86ab"/>
                <w:sz w:val="18"/>
                <w:szCs w:val="18"/>
              </w:rPr>
              <w:t xml:space="preserve">✦  </w:t>
            </w:r>
            <w:r>
              <w:rPr>
                <w:rFonts w:ascii="Courier New" w:hAnsi="Courier New" w:eastAsia="Courier New" w:cs="Courier New"/>
                <w:b/>
                <w:bCs/>
                <w:color w:val="2e86ab"/>
                <w:sz w:val="18"/>
                <w:szCs w:val="18"/>
              </w:rPr>
              <w:t xml:space="preserve">Example 1: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RPKI validation flow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2e86ab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86ab"/>
                <w:sz w:val="18"/>
                <w:szCs w:val="18"/>
              </w:rPr>
              <w:t xml:space="preserve">1.</w:t>
            </w:r>
            <w:r/>
          </w:p>
        </w:tc>
        <w:tc>
          <w:tcPr>
            <w:shd w:val="clear" w:color="auto" w:fill="f8fcfa"/>
            <w:tcBorders>
              <w:right w:val="single" w:color="2e86ab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AS200 announces 203.0.113.0/24 to its neighbors.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2e86ab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86ab"/>
                <w:sz w:val="18"/>
                <w:szCs w:val="18"/>
              </w:rPr>
              <w:t xml:space="preserve">2.</w:t>
            </w:r>
            <w:r/>
          </w:p>
        </w:tc>
        <w:tc>
          <w:tcPr>
            <w:shd w:val="clear" w:color="auto" w:fill="f8fcfa"/>
            <w:tcBorders>
              <w:right w:val="single" w:color="2e86ab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Neighbor AS300 runs RPKI relying party software.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2e86ab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86ab"/>
                <w:sz w:val="18"/>
                <w:szCs w:val="18"/>
              </w:rPr>
              <w:t xml:space="preserve">3.</w:t>
            </w:r>
            <w:r/>
          </w:p>
        </w:tc>
        <w:tc>
          <w:tcPr>
            <w:shd w:val="clear" w:color="auto" w:fill="f8fcfa"/>
            <w:tcBorders>
              <w:right w:val="single" w:color="2e86ab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Software checks: is there a valid ROA for 203.0.113.0/24 → AS200?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2e86ab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86ab"/>
                <w:sz w:val="18"/>
                <w:szCs w:val="18"/>
              </w:rPr>
              <w:t xml:space="preserve">4.</w:t>
            </w:r>
            <w:r/>
          </w:p>
        </w:tc>
        <w:tc>
          <w:tcPr>
            <w:shd w:val="clear" w:color="auto" w:fill="f8fcfa"/>
            <w:tcBorders>
              <w:right w:val="single" w:color="2e86ab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If YES and max-length OK → route is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Valid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→ accept normally.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2e86ab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86ab"/>
                <w:sz w:val="18"/>
                <w:szCs w:val="18"/>
              </w:rPr>
              <w:t xml:space="preserve">5.</w:t>
            </w:r>
            <w:r/>
          </w:p>
        </w:tc>
        <w:tc>
          <w:tcPr>
            <w:shd w:val="clear" w:color="auto" w:fill="f8fcfa"/>
            <w:tcBorders>
              <w:right w:val="single" w:color="2e86ab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If NO matching ROA → route is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Unknown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→ depends on local policy.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2e86ab" w:sz="4" w:space="0"/>
              <w:bottom w:val="single" w:color="2e86ab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e86ab"/>
                <w:sz w:val="18"/>
                <w:szCs w:val="18"/>
              </w:rPr>
              <w:t xml:space="preserve">6.</w:t>
            </w:r>
            <w:r/>
          </w:p>
        </w:tc>
        <w:tc>
          <w:tcPr>
            <w:shd w:val="clear" w:color="auto" w:fill="f8fcfa"/>
            <w:tcBorders>
              <w:bottom w:val="single" w:color="2e86ab" w:sz="4" w:space="0"/>
              <w:right w:val="single" w:color="2e86ab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If ROA says a *different* AS owns it → route is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Invalid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→ typically dropped.</w:t>
            </w:r>
            <w:r/>
          </w:p>
        </w:tc>
      </w:tr>
    </w:tbl>
    <w:p>
      <w:pPr>
        <w:pStyle w:val="877"/>
        <w:pBdr/>
        <w:spacing w:after="0" w:before="200"/>
        <w:ind/>
        <w:rPr/>
      </w:pPr>
      <w:r>
        <w:br/>
      </w:r>
      <w:r/>
    </w:p>
    <w:p>
      <w:pPr>
        <w:pStyle w:val="877"/>
        <w:pBdr/>
        <w:spacing w:after="60" w:before="480"/>
        <w:ind/>
        <w:rPr/>
      </w:pPr>
      <w:r>
        <w:rPr>
          <w:rFonts w:ascii="Courier New" w:hAnsi="Courier New" w:eastAsia="Courier New" w:cs="Courier New"/>
          <w:b/>
          <w:bCs/>
          <w:color w:val="8b2fc9"/>
          <w:sz w:val="18"/>
          <w:szCs w:val="18"/>
        </w:rPr>
        <w:t xml:space="preserve">[DNS Security]  </w:t>
      </w:r>
      <w:r>
        <w:rPr>
          <w:rFonts w:ascii="Georgia" w:hAnsi="Georgia" w:eastAsia="Georgia" w:cs="Georgia"/>
          <w:b/>
          <w:bCs/>
          <w:color w:val="0d1f2d"/>
          <w:sz w:val="26"/>
          <w:szCs w:val="26"/>
        </w:rPr>
        <w:t xml:space="preserve">DNS Architecture &amp; How Attacks Exploit It</w:t>
      </w:r>
      <w:r/>
    </w:p>
    <w:p>
      <w:pPr>
        <w:pStyle w:val="877"/>
        <w:pBdr>
          <w:bottom w:val="single" w:color="1a6b3c" w:sz="8" w:space="1"/>
        </w:pBdr>
        <w:spacing w:after="200" w:before="0"/>
        <w:ind/>
        <w:rPr/>
      </w:pPr>
      <w:r/>
      <w:r/>
    </w:p>
    <w:p>
      <w:pPr>
        <w:pStyle w:val="877"/>
        <w:pBdr/>
        <w:spacing w:after="0" w:before="160"/>
        <w:ind/>
        <w:rPr/>
      </w:pPr>
      <w:r/>
      <w:r/>
    </w:p>
    <w:p>
      <w:pPr>
        <w:pStyle w:val="877"/>
        <w:pBdr/>
        <w:spacing w:after="60" w:before="240"/>
        <w:ind/>
        <w:rPr/>
      </w:pP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</w:rPr>
        <w:t xml:space="preserve">EXPLANATION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DNS Resolution order: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Client → Recursive Resolver (usually your ISP) → Root Nameserver → TLD Nameserver (.com) → Authoritative Nameserver → Answer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Why DNS is insecure by design: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Original DNS has no authentication — anyone who responds first with a valid-looking answer wins.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Responses are matched only by a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16-bit Transaction ID</w:t>
      </w:r>
      <w:r>
        <w:rPr>
          <w:rFonts w:eastAsia="Calibri" w:cs="Calibri"/>
          <w:color w:val="333333"/>
          <w:sz w:val="20"/>
          <w:szCs w:val="20"/>
        </w:rPr>
        <w:t xml:space="preserve"> (65,536 possibilities) — easily guessable.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Responses arrive over UDP — no connection state, trivial to spoof source IP.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DNS Cache Poisoning: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Attacker floods the resolver with fake responses, guessing the Transaction ID.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If a fake response arrives before the real one and the ID matches → poisoned entry cached.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Kaminsky Attack (2008):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Dramatically speeds up cache poisoning by querying random *subdomains* (e.g., abc123.example.com).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Since the subdomain doesn't exist, the resolver must ask — attacker sends thousands of fake responses.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With enough attempts, attacker poisons the *authoritative NS record* for all of example.com.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Subdomain takeover: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If a CNAME points to an unclaimed cloud resource (e.g., app.example.com → old S3 bucket), an attacker can register that resource and serve content under example.com.</w:t>
      </w:r>
      <w:r/>
    </w:p>
    <w:p>
      <w:pPr>
        <w:pStyle w:val="877"/>
        <w:pBdr/>
        <w:spacing w:after="60" w:before="240"/>
        <w:ind/>
        <w:rPr/>
      </w:pP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</w:rPr>
        <w:t xml:space="preserve">MATH / WORKED EXAMPLES</w:t>
      </w:r>
      <w:r/>
    </w:p>
    <w:p>
      <w:pPr>
        <w:pStyle w:val="877"/>
        <w:pBdr/>
        <w:spacing w:after="80" w:before="100"/>
        <w:ind/>
        <w:rPr/>
      </w:pPr>
      <w:r/>
      <w:r/>
    </w:p>
    <w:tbl>
      <w:tblPr>
        <w:tblInd w:w="0" w:type="dxa"/>
        <w:tblW w:w="9360" w:type="dxa"/>
        <w:tblCellMar>
          <w:left w:w="140" w:type="dxa"/>
          <w:top w:w="80" w:type="dxa"/>
          <w:right w:w="120" w:type="dxa"/>
          <w:bottom w:w="4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99"/>
        <w:gridCol w:w="8960"/>
      </w:tblGrid>
      <w:tr>
        <w:trPr/>
        <w:tc>
          <w:tcPr>
            <w:gridSpan w:val="2"/>
            <w:shd w:val="clear" w:color="auto" w:fill="f0f8f4"/>
            <w:tcBorders>
              <w:top w:val="single" w:color="8b2fc9" w:sz="4" w:space="0"/>
              <w:left w:val="single" w:color="8b2fc9" w:sz="4" w:space="0"/>
              <w:right w:val="single" w:color="8b2fc9" w:sz="4" w:space="0"/>
            </w:tcBorders>
            <w:tcW w:w="935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8b2fc9"/>
                <w:sz w:val="18"/>
                <w:szCs w:val="18"/>
              </w:rPr>
              <w:t xml:space="preserve">✦  </w:t>
            </w:r>
            <w:r>
              <w:rPr>
                <w:rFonts w:ascii="Courier New" w:hAnsi="Courier New" w:eastAsia="Courier New" w:cs="Courier New"/>
                <w:b/>
                <w:bCs/>
                <w:color w:val="8b2fc9"/>
                <w:sz w:val="18"/>
                <w:szCs w:val="18"/>
              </w:rPr>
              <w:t xml:space="preserve">Example 1: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Kaminsky Attack step-by-step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8b2fc9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8b2fc9"/>
                <w:sz w:val="18"/>
                <w:szCs w:val="18"/>
              </w:rPr>
              <w:t xml:space="preserve">1.</w:t>
            </w:r>
            <w:r/>
          </w:p>
        </w:tc>
        <w:tc>
          <w:tcPr>
            <w:shd w:val="clear" w:color="auto" w:fill="f8fcfa"/>
            <w:tcBorders>
              <w:right w:val="single" w:color="8b2fc9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Attacker sends query: 'What is the IP of aaaaa1.bank.com?' to victim's resolver.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8b2fc9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8b2fc9"/>
                <w:sz w:val="18"/>
                <w:szCs w:val="18"/>
              </w:rPr>
              <w:t xml:space="preserve">2.</w:t>
            </w:r>
            <w:r/>
          </w:p>
        </w:tc>
        <w:tc>
          <w:tcPr>
            <w:shd w:val="clear" w:color="auto" w:fill="f8fcfa"/>
            <w:tcBorders>
              <w:right w:val="single" w:color="8b2fc9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Resolver has no cache entry → must ask bank.com's nameserver.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8b2fc9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8b2fc9"/>
                <w:sz w:val="18"/>
                <w:szCs w:val="18"/>
              </w:rPr>
              <w:t xml:space="preserve">3.</w:t>
            </w:r>
            <w:r/>
          </w:p>
        </w:tc>
        <w:tc>
          <w:tcPr>
            <w:shd w:val="clear" w:color="auto" w:fill="f8fcfa"/>
            <w:tcBorders>
              <w:right w:val="single" w:color="8b2fc9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While waiting, attacker floods resolver with fake responses claiming to be bank.com's NS.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8b2fc9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8b2fc9"/>
                <w:sz w:val="18"/>
                <w:szCs w:val="18"/>
              </w:rPr>
              <w:t xml:space="preserve">4.</w:t>
            </w:r>
            <w:r/>
          </w:p>
        </w:tc>
        <w:tc>
          <w:tcPr>
            <w:shd w:val="clear" w:color="auto" w:fill="f8fcfa"/>
            <w:tcBorders>
              <w:right w:val="single" w:color="8b2fc9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Each fake response has a different guessed Transaction ID.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8b2fc9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8b2fc9"/>
                <w:sz w:val="18"/>
                <w:szCs w:val="18"/>
              </w:rPr>
              <w:t xml:space="preserve">5.</w:t>
            </w:r>
            <w:r/>
          </w:p>
        </w:tc>
        <w:tc>
          <w:tcPr>
            <w:shd w:val="clear" w:color="auto" w:fill="f8fcfa"/>
            <w:tcBorders>
              <w:right w:val="single" w:color="8b2fc9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One eventually matches → resolver caches: 'bank.com NS = attacker-controlled server.'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8b2fc9" w:sz="4" w:space="0"/>
              <w:bottom w:val="single" w:color="8b2fc9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8b2fc9"/>
                <w:sz w:val="18"/>
                <w:szCs w:val="18"/>
              </w:rPr>
              <w:t xml:space="preserve">6.</w:t>
            </w:r>
            <w:r/>
          </w:p>
        </w:tc>
        <w:tc>
          <w:tcPr>
            <w:shd w:val="clear" w:color="auto" w:fill="f8fcfa"/>
            <w:tcBorders>
              <w:bottom w:val="single" w:color="8b2fc9" w:sz="4" w:space="0"/>
              <w:right w:val="single" w:color="8b2fc9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Now ALL queries for bank.com go to attacker.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Repeat until ID matched (avg ~32,768 tries).</w:t>
            </w:r>
            <w:r/>
          </w:p>
        </w:tc>
      </w:tr>
    </w:tbl>
    <w:p>
      <w:pPr>
        <w:pStyle w:val="877"/>
        <w:pBdr/>
        <w:spacing w:after="0" w:before="200"/>
        <w:ind/>
        <w:rPr/>
      </w:pPr>
      <w:r>
        <w:br/>
      </w:r>
      <w:r/>
    </w:p>
    <w:p>
      <w:pPr>
        <w:pStyle w:val="877"/>
        <w:pBdr/>
        <w:spacing w:after="60" w:before="480"/>
        <w:ind/>
        <w:rPr/>
      </w:pPr>
      <w:r>
        <w:rPr>
          <w:rFonts w:ascii="Courier New" w:hAnsi="Courier New" w:eastAsia="Courier New" w:cs="Courier New"/>
          <w:b/>
          <w:bCs/>
          <w:color w:val="c0392b"/>
          <w:sz w:val="18"/>
          <w:szCs w:val="18"/>
        </w:rPr>
        <w:t xml:space="preserve">[DNS Security]  </w:t>
      </w:r>
      <w:r>
        <w:rPr>
          <w:rFonts w:ascii="Georgia" w:hAnsi="Georgia" w:eastAsia="Georgia" w:cs="Georgia"/>
          <w:b/>
          <w:bCs/>
          <w:color w:val="0d1f2d"/>
          <w:sz w:val="26"/>
          <w:szCs w:val="26"/>
        </w:rPr>
        <w:t xml:space="preserve">DNSSEC — The DNS Trust Chain</w:t>
      </w:r>
      <w:r/>
    </w:p>
    <w:p>
      <w:pPr>
        <w:pStyle w:val="877"/>
        <w:pBdr>
          <w:bottom w:val="single" w:color="1a6b3c" w:sz="8" w:space="1"/>
        </w:pBdr>
        <w:spacing w:after="200" w:before="0"/>
        <w:ind/>
        <w:rPr/>
      </w:pPr>
      <w:r/>
      <w:r/>
    </w:p>
    <w:p>
      <w:pPr>
        <w:pStyle w:val="877"/>
        <w:pBdr/>
        <w:spacing w:after="0" w:before="160"/>
        <w:ind/>
        <w:rPr/>
      </w:pPr>
      <w:r/>
      <w:r/>
    </w:p>
    <w:p>
      <w:pPr>
        <w:pStyle w:val="877"/>
        <w:pBdr/>
        <w:spacing w:after="60" w:before="240"/>
        <w:ind/>
        <w:rPr/>
      </w:pP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</w:rPr>
        <w:t xml:space="preserve">EXPLANATION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DNSSEC</w:t>
      </w:r>
      <w:r>
        <w:rPr>
          <w:rFonts w:eastAsia="Calibri" w:cs="Calibri"/>
          <w:color w:val="333333"/>
          <w:sz w:val="20"/>
          <w:szCs w:val="20"/>
        </w:rPr>
        <w:t xml:space="preserve"> adds cryptographic signatures to DNS records so resolvers can verify authenticity.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Two keys per zone: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ZSK (Zone Signing Key):</w:t>
      </w:r>
      <w:r>
        <w:rPr>
          <w:rFonts w:eastAsia="Calibri" w:cs="Calibri"/>
          <w:color w:val="333333"/>
          <w:sz w:val="20"/>
          <w:szCs w:val="20"/>
        </w:rPr>
        <w:t xml:space="preserve"> Signs all records in the zone (A, MX, etc.).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KSK (Key Signing Key):</w:t>
      </w:r>
      <w:r>
        <w:rPr>
          <w:rFonts w:eastAsia="Calibri" w:cs="Calibri"/>
          <w:color w:val="333333"/>
          <w:sz w:val="20"/>
          <w:szCs w:val="20"/>
        </w:rPr>
        <w:t xml:space="preserve"> Signs only the ZSK. Rotated less frequently.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DS Record (Delegation Signer):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The *parent zone* publishes a hash of the child zone's KSK as a DS record.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This is how trust flows down: root → .com → example.com.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Chain of trust: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Root KSK (self-signed, hardcoded in resolvers) → signs root ZSK → signs .com DS → .com KSK → signs .com ZSK → signs example.com DS → example.com KSK → signs ZSK → signs records.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Denial of Existence (NSEC/NSEC3):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Without this, an attacker could delete a record and the resolver would just get 'no answer' — unverifiable.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NSEC returns a signed 'next name' record proving nothing exists between two names.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NSEC3 hashes the names to prevent zone enumeration (listing all hostnames).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Why so many don't use DNSSEC:</w:t>
      </w:r>
      <w:r>
        <w:rPr>
          <w:rFonts w:eastAsia="Calibri" w:cs="Calibri"/>
          <w:color w:val="333333"/>
          <w:sz w:val="20"/>
          <w:szCs w:val="20"/>
        </w:rPr>
        <w:t xml:space="preserve"> Complex key management, operational overhead, and adding NSEC3 itself introduced new attack surfaces.</w:t>
      </w:r>
      <w:r/>
    </w:p>
    <w:p>
      <w:pPr>
        <w:pStyle w:val="877"/>
        <w:pBdr/>
        <w:spacing w:after="60" w:before="240"/>
        <w:ind/>
        <w:rPr/>
      </w:pP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</w:rPr>
        <w:t xml:space="preserve">MATH / WORKED EXAMPLES</w:t>
      </w:r>
      <w:r/>
    </w:p>
    <w:p>
      <w:pPr>
        <w:pStyle w:val="877"/>
        <w:pBdr/>
        <w:spacing w:after="80" w:before="100"/>
        <w:ind/>
        <w:rPr/>
      </w:pPr>
      <w:r/>
      <w:r/>
    </w:p>
    <w:tbl>
      <w:tblPr>
        <w:tblInd w:w="0" w:type="dxa"/>
        <w:tblW w:w="9360" w:type="dxa"/>
        <w:tblCellMar>
          <w:left w:w="140" w:type="dxa"/>
          <w:top w:w="80" w:type="dxa"/>
          <w:right w:w="120" w:type="dxa"/>
          <w:bottom w:w="4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99"/>
        <w:gridCol w:w="8960"/>
      </w:tblGrid>
      <w:tr>
        <w:trPr/>
        <w:tc>
          <w:tcPr>
            <w:gridSpan w:val="2"/>
            <w:shd w:val="clear" w:color="auto" w:fill="f0f8f4"/>
            <w:tcBorders>
              <w:top w:val="single" w:color="c0392b" w:sz="4" w:space="0"/>
              <w:left w:val="single" w:color="c0392b" w:sz="4" w:space="0"/>
              <w:right w:val="single" w:color="c0392b" w:sz="4" w:space="0"/>
            </w:tcBorders>
            <w:tcW w:w="935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</w:rPr>
              <w:t xml:space="preserve">✦  </w:t>
            </w:r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</w:rPr>
              <w:t xml:space="preserve">Example 1: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Validating an A record for www.example.com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c0392b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</w:rPr>
              <w:t xml:space="preserve">1.</w:t>
            </w:r>
            <w:r/>
          </w:p>
        </w:tc>
        <w:tc>
          <w:tcPr>
            <w:shd w:val="clear" w:color="auto" w:fill="f8fcfa"/>
            <w:tcBorders>
              <w:right w:val="single" w:color="c0392b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Resolver fetches: A record for www.example.com + its RRSIG (signed by example.com ZSK).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c0392b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</w:rPr>
              <w:t xml:space="preserve">2.</w:t>
            </w:r>
            <w:r/>
          </w:p>
        </w:tc>
        <w:tc>
          <w:tcPr>
            <w:shd w:val="clear" w:color="auto" w:fill="f8fcfa"/>
            <w:tcBorders>
              <w:right w:val="single" w:color="c0392b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Resolver fetches: example.com DNSKEY (ZSK + KSK) + RRSIG over DNSKEY (signed by KSK).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c0392b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</w:rPr>
              <w:t xml:space="preserve">3.</w:t>
            </w:r>
            <w:r/>
          </w:p>
        </w:tc>
        <w:tc>
          <w:tcPr>
            <w:shd w:val="clear" w:color="auto" w:fill="f8fcfa"/>
            <w:tcBorders>
              <w:right w:val="single" w:color="c0392b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Resolver fetches: DS record for example.com from .com zone (hash of example.com KSK).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c0392b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</w:rPr>
              <w:t xml:space="preserve">4.</w:t>
            </w:r>
            <w:r/>
          </w:p>
        </w:tc>
        <w:tc>
          <w:tcPr>
            <w:shd w:val="clear" w:color="auto" w:fill="f8fcfa"/>
            <w:tcBorders>
              <w:right w:val="single" w:color="c0392b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Verify: hash(example.com KSK) == DS record? If yes, KSK is trusted.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c0392b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</w:rPr>
              <w:t xml:space="preserve">5.</w:t>
            </w:r>
            <w:r/>
          </w:p>
        </w:tc>
        <w:tc>
          <w:tcPr>
            <w:shd w:val="clear" w:color="auto" w:fill="f8fcfa"/>
            <w:tcBorders>
              <w:right w:val="single" w:color="c0392b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Verify: KSK signature over DNSKEY valid? If yes, ZSK is trusted.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c0392b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</w:rPr>
              <w:t xml:space="preserve">6.</w:t>
            </w:r>
            <w:r/>
          </w:p>
        </w:tc>
        <w:tc>
          <w:tcPr>
            <w:shd w:val="clear" w:color="auto" w:fill="f8fcfa"/>
            <w:tcBorders>
              <w:right w:val="single" w:color="c0392b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Verify: ZSK signature over A record valid? If yes →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record is authenticated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✓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c0392b" w:sz="4" w:space="0"/>
              <w:bottom w:val="single" w:color="c0392b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c0392b"/>
                <w:sz w:val="18"/>
                <w:szCs w:val="18"/>
              </w:rPr>
              <w:t xml:space="preserve">7.</w:t>
            </w:r>
            <w:r/>
          </w:p>
        </w:tc>
        <w:tc>
          <w:tcPr>
            <w:shd w:val="clear" w:color="auto" w:fill="f8fcfa"/>
            <w:tcBorders>
              <w:bottom w:val="single" w:color="c0392b" w:sz="4" w:space="0"/>
              <w:right w:val="single" w:color="c0392b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This chain repeats up to the root (whose KSK is pre-trusted in the resolver).</w:t>
            </w:r>
            <w:r/>
          </w:p>
        </w:tc>
      </w:tr>
    </w:tbl>
    <w:p>
      <w:pPr>
        <w:pStyle w:val="877"/>
        <w:pBdr/>
        <w:spacing w:after="0" w:before="200"/>
        <w:ind/>
        <w:rPr/>
      </w:pPr>
      <w:r>
        <w:br/>
      </w:r>
      <w:r/>
    </w:p>
    <w:p>
      <w:pPr>
        <w:pStyle w:val="877"/>
        <w:pBdr/>
        <w:spacing w:after="60" w:before="480"/>
        <w:ind/>
        <w:rPr/>
      </w:pPr>
      <w:r>
        <w:rPr>
          <w:rFonts w:ascii="Courier New" w:hAnsi="Courier New" w:eastAsia="Courier New" w:cs="Courier New"/>
          <w:b/>
          <w:bCs/>
          <w:color w:val="e67e22"/>
          <w:sz w:val="18"/>
          <w:szCs w:val="18"/>
        </w:rPr>
        <w:t xml:space="preserve">[Cryptography]  </w:t>
      </w:r>
      <w:r>
        <w:rPr>
          <w:rFonts w:ascii="Georgia" w:hAnsi="Georgia" w:eastAsia="Georgia" w:cs="Georgia"/>
          <w:b/>
          <w:bCs/>
          <w:color w:val="0d1f2d"/>
          <w:sz w:val="26"/>
          <w:szCs w:val="26"/>
        </w:rPr>
        <w:t xml:space="preserve">Symmetric Keys, PKI &amp; Certificate Authorities</w:t>
      </w:r>
      <w:r/>
    </w:p>
    <w:p>
      <w:pPr>
        <w:pStyle w:val="877"/>
        <w:pBdr>
          <w:bottom w:val="single" w:color="1a6b3c" w:sz="8" w:space="1"/>
        </w:pBdr>
        <w:spacing w:after="200" w:before="0"/>
        <w:ind/>
        <w:rPr/>
      </w:pPr>
      <w:r/>
      <w:r/>
    </w:p>
    <w:p>
      <w:pPr>
        <w:pStyle w:val="877"/>
        <w:pBdr/>
        <w:spacing w:after="0" w:before="160"/>
        <w:ind/>
        <w:rPr/>
      </w:pPr>
      <w:r/>
      <w:r/>
    </w:p>
    <w:p>
      <w:pPr>
        <w:pStyle w:val="877"/>
        <w:pBdr/>
        <w:spacing w:after="60" w:before="240"/>
        <w:ind/>
        <w:rPr/>
      </w:pP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</w:rPr>
        <w:t xml:space="preserve">EXPLANATION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Symmetric encryption:</w:t>
      </w:r>
      <w:r>
        <w:rPr>
          <w:rFonts w:eastAsia="Calibri" w:cs="Calibri"/>
          <w:color w:val="333333"/>
          <w:sz w:val="20"/>
          <w:szCs w:val="20"/>
        </w:rPr>
        <w:t xml:space="preserve"> Same key encrypts and decrypts. Fast, quantum-safe, but has the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key distribution problem</w:t>
      </w:r>
      <w:r>
        <w:rPr>
          <w:rFonts w:eastAsia="Calibri" w:cs="Calibri"/>
          <w:color w:val="333333"/>
          <w:sz w:val="20"/>
          <w:szCs w:val="20"/>
        </w:rPr>
        <w:t xml:space="preserve"> — how do you securely share the key in the first place?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Asymmetric encryption (Public Key):</w:t>
      </w:r>
      <w:r>
        <w:rPr>
          <w:rFonts w:eastAsia="Calibri" w:cs="Calibri"/>
          <w:color w:val="333333"/>
          <w:sz w:val="20"/>
          <w:szCs w:val="20"/>
        </w:rPr>
        <w:t xml:space="preserve"> Two mathematically linked keys. Encrypt with public key, decrypt with private key. Used primarily for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key exchange and signatures</w:t>
      </w:r>
      <w:r>
        <w:rPr>
          <w:rFonts w:eastAsia="Calibri" w:cs="Calibri"/>
          <w:color w:val="333333"/>
          <w:sz w:val="20"/>
          <w:szCs w:val="20"/>
        </w:rPr>
        <w:t xml:space="preserve">, not bulk data.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PKI (Public Key Infrastructure):</w:t>
      </w:r>
      <w:r>
        <w:rPr>
          <w:rFonts w:eastAsia="Calibri" w:cs="Calibri"/>
          <w:color w:val="333333"/>
          <w:sz w:val="20"/>
          <w:szCs w:val="20"/>
        </w:rPr>
        <w:t xml:space="preserve"> The system for issuing, storing, and revoking certificates that bind public keys to identities.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Certificate Authority (CA):</w:t>
      </w:r>
      <w:r>
        <w:rPr>
          <w:rFonts w:eastAsia="Calibri" w:cs="Calibri"/>
          <w:color w:val="333333"/>
          <w:sz w:val="20"/>
          <w:szCs w:val="20"/>
        </w:rPr>
        <w:t xml:space="preserve"> A trusted third party that signs certificates. When your browser connects to a site, it verifies the site's certificate was signed by a trusted CA.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Root CAs are hardcoded in your browser/OS.</w:t>
      </w:r>
      <w:r>
        <w:rPr>
          <w:rFonts w:eastAsia="Calibri" w:cs="Calibri"/>
          <w:color w:val="333333"/>
          <w:sz w:val="20"/>
          <w:szCs w:val="20"/>
        </w:rPr>
        <w:t xml:space="preserve"> This is why browsers are effectively root certificate authorities — they decide which CAs to trust.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Hub-and-spoke vs Web of Trust: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Root CA (hierarchical):</w:t>
      </w:r>
      <w:r>
        <w:rPr>
          <w:rFonts w:eastAsia="Calibri" w:cs="Calibri"/>
          <w:color w:val="333333"/>
          <w:sz w:val="20"/>
          <w:szCs w:val="20"/>
        </w:rPr>
        <w:t xml:space="preserve"> Central authority → intermediate CAs → end-entity certs. Scalable. Used by HTTPS.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PGP (web of trust):</w:t>
      </w:r>
      <w:r>
        <w:rPr>
          <w:rFonts w:eastAsia="Calibri" w:cs="Calibri"/>
          <w:color w:val="333333"/>
          <w:sz w:val="20"/>
          <w:szCs w:val="20"/>
        </w:rPr>
        <w:t xml:space="preserve"> Users sign each other's keys. No central authority. Hard to scale.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Certificate Revocation:</w:t>
      </w:r>
      <w:r>
        <w:rPr>
          <w:rFonts w:eastAsia="Calibri" w:cs="Calibri"/>
          <w:color w:val="333333"/>
          <w:sz w:val="20"/>
          <w:szCs w:val="20"/>
        </w:rPr>
        <w:t xml:space="preserve"> If a private key is compromised, the cert must be revoked.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CRL (Certificate Revocation List):</w:t>
      </w:r>
      <w:r>
        <w:rPr>
          <w:rFonts w:eastAsia="Calibri" w:cs="Calibri"/>
          <w:color w:val="333333"/>
          <w:sz w:val="20"/>
          <w:szCs w:val="20"/>
        </w:rPr>
        <w:t xml:space="preserve"> Published list of revoked certs. Can be stale.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OCSP (Online Certificate Status Protocol):</w:t>
      </w:r>
      <w:r>
        <w:rPr>
          <w:rFonts w:eastAsia="Calibri" w:cs="Calibri"/>
          <w:color w:val="333333"/>
          <w:sz w:val="20"/>
          <w:szCs w:val="20"/>
        </w:rPr>
        <w:t xml:space="preserve"> Real-time query — 'Is this cert still valid?'</w:t>
      </w:r>
      <w:r/>
    </w:p>
    <w:p>
      <w:pPr>
        <w:pStyle w:val="877"/>
        <w:pBdr/>
        <w:spacing w:after="60" w:before="240"/>
        <w:ind/>
        <w:rPr/>
      </w:pP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</w:rPr>
        <w:t xml:space="preserve">MATH / WORKED EXAMPLES </w:t>
      </w: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</w:rPr>
        <w:t xml:space="preserve">(We haven’t covered TLS in class yet)</w:t>
      </w:r>
      <w:r/>
    </w:p>
    <w:p>
      <w:pPr>
        <w:pStyle w:val="877"/>
        <w:pBdr/>
        <w:spacing w:after="80" w:before="100"/>
        <w:ind/>
        <w:rPr/>
      </w:pPr>
      <w:r/>
      <w:r/>
    </w:p>
    <w:tbl>
      <w:tblPr>
        <w:tblInd w:w="0" w:type="dxa"/>
        <w:tblW w:w="9360" w:type="dxa"/>
        <w:tblCellMar>
          <w:left w:w="140" w:type="dxa"/>
          <w:top w:w="80" w:type="dxa"/>
          <w:right w:w="120" w:type="dxa"/>
          <w:bottom w:w="4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99"/>
        <w:gridCol w:w="8960"/>
      </w:tblGrid>
      <w:tr>
        <w:trPr/>
        <w:tc>
          <w:tcPr>
            <w:gridSpan w:val="2"/>
            <w:shd w:val="clear" w:color="auto" w:fill="f0f8f4"/>
            <w:tcBorders>
              <w:top w:val="single" w:color="e67e22" w:sz="4" w:space="0"/>
              <w:left w:val="single" w:color="e67e22" w:sz="4" w:space="0"/>
              <w:right w:val="single" w:color="e67e22" w:sz="4" w:space="0"/>
            </w:tcBorders>
            <w:tcW w:w="935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e67e22"/>
                <w:sz w:val="18"/>
                <w:szCs w:val="18"/>
              </w:rPr>
              <w:t xml:space="preserve">✦  </w:t>
            </w:r>
            <w:r>
              <w:rPr>
                <w:rFonts w:ascii="Courier New" w:hAnsi="Courier New" w:eastAsia="Courier New" w:cs="Courier New"/>
                <w:b/>
                <w:bCs/>
                <w:color w:val="e67e22"/>
                <w:sz w:val="18"/>
                <w:szCs w:val="18"/>
              </w:rPr>
              <w:t xml:space="preserve">Example 1: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TLS Handshake — how symmetric key is established via PKI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e67e22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e67e22"/>
                <w:sz w:val="18"/>
                <w:szCs w:val="18"/>
              </w:rPr>
              <w:t xml:space="preserve">1.</w:t>
            </w:r>
            <w:r/>
          </w:p>
        </w:tc>
        <w:tc>
          <w:tcPr>
            <w:shd w:val="clear" w:color="auto" w:fill="f8fcfa"/>
            <w:tcBorders>
              <w:right w:val="single" w:color="e67e22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Client connects to bank.com → server sends its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certificate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(contains server's public key, signed by CA).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e67e22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e67e22"/>
                <w:sz w:val="18"/>
                <w:szCs w:val="18"/>
              </w:rPr>
              <w:t xml:space="preserve">2.</w:t>
            </w:r>
            <w:r/>
          </w:p>
        </w:tc>
        <w:tc>
          <w:tcPr>
            <w:shd w:val="clear" w:color="auto" w:fill="f8fcfa"/>
            <w:tcBorders>
              <w:right w:val="single" w:color="e67e22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Client verifies: CA signature valid? Certificate not expired/revoked? Domain matches?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e67e22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e67e22"/>
                <w:sz w:val="18"/>
                <w:szCs w:val="18"/>
              </w:rPr>
              <w:t xml:space="preserve">3.</w:t>
            </w:r>
            <w:r/>
          </w:p>
        </w:tc>
        <w:tc>
          <w:tcPr>
            <w:shd w:val="clear" w:color="auto" w:fill="f8fcfa"/>
            <w:tcBorders>
              <w:right w:val="single" w:color="e67e22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Client generates a random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pre-master secret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, encrypts it with server's public key, sends it.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e67e22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e67e22"/>
                <w:sz w:val="18"/>
                <w:szCs w:val="18"/>
              </w:rPr>
              <w:t xml:space="preserve">4.</w:t>
            </w:r>
            <w:r/>
          </w:p>
        </w:tc>
        <w:tc>
          <w:tcPr>
            <w:shd w:val="clear" w:color="auto" w:fill="f8fcfa"/>
            <w:tcBorders>
              <w:right w:val="single" w:color="e67e22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Only server can decrypt (has private key) → both derive the same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session key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(symmetric).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e67e22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e67e22"/>
                <w:sz w:val="18"/>
                <w:szCs w:val="18"/>
              </w:rPr>
              <w:t xml:space="preserve">5.</w:t>
            </w:r>
            <w:r/>
          </w:p>
        </w:tc>
        <w:tc>
          <w:tcPr>
            <w:shd w:val="clear" w:color="auto" w:fill="f8fcfa"/>
            <w:tcBorders>
              <w:right w:val="single" w:color="e67e22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All further communication uses fast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symmetric encryption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with that session key.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e67e22" w:sz="4" w:space="0"/>
              <w:bottom w:val="single" w:color="e67e22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e67e22"/>
                <w:sz w:val="18"/>
                <w:szCs w:val="18"/>
              </w:rPr>
              <w:t xml:space="preserve">6.</w:t>
            </w:r>
            <w:r/>
          </w:p>
        </w:tc>
        <w:tc>
          <w:tcPr>
            <w:shd w:val="clear" w:color="auto" w:fill="f8fcfa"/>
            <w:tcBorders>
              <w:bottom w:val="single" w:color="e67e22" w:sz="4" w:space="0"/>
              <w:right w:val="single" w:color="e67e22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Asymmetric crypto was only used once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— to securely exchange the symmetric key.</w:t>
            </w:r>
            <w:r/>
          </w:p>
        </w:tc>
      </w:tr>
    </w:tbl>
    <w:p>
      <w:pPr>
        <w:pStyle w:val="877"/>
        <w:pBdr/>
        <w:spacing w:after="0" w:before="200"/>
        <w:ind/>
        <w:rPr/>
      </w:pPr>
      <w:r>
        <w:br/>
      </w:r>
      <w:r/>
    </w:p>
    <w:p>
      <w:pPr>
        <w:pStyle w:val="877"/>
        <w:pBdr/>
        <w:spacing w:after="60" w:before="480"/>
        <w:ind/>
        <w:rPr/>
      </w:pPr>
      <w:r>
        <w:rPr>
          <w:rFonts w:ascii="Courier New" w:hAnsi="Courier New" w:eastAsia="Courier New" w:cs="Courier New"/>
          <w:b/>
          <w:bCs/>
          <w:color w:val="1a6b3c"/>
          <w:sz w:val="18"/>
          <w:szCs w:val="18"/>
        </w:rPr>
        <w:t xml:space="preserve">[Cryptography]  </w:t>
      </w:r>
      <w:r>
        <w:rPr>
          <w:rFonts w:ascii="Georgia" w:hAnsi="Georgia" w:eastAsia="Georgia" w:cs="Georgia"/>
          <w:b/>
          <w:bCs/>
          <w:color w:val="0d1f2d"/>
          <w:sz w:val="26"/>
          <w:szCs w:val="26"/>
        </w:rPr>
        <w:t xml:space="preserve">One-Time Pad, XOR &amp; Perfect Secrecy</w:t>
      </w:r>
      <w:r/>
    </w:p>
    <w:p>
      <w:pPr>
        <w:pStyle w:val="877"/>
        <w:pBdr>
          <w:bottom w:val="single" w:color="1a6b3c" w:sz="8" w:space="1"/>
        </w:pBdr>
        <w:spacing w:after="200" w:before="0"/>
        <w:ind/>
        <w:rPr/>
      </w:pPr>
      <w:r/>
      <w:r/>
    </w:p>
    <w:p>
      <w:pPr>
        <w:pStyle w:val="877"/>
        <w:pBdr/>
        <w:spacing w:after="0" w:before="160"/>
        <w:ind/>
        <w:rPr/>
      </w:pPr>
      <w:r/>
      <w:r/>
    </w:p>
    <w:p>
      <w:pPr>
        <w:pStyle w:val="877"/>
        <w:pBdr/>
        <w:spacing w:after="60" w:before="240"/>
        <w:ind/>
        <w:rPr/>
      </w:pP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</w:rPr>
        <w:t xml:space="preserve">EXPLANATION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XOR (⊕) basics: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  </w:t>
      </w:r>
      <w:r>
        <w:rPr>
          <w:rFonts w:eastAsia="Calibri" w:cs="Calibri"/>
          <w:color w:val="333333"/>
          <w:sz w:val="20"/>
          <w:szCs w:val="20"/>
        </w:rPr>
        <w:t xml:space="preserve">0 ⊕ 0 = 0  |  0 ⊕ 1 = 1  |  1 ⊕ 0 = 1  |  1 ⊕ 1 = 0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Key property: A ⊕ B ⊕ B = A  (XOR with the same value twice = original)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One-Time Pad (OTP):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Plaintext ⊕ Key = Ciphertext  (key must be same length as message, truly random, used once)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OTP provides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perfect secrecy</w:t>
      </w:r>
      <w:r>
        <w:rPr>
          <w:rFonts w:eastAsia="Calibri" w:cs="Calibri"/>
          <w:color w:val="333333"/>
          <w:sz w:val="20"/>
          <w:szCs w:val="20"/>
        </w:rPr>
        <w:t xml:space="preserve"> — even with unlimited computation, an attacker learns nothing.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Why OTP doesn't authenticate: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An attacker can flip bits in the ciphertext, and the receiver will decrypt garbled plaintext with no way to detect tampering. OTP is not an AEAD scheme — it provides confidentiality only, not integrity.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The Two-Time Pad disaster: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If you encrypt two different messages with the SAME key: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C1 ⊕ C2 = (P1 ⊕ K) ⊕ (P2 ⊕ K) = P1 ⊕ P2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The key cancels out. Attacker has P1 ⊕ P2 — with knowledge of one plaintext, they recover the other. Frequency analysis also works on P1 ⊕ P2.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Is OTP practical?</w:t>
      </w:r>
      <w:r>
        <w:rPr>
          <w:rFonts w:eastAsia="Calibri" w:cs="Calibri"/>
          <w:color w:val="333333"/>
          <w:sz w:val="20"/>
          <w:szCs w:val="20"/>
        </w:rPr>
        <w:t xml:space="preserve"> No — the key must be as long as the message, truly random, and exchanged securely in advance. The key exchange problem is harder than the original problem.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OTP is quantum-safe</w:t>
      </w:r>
      <w:r>
        <w:rPr>
          <w:rFonts w:eastAsia="Calibri" w:cs="Calibri"/>
          <w:color w:val="333333"/>
          <w:sz w:val="20"/>
          <w:szCs w:val="20"/>
        </w:rPr>
        <w:t xml:space="preserve"> — its security comes from information theory, not computational hardness.</w:t>
      </w:r>
      <w:r/>
    </w:p>
    <w:p>
      <w:pPr>
        <w:pStyle w:val="877"/>
        <w:pBdr/>
        <w:spacing w:after="60" w:before="240"/>
        <w:ind/>
        <w:rPr/>
      </w:pP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</w:rPr>
        <w:t xml:space="preserve">MATH / WORKED EXAMPLES</w:t>
      </w:r>
      <w:r/>
    </w:p>
    <w:p>
      <w:pPr>
        <w:pStyle w:val="877"/>
        <w:pBdr/>
        <w:spacing w:after="80" w:before="100"/>
        <w:ind/>
        <w:rPr/>
      </w:pPr>
      <w:r/>
      <w:r/>
    </w:p>
    <w:tbl>
      <w:tblPr>
        <w:tblInd w:w="0" w:type="dxa"/>
        <w:tblW w:w="9360" w:type="dxa"/>
        <w:tblCellMar>
          <w:left w:w="140" w:type="dxa"/>
          <w:top w:w="80" w:type="dxa"/>
          <w:right w:w="120" w:type="dxa"/>
          <w:bottom w:w="4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99"/>
        <w:gridCol w:w="8960"/>
      </w:tblGrid>
      <w:tr>
        <w:trPr/>
        <w:tc>
          <w:tcPr>
            <w:gridSpan w:val="2"/>
            <w:shd w:val="clear" w:color="auto" w:fill="f0f8f4"/>
            <w:tcBorders>
              <w:top w:val="single" w:color="1a6b3c" w:sz="4" w:space="0"/>
              <w:left w:val="single" w:color="1a6b3c" w:sz="4" w:space="0"/>
              <w:right w:val="single" w:color="1a6b3c" w:sz="4" w:space="0"/>
            </w:tcBorders>
            <w:tcW w:w="935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b3c"/>
                <w:sz w:val="18"/>
                <w:szCs w:val="18"/>
              </w:rPr>
              <w:t xml:space="preserve">✦  </w:t>
            </w:r>
            <w:r>
              <w:rPr>
                <w:rFonts w:ascii="Courier New" w:hAnsi="Courier New" w:eastAsia="Courier New" w:cs="Courier New"/>
                <w:b/>
                <w:bCs/>
                <w:color w:val="1a6b3c"/>
                <w:sz w:val="18"/>
                <w:szCs w:val="18"/>
              </w:rPr>
              <w:t xml:space="preserve">Example 1: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XOR encryption and two-time pad attack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a6b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b3c"/>
                <w:sz w:val="18"/>
                <w:szCs w:val="18"/>
              </w:rPr>
              <w:t xml:space="preserve">1.</w:t>
            </w:r>
            <w:r/>
          </w:p>
        </w:tc>
        <w:tc>
          <w:tcPr>
            <w:shd w:val="clear" w:color="auto" w:fill="f8fcfa"/>
            <w:tcBorders>
              <w:right w:val="single" w:color="1a6b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Key K =       1 0 1 1 0 0 1 (7 bits, random, used ONCE → OTP)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a6b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b3c"/>
                <w:sz w:val="18"/>
                <w:szCs w:val="18"/>
              </w:rPr>
              <w:t xml:space="preserve">2.</w:t>
            </w:r>
            <w:r/>
          </w:p>
        </w:tc>
        <w:tc>
          <w:tcPr>
            <w:shd w:val="clear" w:color="auto" w:fill="f8fcfa"/>
            <w:tcBorders>
              <w:right w:val="single" w:color="1a6b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Plaintext P1: 1 1 0 0 1 0 1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a6b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b3c"/>
                <w:sz w:val="18"/>
                <w:szCs w:val="18"/>
              </w:rPr>
              <w:t xml:space="preserve">3.</w:t>
            </w:r>
            <w:r/>
          </w:p>
        </w:tc>
        <w:tc>
          <w:tcPr>
            <w:shd w:val="clear" w:color="auto" w:fill="f8fcfa"/>
            <w:tcBorders>
              <w:right w:val="single" w:color="1a6b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Ciphertext C1 = P1 ⊕ K = 0 1 1 1 1 0 0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a6b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b3c"/>
                <w:sz w:val="18"/>
                <w:szCs w:val="18"/>
              </w:rPr>
              <w:t xml:space="preserve">4.</w:t>
            </w:r>
            <w:r/>
          </w:p>
        </w:tc>
        <w:tc>
          <w:tcPr>
            <w:shd w:val="clear" w:color="auto" w:fill="f8fcfa"/>
            <w:tcBorders>
              <w:right w:val="single" w:color="1a6b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If same K used again for P2: 0 0 1 1 0 1 0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a6b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b3c"/>
                <w:sz w:val="18"/>
                <w:szCs w:val="18"/>
              </w:rPr>
              <w:t xml:space="preserve">5.</w:t>
            </w:r>
            <w:r/>
          </w:p>
        </w:tc>
        <w:tc>
          <w:tcPr>
            <w:shd w:val="clear" w:color="auto" w:fill="f8fcfa"/>
            <w:tcBorders>
              <w:right w:val="single" w:color="1a6b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Ciphertext C2 = P2 ⊕ K = 1 0 0 0 0 1 1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a6b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b3c"/>
                <w:sz w:val="18"/>
                <w:szCs w:val="18"/>
              </w:rPr>
              <w:t xml:space="preserve">6.</w:t>
            </w:r>
            <w:r/>
          </w:p>
        </w:tc>
        <w:tc>
          <w:tcPr>
            <w:shd w:val="clear" w:color="auto" w:fill="f8fcfa"/>
            <w:tcBorders>
              <w:right w:val="single" w:color="1a6b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Attacker computes C1 ⊕ C2 = 1 1 1 1 1 1 1 =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P1 ⊕ P2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(key is gone!)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a6b3c" w:sz="4" w:space="0"/>
              <w:bottom w:val="single" w:color="1a6b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a6b3c"/>
                <w:sz w:val="18"/>
                <w:szCs w:val="18"/>
              </w:rPr>
              <w:t xml:space="preserve">7.</w:t>
            </w:r>
            <w:r/>
          </w:p>
        </w:tc>
        <w:tc>
          <w:tcPr>
            <w:shd w:val="clear" w:color="auto" w:fill="f8fcfa"/>
            <w:tcBorders>
              <w:bottom w:val="single" w:color="1a6b3c" w:sz="4" w:space="0"/>
              <w:right w:val="single" w:color="1a6b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With one plaintext known, the other is trivially recovered.</w:t>
            </w:r>
            <w:r/>
          </w:p>
        </w:tc>
      </w:tr>
    </w:tbl>
    <w:p>
      <w:pPr>
        <w:pStyle w:val="877"/>
        <w:pBdr/>
        <w:spacing w:after="0" w:before="200"/>
        <w:ind/>
        <w:rPr/>
      </w:pPr>
      <w:r>
        <w:br/>
      </w:r>
      <w:r/>
    </w:p>
    <w:p>
      <w:pPr>
        <w:pStyle w:val="877"/>
        <w:pBdr/>
        <w:spacing w:after="60" w:before="480"/>
        <w:ind/>
        <w:rPr/>
      </w:pPr>
      <w:r>
        <w:rPr>
          <w:rFonts w:ascii="Courier New" w:hAnsi="Courier New" w:eastAsia="Courier New" w:cs="Courier New"/>
          <w:b/>
          <w:bCs/>
          <w:color w:val="7f8c8d"/>
          <w:sz w:val="18"/>
          <w:szCs w:val="18"/>
        </w:rPr>
        <w:t xml:space="preserve">[Cryptography]  </w:t>
      </w:r>
      <w:r>
        <w:rPr>
          <w:rFonts w:ascii="Georgia" w:hAnsi="Georgia" w:eastAsia="Georgia" w:cs="Georgia"/>
          <w:b/>
          <w:bCs/>
          <w:color w:val="0d1f2d"/>
          <w:sz w:val="26"/>
          <w:szCs w:val="26"/>
        </w:rPr>
        <w:t xml:space="preserve">Random Number Generation: TRNG vs PRNG</w:t>
      </w:r>
      <w:r/>
    </w:p>
    <w:p>
      <w:pPr>
        <w:pStyle w:val="877"/>
        <w:pBdr>
          <w:bottom w:val="single" w:color="1a6b3c" w:sz="8" w:space="1"/>
        </w:pBdr>
        <w:spacing w:after="200" w:before="0"/>
        <w:ind/>
        <w:rPr/>
      </w:pPr>
      <w:r/>
      <w:r/>
    </w:p>
    <w:p>
      <w:pPr>
        <w:pStyle w:val="877"/>
        <w:pBdr/>
        <w:spacing w:after="100" w:before="120"/>
        <w:ind/>
        <w:rPr/>
      </w:pPr>
      <w:r/>
      <w:r/>
    </w:p>
    <w:tbl>
      <w:tblPr>
        <w:tblInd w:w="0" w:type="dxa"/>
        <w:tblW w:w="9360" w:type="dxa"/>
        <w:tblCellMar>
          <w:left w:w="0" w:type="dxa"/>
          <w:top w:w="80" w:type="dxa"/>
          <w:right w:w="0" w:type="dxa"/>
          <w:bottom w:w="8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79"/>
        <w:gridCol w:w="9180"/>
      </w:tblGrid>
      <w:tr>
        <w:trPr/>
        <w:tc>
          <w:tcPr>
            <w:shd w:val="clear" w:color="auto" w:fill="e8f5ee"/>
            <w:tcBorders>
              <w:left w:val="single" w:color="1a6b3c" w:sz="12" w:space="0"/>
            </w:tcBorders>
            <w:tcW w:w="179" w:type="dxa"/>
          </w:tcPr>
          <w:p>
            <w:pPr>
              <w:pStyle w:val="877"/>
              <w:pBdr/>
              <w:spacing/>
              <w:ind/>
              <w:rPr/>
            </w:pPr>
            <w:r/>
            <w:r/>
          </w:p>
        </w:tc>
        <w:tc>
          <w:tcPr>
            <w:shd w:val="clear" w:color="auto" w:fill="e8f5ee"/>
            <w:tcBorders/>
            <w:tcMar>
              <w:left w:w="160" w:type="dxa"/>
              <w:top w:w="100" w:type="dxa"/>
              <w:right w:w="120" w:type="dxa"/>
              <w:bottom w:w="100" w:type="dxa"/>
            </w:tcMar>
            <w:tcW w:w="918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eastAsia="Calibri" w:cs="Calibri"/>
                <w:b/>
                <w:bCs/>
                <w:color w:val="1a4d2e"/>
                <w:sz w:val="18"/>
                <w:szCs w:val="18"/>
              </w:rPr>
              <w:t xml:space="preserve">📊 </w:t>
            </w:r>
            <w:r>
              <w:rPr>
                <w:rFonts w:eastAsia="Calibri" w:cs="Calibri"/>
                <w:b/>
                <w:bCs/>
                <w:color w:val="1a4d2e"/>
                <w:sz w:val="18"/>
                <w:szCs w:val="18"/>
              </w:rPr>
              <w:t xml:space="preserve">Why this made the guide:  </w:t>
            </w:r>
            <w:r>
              <w:rPr>
                <w:rFonts w:eastAsia="Calibri" w:cs="Calibri"/>
                <w:i/>
                <w:iCs/>
                <w:color w:val="2e5040"/>
                <w:sz w:val="18"/>
                <w:szCs w:val="18"/>
              </w:rPr>
              <w:t xml:space="preserve">Some were confused about where entropy comes from in TRNGs, why PRNGs are broken if the seed is known, the LCG method, and the famous Debian OpenSSL bug.</w:t>
            </w:r>
            <w:r/>
          </w:p>
        </w:tc>
      </w:tr>
    </w:tbl>
    <w:p>
      <w:pPr>
        <w:pStyle w:val="877"/>
        <w:pBdr/>
        <w:spacing w:after="0" w:before="160"/>
        <w:ind/>
        <w:rPr/>
      </w:pPr>
      <w:r/>
      <w:r/>
    </w:p>
    <w:p>
      <w:pPr>
        <w:pStyle w:val="877"/>
        <w:pBdr/>
        <w:spacing w:after="60" w:before="240"/>
        <w:ind/>
        <w:rPr/>
      </w:pP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</w:rPr>
        <w:t xml:space="preserve">EXPLANATION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Why randomness matters in security: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Keys, nonces, session IDs, and OTP pads must be unpredictable. If an attacker can guess your RNG output, your cryptography is broken regardless of algorithm strength.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PRNG (Pseudo-Random Number Generator):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Deterministic algorithm seeded with an initial value. Same seed → same output every time.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C's rand() is a PRNG. Useful for simulations, terrible for cryptography.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If the seed is compromised, ALL past and future output is known.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CSPRNG (Cryptographically Secure PRNG):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Designed so that even knowing past output, future output is unpredictable. Used in security contexts (e.g., /dev/urandom on Linux).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TRNG (True RNG):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Uses physical entropy sources: thermal noise, radioactive decay, mouse movements, keyboard timing, network packet arrival times, lava lamps (yes, really — Cloudflare uses them).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Truly unpredictable but slower. Often used to seed a CSPRNG.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LCG (Linear Congruential Generator):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Formula: X_n+1 = (a × X_n + c) mod m. Fast, simple, but predictable — NOT cryptographically secure.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Debian OpenSSL bug (2006–2008):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A Debian deve</w:t>
      </w:r>
      <w:r>
        <w:rPr>
          <w:rFonts w:eastAsia="Calibri" w:cs="Calibri"/>
          <w:color w:val="333333"/>
          <w:sz w:val="20"/>
          <w:szCs w:val="20"/>
        </w:rPr>
        <w:t xml:space="preserve">loper 'fixed' a Valgrind warning by removing two lines that seeded OpenSSL's RNG with process entropy. This reduced the seed space to just the process ID — only ~32,767 possible values. Every SSH key generated on Debian/Ubuntu in that window was guessable.</w:t>
      </w:r>
      <w:r/>
    </w:p>
    <w:p>
      <w:pPr>
        <w:pStyle w:val="877"/>
        <w:pBdr/>
        <w:spacing w:after="60" w:before="240"/>
        <w:ind/>
        <w:rPr/>
      </w:pP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</w:rPr>
        <w:t xml:space="preserve">MATH / WORKED EXAMPLES</w:t>
      </w:r>
      <w:r/>
    </w:p>
    <w:p>
      <w:pPr>
        <w:pStyle w:val="877"/>
        <w:pBdr/>
        <w:spacing w:after="80" w:before="100"/>
        <w:ind/>
        <w:rPr/>
      </w:pPr>
      <w:r/>
      <w:r/>
    </w:p>
    <w:tbl>
      <w:tblPr>
        <w:tblInd w:w="0" w:type="dxa"/>
        <w:tblW w:w="9360" w:type="dxa"/>
        <w:tblCellMar>
          <w:left w:w="140" w:type="dxa"/>
          <w:top w:w="80" w:type="dxa"/>
          <w:right w:w="120" w:type="dxa"/>
          <w:bottom w:w="4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99"/>
        <w:gridCol w:w="8960"/>
      </w:tblGrid>
      <w:tr>
        <w:trPr/>
        <w:tc>
          <w:tcPr>
            <w:gridSpan w:val="2"/>
            <w:shd w:val="clear" w:color="auto" w:fill="f0f8f4"/>
            <w:tcBorders>
              <w:top w:val="single" w:color="7f8c8d" w:sz="4" w:space="0"/>
              <w:left w:val="single" w:color="7f8c8d" w:sz="4" w:space="0"/>
              <w:right w:val="single" w:color="7f8c8d" w:sz="4" w:space="0"/>
            </w:tcBorders>
            <w:tcW w:w="935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7f8c8d"/>
                <w:sz w:val="18"/>
                <w:szCs w:val="18"/>
              </w:rPr>
              <w:t xml:space="preserve">✦  </w:t>
            </w:r>
            <w:r>
              <w:rPr>
                <w:rFonts w:ascii="Courier New" w:hAnsi="Courier New" w:eastAsia="Courier New" w:cs="Courier New"/>
                <w:b/>
                <w:bCs/>
                <w:color w:val="7f8c8d"/>
                <w:sz w:val="18"/>
                <w:szCs w:val="18"/>
              </w:rPr>
              <w:t xml:space="preserve">Example 1: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LCG — why it's predictable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7f8c8d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7f8c8d"/>
                <w:sz w:val="18"/>
                <w:szCs w:val="18"/>
              </w:rPr>
              <w:t xml:space="preserve">1.</w:t>
            </w:r>
            <w:r/>
          </w:p>
        </w:tc>
        <w:tc>
          <w:tcPr>
            <w:shd w:val="clear" w:color="auto" w:fill="f8fcfa"/>
            <w:tcBorders>
              <w:right w:val="single" w:color="7f8c8d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Parameters: a=1664525, c=1013904223, m=2³² (classic values)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7f8c8d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7f8c8d"/>
                <w:sz w:val="18"/>
                <w:szCs w:val="18"/>
              </w:rPr>
              <w:t xml:space="preserve">2.</w:t>
            </w:r>
            <w:r/>
          </w:p>
        </w:tc>
        <w:tc>
          <w:tcPr>
            <w:shd w:val="clear" w:color="auto" w:fill="f8fcfa"/>
            <w:tcBorders>
              <w:right w:val="single" w:color="7f8c8d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Seed X_0 = 42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7f8c8d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7f8c8d"/>
                <w:sz w:val="18"/>
                <w:szCs w:val="18"/>
              </w:rPr>
              <w:t xml:space="preserve">3.</w:t>
            </w:r>
            <w:r/>
          </w:p>
        </w:tc>
        <w:tc>
          <w:tcPr>
            <w:shd w:val="clear" w:color="auto" w:fill="f8fcfa"/>
            <w:tcBorders>
              <w:right w:val="single" w:color="7f8c8d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X_1 = (1664525 × 42 + 1013904223) mod 2³² =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1084918697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7f8c8d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7f8c8d"/>
                <w:sz w:val="18"/>
                <w:szCs w:val="18"/>
              </w:rPr>
              <w:t xml:space="preserve">4.</w:t>
            </w:r>
            <w:r/>
          </w:p>
        </w:tc>
        <w:tc>
          <w:tcPr>
            <w:shd w:val="clear" w:color="auto" w:fill="f8fcfa"/>
            <w:tcBorders>
              <w:right w:val="single" w:color="7f8c8d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X_2 = (1664525 × 1084918697 + 1013904223) mod 2³² =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2110784639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(deterministic!)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7f8c8d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7f8c8d"/>
                <w:sz w:val="18"/>
                <w:szCs w:val="18"/>
              </w:rPr>
              <w:t xml:space="preserve">5.</w:t>
            </w:r>
            <w:r/>
          </w:p>
        </w:tc>
        <w:tc>
          <w:tcPr>
            <w:shd w:val="clear" w:color="auto" w:fill="f8fcfa"/>
            <w:tcBorders>
              <w:right w:val="single" w:color="7f8c8d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If attacker observes one output → they know all future values.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7f8c8d" w:sz="4" w:space="0"/>
              <w:bottom w:val="single" w:color="7f8c8d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7f8c8d"/>
                <w:sz w:val="18"/>
                <w:szCs w:val="18"/>
              </w:rPr>
              <w:t xml:space="preserve">6.</w:t>
            </w:r>
            <w:r/>
          </w:p>
        </w:tc>
        <w:tc>
          <w:tcPr>
            <w:shd w:val="clear" w:color="auto" w:fill="f8fcfa"/>
            <w:tcBorders>
              <w:bottom w:val="single" w:color="7f8c8d" w:sz="4" w:space="0"/>
              <w:right w:val="single" w:color="7f8c8d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Never use LCG (or rand()) for keys, nonces, or session tokens.</w:t>
            </w:r>
            <w:r/>
          </w:p>
        </w:tc>
      </w:tr>
    </w:tbl>
    <w:p>
      <w:pPr>
        <w:pStyle w:val="877"/>
        <w:pBdr/>
        <w:spacing w:after="0" w:before="200"/>
        <w:ind/>
        <w:rPr/>
      </w:pPr>
      <w:r>
        <w:br/>
      </w:r>
      <w:r/>
    </w:p>
    <w:p>
      <w:pPr>
        <w:pStyle w:val="877"/>
        <w:pBdr/>
        <w:spacing w:after="60" w:before="480"/>
        <w:ind/>
        <w:rPr/>
      </w:pPr>
      <w:r>
        <w:rPr>
          <w:rFonts w:ascii="Courier New" w:hAnsi="Courier New" w:eastAsia="Courier New" w:cs="Courier New"/>
          <w:b/>
          <w:bCs/>
          <w:color w:val="e74c3c"/>
          <w:sz w:val="18"/>
          <w:szCs w:val="18"/>
        </w:rPr>
        <w:t xml:space="preserve">[Cryptography]  </w:t>
      </w:r>
      <w:r>
        <w:rPr>
          <w:rFonts w:ascii="Georgia" w:hAnsi="Georgia" w:eastAsia="Georgia" w:cs="Georgia"/>
          <w:b/>
          <w:bCs/>
          <w:color w:val="0d1f2d"/>
          <w:sz w:val="26"/>
          <w:szCs w:val="26"/>
        </w:rPr>
        <w:t xml:space="preserve">DES: Structure, Round Function &amp; Differential Cryptanalysis</w:t>
      </w:r>
      <w:r/>
    </w:p>
    <w:p>
      <w:pPr>
        <w:pStyle w:val="877"/>
        <w:pBdr>
          <w:bottom w:val="single" w:color="1a6b3c" w:sz="8" w:space="1"/>
        </w:pBdr>
        <w:spacing w:after="200" w:before="0"/>
        <w:ind/>
        <w:rPr/>
      </w:pPr>
      <w:r/>
      <w:r/>
    </w:p>
    <w:p>
      <w:pPr>
        <w:pStyle w:val="877"/>
        <w:pBdr/>
        <w:spacing w:after="0" w:before="160"/>
        <w:ind/>
        <w:rPr/>
      </w:pPr>
      <w:r/>
      <w:r/>
    </w:p>
    <w:p>
      <w:pPr>
        <w:pStyle w:val="877"/>
        <w:pBdr/>
        <w:spacing w:after="60" w:before="240"/>
        <w:ind/>
        <w:rPr/>
      </w:pP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</w:rPr>
        <w:t xml:space="preserve">EXPLANATION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DES (Data Encryption Standard):</w:t>
      </w:r>
      <w:r>
        <w:rPr>
          <w:rFonts w:eastAsia="Calibri" w:cs="Calibri"/>
          <w:color w:val="333333"/>
          <w:sz w:val="20"/>
          <w:szCs w:val="20"/>
        </w:rPr>
        <w:t xml:space="preserve"> 56-bit key, 64-bit block cipher, 16 rounds. Designed by IBM, modified by NSA, published 1977. Broken by brute force in 1998 (EFF DES Cracker: 56 hours).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DES Round Structure (Feistel network):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Split 64-bit block into Left (L) and Right (R) halves.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Each round: L_new = R_old  |  R_new = L_old ⊕ F(R_old, subkey)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The F function: Expand R (32→48 bits) → XOR with 48-bit subkey → 8 S-boxes (48→32 bits) → permute.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S-boxes:</w:t>
      </w:r>
      <w:r>
        <w:rPr>
          <w:rFonts w:eastAsia="Calibri" w:cs="Calibri"/>
          <w:color w:val="333333"/>
          <w:sz w:val="20"/>
          <w:szCs w:val="20"/>
        </w:rPr>
        <w:t xml:space="preserve"> Each maps 6-bit input to 4-bit output using a lookup table. They provide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confusion</w:t>
      </w:r>
      <w:r>
        <w:rPr>
          <w:rFonts w:eastAsia="Calibri" w:cs="Calibri"/>
          <w:color w:val="333333"/>
          <w:sz w:val="20"/>
          <w:szCs w:val="20"/>
        </w:rPr>
        <w:t xml:space="preserve"> (non-linearity). The NSA modified the original S-boxes — secretly strengthening them against differential cryptanalysis (which wasn't publicly known until 1990).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Why the initial permutation does nothing: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It was designed for hardware alignment on 8-bit buses, not security. A known permutation adds zero cryptographic strength.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Differential Cryptanalysis: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Choose pairs </w:t>
      </w:r>
      <w:r>
        <w:rPr>
          <w:rFonts w:eastAsia="Calibri" w:cs="Calibri"/>
          <w:color w:val="333333"/>
          <w:sz w:val="20"/>
          <w:szCs w:val="20"/>
        </w:rPr>
        <w:t xml:space="preserve">of plaintexts with a specific XOR difference (Δ). Track how that difference propagates through rounds. S-box output differences are non-uniform — some differences occur with higher probability. After enough pairs, you can recover subkey bits statistically.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Avalanche Effect:</w:t>
      </w:r>
      <w:r>
        <w:rPr>
          <w:rFonts w:eastAsia="Calibri" w:cs="Calibri"/>
          <w:color w:val="333333"/>
          <w:sz w:val="20"/>
          <w:szCs w:val="20"/>
        </w:rPr>
        <w:t xml:space="preserve"> A 1-bit change in input or key should flip ~50% of output bits. DES achieves this after a few rounds.</w:t>
      </w:r>
      <w:r/>
    </w:p>
    <w:p>
      <w:pPr>
        <w:pStyle w:val="877"/>
        <w:pBdr/>
        <w:spacing w:after="60" w:before="240"/>
        <w:ind/>
        <w:rPr/>
      </w:pP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</w:rPr>
        <w:t xml:space="preserve">MATH / WORKED EXAMPLES</w:t>
      </w:r>
      <w:r/>
    </w:p>
    <w:p>
      <w:pPr>
        <w:pStyle w:val="877"/>
        <w:pBdr/>
        <w:spacing w:after="80" w:before="100"/>
        <w:ind/>
        <w:rPr/>
      </w:pPr>
      <w:r/>
      <w:r/>
    </w:p>
    <w:tbl>
      <w:tblPr>
        <w:tblInd w:w="0" w:type="dxa"/>
        <w:tblW w:w="9360" w:type="dxa"/>
        <w:tblCellMar>
          <w:left w:w="140" w:type="dxa"/>
          <w:top w:w="80" w:type="dxa"/>
          <w:right w:w="120" w:type="dxa"/>
          <w:bottom w:w="4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99"/>
        <w:gridCol w:w="8960"/>
      </w:tblGrid>
      <w:tr>
        <w:trPr/>
        <w:tc>
          <w:tcPr>
            <w:gridSpan w:val="2"/>
            <w:shd w:val="clear" w:color="auto" w:fill="f0f8f4"/>
            <w:tcBorders>
              <w:top w:val="single" w:color="e74c3c" w:sz="4" w:space="0"/>
              <w:left w:val="single" w:color="e74c3c" w:sz="4" w:space="0"/>
              <w:right w:val="single" w:color="e74c3c" w:sz="4" w:space="0"/>
            </w:tcBorders>
            <w:tcW w:w="935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e74c3c"/>
                <w:sz w:val="18"/>
                <w:szCs w:val="18"/>
              </w:rPr>
              <w:t xml:space="preserve">✦  </w:t>
            </w:r>
            <w:r>
              <w:rPr>
                <w:rFonts w:ascii="Courier New" w:hAnsi="Courier New" w:eastAsia="Courier New" w:cs="Courier New"/>
                <w:b/>
                <w:bCs/>
                <w:color w:val="e74c3c"/>
                <w:sz w:val="18"/>
                <w:szCs w:val="18"/>
              </w:rPr>
              <w:t xml:space="preserve">Example 1: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DES Feistel round — one iteration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e74c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e74c3c"/>
                <w:sz w:val="18"/>
                <w:szCs w:val="18"/>
              </w:rPr>
              <w:t xml:space="preserve">1.</w:t>
            </w:r>
            <w:r/>
          </w:p>
        </w:tc>
        <w:tc>
          <w:tcPr>
            <w:shd w:val="clear" w:color="auto" w:fill="f8fcfa"/>
            <w:tcBorders>
              <w:right w:val="single" w:color="e74c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Input: L0 = 0000...0 (32 bits), R0 = 1010...1 (32 bits)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e74c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e74c3c"/>
                <w:sz w:val="18"/>
                <w:szCs w:val="18"/>
              </w:rPr>
              <w:t xml:space="preserve">2.</w:t>
            </w:r>
            <w:r/>
          </w:p>
        </w:tc>
        <w:tc>
          <w:tcPr>
            <w:shd w:val="clear" w:color="auto" w:fill="f8fcfa"/>
            <w:tcBorders>
              <w:right w:val="single" w:color="e74c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Step 1: Expand R0 from 32 → 48 bits (repeat some bits at borders)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e74c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e74c3c"/>
                <w:sz w:val="18"/>
                <w:szCs w:val="18"/>
              </w:rPr>
              <w:t xml:space="preserve">3.</w:t>
            </w:r>
            <w:r/>
          </w:p>
        </w:tc>
        <w:tc>
          <w:tcPr>
            <w:shd w:val="clear" w:color="auto" w:fill="f8fcfa"/>
            <w:tcBorders>
              <w:right w:val="single" w:color="e74c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Step 2: XOR expanded R0 with 48-bit round subkey K1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e74c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e74c3c"/>
                <w:sz w:val="18"/>
                <w:szCs w:val="18"/>
              </w:rPr>
              <w:t xml:space="preserve">4.</w:t>
            </w:r>
            <w:r/>
          </w:p>
        </w:tc>
        <w:tc>
          <w:tcPr>
            <w:shd w:val="clear" w:color="auto" w:fill="f8fcfa"/>
            <w:tcBorders>
              <w:right w:val="single" w:color="e74c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Step 3: Feed 48 bits into 8 S-boxes (6 bits each in → 4 bits each out = 32 bits)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e74c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e74c3c"/>
                <w:sz w:val="18"/>
                <w:szCs w:val="18"/>
              </w:rPr>
              <w:t xml:space="preserve">5.</w:t>
            </w:r>
            <w:r/>
          </w:p>
        </w:tc>
        <w:tc>
          <w:tcPr>
            <w:shd w:val="clear" w:color="auto" w:fill="f8fcfa"/>
            <w:tcBorders>
              <w:right w:val="single" w:color="e74c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Step 4: Permute the 32 S-box outputs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e74c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e74c3c"/>
                <w:sz w:val="18"/>
                <w:szCs w:val="18"/>
              </w:rPr>
              <w:t xml:space="preserve">6.</w:t>
            </w:r>
            <w:r/>
          </w:p>
        </w:tc>
        <w:tc>
          <w:tcPr>
            <w:shd w:val="clear" w:color="auto" w:fill="f8fcfa"/>
            <w:tcBorders>
              <w:right w:val="single" w:color="e74c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Step 5: L1 = R0,  R1 = L0 ⊕ (S-box output)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e74c3c" w:sz="4" w:space="0"/>
              <w:bottom w:val="single" w:color="e74c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e74c3c"/>
                <w:sz w:val="18"/>
                <w:szCs w:val="18"/>
              </w:rPr>
              <w:t xml:space="preserve">7.</w:t>
            </w:r>
            <w:r/>
          </w:p>
        </w:tc>
        <w:tc>
          <w:tcPr>
            <w:shd w:val="clear" w:color="auto" w:fill="f8fcfa"/>
            <w:tcBorders>
              <w:bottom w:val="single" w:color="e74c3c" w:sz="4" w:space="0"/>
              <w:right w:val="single" w:color="e74c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Repeat 16 times with different subkeys derived from the master 56-bit key.</w:t>
            </w:r>
            <w:r/>
          </w:p>
        </w:tc>
      </w:tr>
    </w:tbl>
    <w:p>
      <w:pPr>
        <w:pStyle w:val="877"/>
        <w:pBdr/>
        <w:spacing w:after="80" w:before="100"/>
        <w:ind/>
        <w:rPr/>
      </w:pPr>
      <w:r/>
      <w:r/>
    </w:p>
    <w:tbl>
      <w:tblPr>
        <w:tblInd w:w="0" w:type="dxa"/>
        <w:tblW w:w="9360" w:type="dxa"/>
        <w:tblCellMar>
          <w:left w:w="140" w:type="dxa"/>
          <w:top w:w="80" w:type="dxa"/>
          <w:right w:w="120" w:type="dxa"/>
          <w:bottom w:w="4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99"/>
        <w:gridCol w:w="8960"/>
      </w:tblGrid>
      <w:tr>
        <w:trPr/>
        <w:tc>
          <w:tcPr>
            <w:gridSpan w:val="2"/>
            <w:shd w:val="clear" w:color="auto" w:fill="f0f8f4"/>
            <w:tcBorders>
              <w:top w:val="single" w:color="e74c3c" w:sz="4" w:space="0"/>
              <w:left w:val="single" w:color="e74c3c" w:sz="4" w:space="0"/>
              <w:right w:val="single" w:color="e74c3c" w:sz="4" w:space="0"/>
            </w:tcBorders>
            <w:tcW w:w="935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e74c3c"/>
                <w:sz w:val="18"/>
                <w:szCs w:val="18"/>
              </w:rPr>
              <w:t xml:space="preserve">✦  </w:t>
            </w:r>
            <w:r>
              <w:rPr>
                <w:rFonts w:ascii="Courier New" w:hAnsi="Courier New" w:eastAsia="Courier New" w:cs="Courier New"/>
                <w:b/>
                <w:bCs/>
                <w:color w:val="e74c3c"/>
                <w:sz w:val="18"/>
                <w:szCs w:val="18"/>
              </w:rPr>
              <w:t xml:space="preserve">Example 2: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Why 56-bit DES is broken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e74c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e74c3c"/>
                <w:sz w:val="18"/>
                <w:szCs w:val="18"/>
              </w:rPr>
              <w:t xml:space="preserve">1.</w:t>
            </w:r>
            <w:r/>
          </w:p>
        </w:tc>
        <w:tc>
          <w:tcPr>
            <w:shd w:val="clear" w:color="auto" w:fill="f8fcfa"/>
            <w:tcBorders>
              <w:right w:val="single" w:color="e74c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Key space = 2⁵⁶ = ~72 quadrillion possible keys.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e74c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e74c3c"/>
                <w:sz w:val="18"/>
                <w:szCs w:val="18"/>
              </w:rPr>
              <w:t xml:space="preserve">2.</w:t>
            </w:r>
            <w:r/>
          </w:p>
        </w:tc>
        <w:tc>
          <w:tcPr>
            <w:shd w:val="clear" w:color="auto" w:fill="f8fcfa"/>
            <w:tcBorders>
              <w:right w:val="single" w:color="e74c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1998: EFF built 'Deep Crack' for $250,000 — exhaustive search in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56 hours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e74c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e74c3c"/>
                <w:sz w:val="18"/>
                <w:szCs w:val="18"/>
              </w:rPr>
              <w:t xml:space="preserve">3.</w:t>
            </w:r>
            <w:r/>
          </w:p>
        </w:tc>
        <w:tc>
          <w:tcPr>
            <w:shd w:val="clear" w:color="auto" w:fill="f8fcfa"/>
            <w:tcBorders>
              <w:right w:val="single" w:color="e74c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2008: Distributed.net + FPGA cracked DES in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&lt;1 day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e74c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e74c3c"/>
                <w:sz w:val="18"/>
                <w:szCs w:val="18"/>
              </w:rPr>
              <w:t xml:space="preserve">4.</w:t>
            </w:r>
            <w:r/>
          </w:p>
        </w:tc>
        <w:tc>
          <w:tcPr>
            <w:shd w:val="clear" w:color="auto" w:fill="f8fcfa"/>
            <w:tcBorders>
              <w:right w:val="single" w:color="e74c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Today: Modern GPU cluster cracks DES in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minutes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e74c3c" w:sz="4" w:space="0"/>
              <w:bottom w:val="single" w:color="e74c3c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e74c3c"/>
                <w:sz w:val="18"/>
                <w:szCs w:val="18"/>
              </w:rPr>
              <w:t xml:space="preserve">5.</w:t>
            </w:r>
            <w:r/>
          </w:p>
        </w:tc>
        <w:tc>
          <w:tcPr>
            <w:shd w:val="clear" w:color="auto" w:fill="f8fcfa"/>
            <w:tcBorders>
              <w:bottom w:val="single" w:color="e74c3c" w:sz="4" w:space="0"/>
              <w:right w:val="single" w:color="e74c3c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Fix: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3DES (Encrypt-Decrypt-Encrypt with 3 different keys = 112 effective bits). Now deprecated. Use AES.</w:t>
            </w:r>
            <w:r/>
          </w:p>
        </w:tc>
      </w:tr>
    </w:tbl>
    <w:p>
      <w:pPr>
        <w:pStyle w:val="877"/>
        <w:pBdr/>
        <w:spacing w:after="0" w:before="200"/>
        <w:ind/>
        <w:rPr/>
      </w:pPr>
      <w:r>
        <w:br/>
      </w:r>
      <w:r/>
    </w:p>
    <w:p>
      <w:pPr>
        <w:pStyle w:val="877"/>
        <w:pBdr/>
        <w:spacing w:after="60" w:before="480"/>
        <w:ind/>
        <w:rPr/>
      </w:pPr>
      <w:r>
        <w:rPr>
          <w:rFonts w:ascii="Courier New" w:hAnsi="Courier New" w:eastAsia="Courier New" w:cs="Courier New"/>
          <w:b/>
          <w:bCs/>
          <w:color w:val="2980b9"/>
          <w:sz w:val="18"/>
          <w:szCs w:val="18"/>
        </w:rPr>
        <w:t xml:space="preserve">[Cryptography]  </w:t>
      </w:r>
      <w:r>
        <w:rPr>
          <w:rFonts w:ascii="Georgia" w:hAnsi="Georgia" w:eastAsia="Georgia" w:cs="Georgia"/>
          <w:b/>
          <w:bCs/>
          <w:color w:val="0d1f2d"/>
          <w:sz w:val="26"/>
          <w:szCs w:val="26"/>
        </w:rPr>
        <w:t xml:space="preserve">AES: Structure, GF(2⁸) Arithmetic &amp; Modes</w:t>
      </w:r>
      <w:r/>
    </w:p>
    <w:p>
      <w:pPr>
        <w:pStyle w:val="877"/>
        <w:pBdr>
          <w:bottom w:val="single" w:color="1a6b3c" w:sz="8" w:space="1"/>
        </w:pBdr>
        <w:spacing w:after="200" w:before="0"/>
        <w:ind/>
        <w:rPr/>
      </w:pPr>
      <w:r/>
      <w:r/>
    </w:p>
    <w:p>
      <w:pPr>
        <w:pStyle w:val="877"/>
        <w:pBdr/>
        <w:spacing w:after="0" w:before="160"/>
        <w:ind/>
        <w:rPr/>
      </w:pPr>
      <w:r/>
      <w:r/>
    </w:p>
    <w:p>
      <w:pPr>
        <w:pStyle w:val="877"/>
        <w:pBdr/>
        <w:spacing w:after="60" w:before="240"/>
        <w:ind/>
        <w:rPr/>
      </w:pP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</w:rPr>
        <w:t xml:space="preserve">EXPLANATION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AES (Advanced Encryption Standard):</w:t>
      </w:r>
      <w:r>
        <w:rPr>
          <w:rFonts w:eastAsia="Calibri" w:cs="Calibri"/>
          <w:color w:val="333333"/>
          <w:sz w:val="20"/>
          <w:szCs w:val="20"/>
        </w:rPr>
        <w:t xml:space="preserve"> 128/192/256-bit keys, 128-bit block, 10/12/14 rounds. Selected by NIST in 2001 from a public competition. Faster than DES due to lookup tables.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AES is NOT a Feistel network</w:t>
      </w:r>
      <w:r>
        <w:rPr>
          <w:rFonts w:eastAsia="Calibri" w:cs="Calibri"/>
          <w:color w:val="333333"/>
          <w:sz w:val="20"/>
          <w:szCs w:val="20"/>
        </w:rPr>
        <w:t xml:space="preserve"> — it operates on the full 4×4 byte state matrix every round.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Four transformations per round: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1.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SubBytes:</w:t>
      </w:r>
      <w:r>
        <w:rPr>
          <w:rFonts w:eastAsia="Calibri" w:cs="Calibri"/>
          <w:color w:val="333333"/>
          <w:sz w:val="20"/>
          <w:szCs w:val="20"/>
        </w:rPr>
        <w:t xml:space="preserve"> Replace each byte using a fixed S-box lookup table. Provides non-linearity (confusion).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2.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ShiftRows:</w:t>
      </w:r>
      <w:r>
        <w:rPr>
          <w:rFonts w:eastAsia="Calibri" w:cs="Calibri"/>
          <w:color w:val="333333"/>
          <w:sz w:val="20"/>
          <w:szCs w:val="20"/>
        </w:rPr>
        <w:t xml:space="preserve"> Cyclically shift row i left by i positions. Provides diffusion across columns.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3.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MixColumns:</w:t>
      </w:r>
      <w:r>
        <w:rPr>
          <w:rFonts w:eastAsia="Calibri" w:cs="Calibri"/>
          <w:color w:val="333333"/>
          <w:sz w:val="20"/>
          <w:szCs w:val="20"/>
        </w:rPr>
        <w:t xml:space="preserve"> Multiply each column by a fixed matrix in GF(2⁸). Each output byte depends on all 4 input bytes. (Omitted in the final round.)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4.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AddRoundKey:</w:t>
      </w:r>
      <w:r>
        <w:rPr>
          <w:rFonts w:eastAsia="Calibri" w:cs="Calibri"/>
          <w:color w:val="333333"/>
          <w:sz w:val="20"/>
          <w:szCs w:val="20"/>
        </w:rPr>
        <w:t xml:space="preserve"> XOR the state with the 128-bit round key derived from key schedule.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Why the last round skips MixColumns: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MixColumns and its inverse must be applied symmetrically for decryption to work cleanly. Skipping it in the last round simplifies the decryption algorithm without reducing security.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GF(2⁸) arithmetic (Galois Field):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All byte-level operations in AES happen in GF(2⁸) — a finite field where addition is XOR and multiplication uses polynomial arithmetic modulo an irreducible polynomial (x⁸+x⁴+x³+x+1).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The 'matrix multiply' in MixColumns is NOT regular integer multiplication. It is XOR-based polynomial multiplication.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AES security:</w:t>
      </w:r>
      <w:r>
        <w:rPr>
          <w:rFonts w:eastAsia="Calibri" w:cs="Calibri"/>
          <w:color w:val="333333"/>
          <w:sz w:val="20"/>
          <w:szCs w:val="20"/>
        </w:rPr>
        <w:t xml:space="preserve"> No practical full-key recovery attack known. Best attacks require 2¹²⁶·¹ operations (barely below brute force). AES-128 is considered quantum-resistant enough for near-term use.</w:t>
      </w:r>
      <w:r/>
    </w:p>
    <w:p>
      <w:pPr>
        <w:pStyle w:val="877"/>
        <w:pBdr/>
        <w:spacing w:after="60" w:before="240"/>
        <w:ind/>
        <w:rPr/>
      </w:pP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</w:rPr>
        <w:t xml:space="preserve">MATH / WORKED EXAMPLES</w:t>
      </w:r>
      <w:r/>
    </w:p>
    <w:p>
      <w:pPr>
        <w:pStyle w:val="877"/>
        <w:pBdr/>
        <w:spacing w:after="80" w:before="100"/>
        <w:ind/>
        <w:rPr/>
      </w:pPr>
      <w:r/>
      <w:r/>
    </w:p>
    <w:tbl>
      <w:tblPr>
        <w:tblInd w:w="0" w:type="dxa"/>
        <w:tblW w:w="9360" w:type="dxa"/>
        <w:tblCellMar>
          <w:left w:w="140" w:type="dxa"/>
          <w:top w:w="80" w:type="dxa"/>
          <w:right w:w="120" w:type="dxa"/>
          <w:bottom w:w="4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99"/>
        <w:gridCol w:w="8960"/>
      </w:tblGrid>
      <w:tr>
        <w:trPr/>
        <w:tc>
          <w:tcPr>
            <w:gridSpan w:val="2"/>
            <w:shd w:val="clear" w:color="auto" w:fill="f0f8f4"/>
            <w:tcBorders>
              <w:top w:val="single" w:color="2980b9" w:sz="4" w:space="0"/>
              <w:left w:val="single" w:color="2980b9" w:sz="4" w:space="0"/>
              <w:right w:val="single" w:color="2980b9" w:sz="4" w:space="0"/>
            </w:tcBorders>
            <w:tcW w:w="935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980b9"/>
                <w:sz w:val="18"/>
                <w:szCs w:val="18"/>
              </w:rPr>
              <w:t xml:space="preserve">✦  </w:t>
            </w:r>
            <w:r>
              <w:rPr>
                <w:rFonts w:ascii="Courier New" w:hAnsi="Courier New" w:eastAsia="Courier New" w:cs="Courier New"/>
                <w:b/>
                <w:bCs/>
                <w:color w:val="2980b9"/>
                <w:sz w:val="18"/>
                <w:szCs w:val="18"/>
              </w:rPr>
              <w:t xml:space="preserve">Example 1: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MixColumns — one column in GF(2⁸)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2980b9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980b9"/>
                <w:sz w:val="18"/>
                <w:szCs w:val="18"/>
              </w:rPr>
              <w:t xml:space="preserve">1.</w:t>
            </w:r>
            <w:r/>
          </w:p>
        </w:tc>
        <w:tc>
          <w:tcPr>
            <w:shd w:val="clear" w:color="auto" w:fill="f8fcfa"/>
            <w:tcBorders>
              <w:right w:val="single" w:color="2980b9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Input column bytes: [a0, a1, a2, a3]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2980b9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980b9"/>
                <w:sz w:val="18"/>
                <w:szCs w:val="18"/>
              </w:rPr>
              <w:t xml:space="preserve">2.</w:t>
            </w:r>
            <w:r/>
          </w:p>
        </w:tc>
        <w:tc>
          <w:tcPr>
            <w:shd w:val="clear" w:color="auto" w:fill="f8fcfa"/>
            <w:tcBorders>
              <w:right w:val="single" w:color="2980b9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MixColumns matrix: rows are [2,3,1,1], [1,2,3,1], [1,1,2,3], [3,1,1,2]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2980b9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980b9"/>
                <w:sz w:val="18"/>
                <w:szCs w:val="18"/>
              </w:rPr>
              <w:t xml:space="preserve">3.</w:t>
            </w:r>
            <w:r/>
          </w:p>
        </w:tc>
        <w:tc>
          <w:tcPr>
            <w:shd w:val="clear" w:color="auto" w:fill="f8fcfa"/>
            <w:tcBorders>
              <w:right w:val="single" w:color="2980b9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Output b0 = (2•a0) ⊕ (3•a1) ⊕ (1•a2) ⊕ (1•a3)  in GF(2⁸)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2980b9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980b9"/>
                <w:sz w:val="18"/>
                <w:szCs w:val="18"/>
              </w:rPr>
              <w:t xml:space="preserve">4.</w:t>
            </w:r>
            <w:r/>
          </w:p>
        </w:tc>
        <w:tc>
          <w:tcPr>
            <w:shd w:val="clear" w:color="auto" w:fill="f8fcfa"/>
            <w:tcBorders>
              <w:right w:val="single" w:color="2980b9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Multiply by 2 in GF(2⁸): left-shift by 1; if bit 7 was set, XOR result with 0x1B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2980b9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980b9"/>
                <w:sz w:val="18"/>
                <w:szCs w:val="18"/>
              </w:rPr>
              <w:t xml:space="preserve">5.</w:t>
            </w:r>
            <w:r/>
          </w:p>
        </w:tc>
        <w:tc>
          <w:tcPr>
            <w:shd w:val="clear" w:color="auto" w:fill="f8fcfa"/>
            <w:tcBorders>
              <w:right w:val="single" w:color="2980b9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Multiply by 3: same as (multiply by 2) ⊕ (original value)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2980b9" w:sz="4" w:space="0"/>
              <w:bottom w:val="single" w:color="2980b9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980b9"/>
                <w:sz w:val="18"/>
                <w:szCs w:val="18"/>
              </w:rPr>
              <w:t xml:space="preserve">6.</w:t>
            </w:r>
            <w:r/>
          </w:p>
        </w:tc>
        <w:tc>
          <w:tcPr>
            <w:shd w:val="clear" w:color="auto" w:fill="f8fcfa"/>
            <w:tcBorders>
              <w:bottom w:val="single" w:color="2980b9" w:sz="4" w:space="0"/>
              <w:right w:val="single" w:color="2980b9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Every output byte depends on ALL 4 input bytes →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strong diffusion</w:t>
            </w:r>
            <w:r/>
          </w:p>
        </w:tc>
      </w:tr>
    </w:tbl>
    <w:p>
      <w:pPr>
        <w:pStyle w:val="877"/>
        <w:pBdr/>
        <w:spacing w:after="80" w:before="100"/>
        <w:ind/>
        <w:rPr/>
      </w:pPr>
      <w:r/>
      <w:r/>
    </w:p>
    <w:tbl>
      <w:tblPr>
        <w:tblInd w:w="0" w:type="dxa"/>
        <w:tblW w:w="9360" w:type="dxa"/>
        <w:tblCellMar>
          <w:left w:w="140" w:type="dxa"/>
          <w:top w:w="80" w:type="dxa"/>
          <w:right w:w="120" w:type="dxa"/>
          <w:bottom w:w="4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99"/>
        <w:gridCol w:w="8960"/>
      </w:tblGrid>
      <w:tr>
        <w:trPr/>
        <w:tc>
          <w:tcPr>
            <w:gridSpan w:val="2"/>
            <w:shd w:val="clear" w:color="auto" w:fill="f0f8f4"/>
            <w:tcBorders>
              <w:top w:val="single" w:color="2980b9" w:sz="4" w:space="0"/>
              <w:left w:val="single" w:color="2980b9" w:sz="4" w:space="0"/>
              <w:right w:val="single" w:color="2980b9" w:sz="4" w:space="0"/>
            </w:tcBorders>
            <w:tcW w:w="935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980b9"/>
                <w:sz w:val="18"/>
                <w:szCs w:val="18"/>
              </w:rPr>
              <w:t xml:space="preserve">✦  </w:t>
            </w:r>
            <w:r>
              <w:rPr>
                <w:rFonts w:ascii="Courier New" w:hAnsi="Courier New" w:eastAsia="Courier New" w:cs="Courier New"/>
                <w:b/>
                <w:bCs/>
                <w:color w:val="2980b9"/>
                <w:sz w:val="18"/>
                <w:szCs w:val="18"/>
              </w:rPr>
              <w:t xml:space="preserve">Example 2: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AES vs DES — key differences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2980b9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980b9"/>
                <w:sz w:val="18"/>
                <w:szCs w:val="18"/>
              </w:rPr>
              <w:t xml:space="preserve">1.</w:t>
            </w:r>
            <w:r/>
          </w:p>
        </w:tc>
        <w:tc>
          <w:tcPr>
            <w:shd w:val="clear" w:color="auto" w:fill="f8fcfa"/>
            <w:tcBorders>
              <w:right w:val="single" w:color="2980b9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Key size: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DES=56 bits (broken), AES=128/192/256 bits (secure)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2980b9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980b9"/>
                <w:sz w:val="18"/>
                <w:szCs w:val="18"/>
              </w:rPr>
              <w:t xml:space="preserve">2.</w:t>
            </w:r>
            <w:r/>
          </w:p>
        </w:tc>
        <w:tc>
          <w:tcPr>
            <w:shd w:val="clear" w:color="auto" w:fill="f8fcfa"/>
            <w:tcBorders>
              <w:right w:val="single" w:color="2980b9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Block size: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DES=64 bits, AES=128 bits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2980b9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980b9"/>
                <w:sz w:val="18"/>
                <w:szCs w:val="18"/>
              </w:rPr>
              <w:t xml:space="preserve">3.</w:t>
            </w:r>
            <w:r/>
          </w:p>
        </w:tc>
        <w:tc>
          <w:tcPr>
            <w:shd w:val="clear" w:color="auto" w:fill="f8fcfa"/>
            <w:tcBorders>
              <w:right w:val="single" w:color="2980b9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Structure: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DES=Feistel (half-block per round), AES=Substitution-Permutation Network (full block)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2980b9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980b9"/>
                <w:sz w:val="18"/>
                <w:szCs w:val="18"/>
              </w:rPr>
              <w:t xml:space="preserve">4.</w:t>
            </w:r>
            <w:r/>
          </w:p>
        </w:tc>
        <w:tc>
          <w:tcPr>
            <w:shd w:val="clear" w:color="auto" w:fill="f8fcfa"/>
            <w:tcBorders>
              <w:right w:val="single" w:color="2980b9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Speed: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AES faster in software (lookup tables), hardware optimized with AES-NI CPU instructions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2980b9" w:sz="4" w:space="0"/>
              <w:bottom w:val="single" w:color="2980b9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2980b9"/>
                <w:sz w:val="18"/>
                <w:szCs w:val="18"/>
              </w:rPr>
              <w:t xml:space="preserve">5.</w:t>
            </w:r>
            <w:r/>
          </w:p>
        </w:tc>
        <w:tc>
          <w:tcPr>
            <w:shd w:val="clear" w:color="auto" w:fill="f8fcfa"/>
            <w:tcBorders>
              <w:bottom w:val="single" w:color="2980b9" w:sz="4" w:space="0"/>
              <w:right w:val="single" w:color="2980b9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Security margin: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 DES crackable in minutes; AES-128 not broken in 20+ years</w:t>
            </w:r>
            <w:r/>
          </w:p>
        </w:tc>
      </w:tr>
    </w:tbl>
    <w:p>
      <w:pPr>
        <w:pStyle w:val="877"/>
        <w:pBdr/>
        <w:spacing w:after="0" w:before="200"/>
        <w:ind/>
        <w:rPr/>
      </w:pPr>
      <w:r>
        <w:br/>
      </w:r>
      <w:r/>
    </w:p>
    <w:p>
      <w:pPr>
        <w:pStyle w:val="877"/>
        <w:pBdr/>
        <w:spacing w:after="60" w:before="480"/>
        <w:ind/>
        <w:rPr/>
      </w:pPr>
      <w:r>
        <w:rPr>
          <w:rFonts w:ascii="Courier New" w:hAnsi="Courier New" w:eastAsia="Courier New" w:cs="Courier New"/>
          <w:b/>
          <w:bCs/>
          <w:color w:val="16a085"/>
          <w:sz w:val="18"/>
          <w:szCs w:val="18"/>
        </w:rPr>
        <w:t xml:space="preserve">[Cryptography]  </w:t>
      </w:r>
      <w:r>
        <w:rPr>
          <w:rFonts w:ascii="Georgia" w:hAnsi="Georgia" w:eastAsia="Georgia" w:cs="Georgia"/>
          <w:b/>
          <w:bCs/>
          <w:color w:val="0d1f2d"/>
          <w:sz w:val="26"/>
          <w:szCs w:val="26"/>
        </w:rPr>
        <w:t xml:space="preserve">Hashing, Digital Signatures &amp; SHA</w:t>
      </w:r>
      <w:r/>
    </w:p>
    <w:p>
      <w:pPr>
        <w:pStyle w:val="877"/>
        <w:pBdr>
          <w:bottom w:val="single" w:color="1a6b3c" w:sz="8" w:space="1"/>
        </w:pBdr>
        <w:spacing w:after="200" w:before="0"/>
        <w:ind/>
        <w:rPr/>
      </w:pPr>
      <w:r/>
      <w:r/>
    </w:p>
    <w:p>
      <w:pPr>
        <w:pStyle w:val="877"/>
        <w:pBdr/>
        <w:spacing w:after="0" w:before="160"/>
        <w:ind/>
        <w:rPr/>
      </w:pPr>
      <w:r/>
      <w:r/>
    </w:p>
    <w:p>
      <w:pPr>
        <w:pStyle w:val="877"/>
        <w:pBdr/>
        <w:spacing w:after="60" w:before="240"/>
        <w:ind/>
        <w:rPr/>
      </w:pP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</w:rPr>
        <w:t xml:space="preserve">EXPLANATION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Hash function properties: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One-way (preimage resistant):</w:t>
      </w:r>
      <w:r>
        <w:rPr>
          <w:rFonts w:eastAsia="Calibri" w:cs="Calibri"/>
          <w:color w:val="333333"/>
          <w:sz w:val="20"/>
          <w:szCs w:val="20"/>
        </w:rPr>
        <w:t xml:space="preserve"> Given H(m), you cannot find m.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Collision resistant:</w:t>
      </w:r>
      <w:r>
        <w:rPr>
          <w:rFonts w:eastAsia="Calibri" w:cs="Calibri"/>
          <w:color w:val="333333"/>
          <w:sz w:val="20"/>
          <w:szCs w:val="20"/>
        </w:rPr>
        <w:t xml:space="preserve"> Computationally infeasible to find two inputs with the same hash.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</w:t>
      </w:r>
      <w:r>
        <w:rPr>
          <w:rFonts w:eastAsia="Calibri" w:cs="Calibri"/>
          <w:b/>
          <w:bCs/>
          <w:color w:val="0d1f2d"/>
          <w:sz w:val="20"/>
          <w:szCs w:val="20"/>
        </w:rPr>
        <w:t xml:space="preserve">Deterministic &amp; fixed-length output:</w:t>
      </w:r>
      <w:r>
        <w:rPr>
          <w:rFonts w:eastAsia="Calibri" w:cs="Calibri"/>
          <w:color w:val="333333"/>
          <w:sz w:val="20"/>
          <w:szCs w:val="20"/>
        </w:rPr>
        <w:t xml:space="preserve"> SHA-256 always outputs 256 bits regardless of input size.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Why sign the hash, not the message?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Asymmetric operations (RSA, ECDSA) are slow and have size limits. Instead: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1. Hash the message: h = SHA-256(message)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2. Sign the hash: sig = PrivateKey(h)  — this is fast, fixed-size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3. Recipient: verifies PublicKey(sig) == SHA-256(message)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SHA variants: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SHA-1 (160-bit): Deprecated. Collision found in 2017 (SHAttered attack, cost ~$110K).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SHA-256 / SHA-384 / SHA-512: Part of SHA-2 family. Currently secure.</w:t>
      </w:r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color w:val="333333"/>
          <w:sz w:val="20"/>
          <w:szCs w:val="20"/>
        </w:rPr>
        <w:t xml:space="preserve">- SHA-3: Different internal structure (Keccak sponge). Backup in case SHA-2 is broken.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Hashing ≠ Encryption:</w:t>
      </w:r>
      <w:r>
        <w:rPr>
          <w:rFonts w:eastAsia="Calibri" w:cs="Calibri"/>
          <w:color w:val="333333"/>
          <w:sz w:val="20"/>
          <w:szCs w:val="20"/>
        </w:rPr>
        <w:t xml:space="preserve"> You cannot 'decrypt' a hash. It is deliberately lossy.</w:t>
      </w:r>
      <w:r/>
    </w:p>
    <w:p>
      <w:pPr>
        <w:pStyle w:val="877"/>
        <w:pBdr/>
        <w:spacing w:after="0" w:before="40"/>
        <w:ind/>
        <w:rPr/>
      </w:pPr>
      <w:r/>
      <w:r/>
    </w:p>
    <w:p>
      <w:pPr>
        <w:pStyle w:val="877"/>
        <w:pBdr/>
        <w:spacing w:after="60" w:before="40"/>
        <w:ind/>
        <w:rPr/>
      </w:pPr>
      <w:r>
        <w:rPr>
          <w:rFonts w:eastAsia="Calibri" w:cs="Calibri"/>
          <w:b/>
          <w:bCs/>
          <w:color w:val="0d1f2d"/>
          <w:sz w:val="20"/>
          <w:szCs w:val="20"/>
        </w:rPr>
        <w:t xml:space="preserve">HMAC (Hash-based MAC):</w:t>
      </w:r>
      <w:r>
        <w:rPr>
          <w:rFonts w:eastAsia="Calibri" w:cs="Calibri"/>
          <w:color w:val="333333"/>
          <w:sz w:val="20"/>
          <w:szCs w:val="20"/>
        </w:rPr>
        <w:t xml:space="preserve"> Combines a secret key with a hash to provide both integrity AND authentication: HMAC(K, m) = H((K ⊕ opad) || H((K ⊕ ipad) || m))</w:t>
      </w:r>
      <w:r/>
    </w:p>
    <w:p>
      <w:pPr>
        <w:pStyle w:val="877"/>
        <w:pBdr/>
        <w:spacing w:after="60" w:before="240"/>
        <w:ind/>
        <w:rPr/>
      </w:pPr>
      <w:r>
        <w:rPr>
          <w:rFonts w:ascii="Courier New" w:hAnsi="Courier New" w:eastAsia="Courier New" w:cs="Courier New"/>
          <w:b/>
          <w:bCs/>
          <w:color w:val="1a6b3c"/>
          <w:spacing w:val="40"/>
          <w:sz w:val="18"/>
          <w:szCs w:val="18"/>
        </w:rPr>
        <w:t xml:space="preserve">MATH / WORKED EXAMPLES</w:t>
      </w:r>
      <w:r/>
    </w:p>
    <w:p>
      <w:pPr>
        <w:pStyle w:val="877"/>
        <w:pBdr/>
        <w:spacing w:after="80" w:before="100"/>
        <w:ind/>
        <w:rPr/>
      </w:pPr>
      <w:r/>
      <w:r/>
    </w:p>
    <w:tbl>
      <w:tblPr>
        <w:tblInd w:w="0" w:type="dxa"/>
        <w:tblW w:w="9360" w:type="dxa"/>
        <w:tblCellMar>
          <w:left w:w="140" w:type="dxa"/>
          <w:top w:w="80" w:type="dxa"/>
          <w:right w:w="120" w:type="dxa"/>
          <w:bottom w:w="4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99"/>
        <w:gridCol w:w="8960"/>
      </w:tblGrid>
      <w:tr>
        <w:trPr/>
        <w:tc>
          <w:tcPr>
            <w:gridSpan w:val="2"/>
            <w:shd w:val="clear" w:color="auto" w:fill="f0f8f4"/>
            <w:tcBorders>
              <w:top w:val="single" w:color="16a085" w:sz="4" w:space="0"/>
              <w:left w:val="single" w:color="16a085" w:sz="4" w:space="0"/>
              <w:right w:val="single" w:color="16a085" w:sz="4" w:space="0"/>
            </w:tcBorders>
            <w:tcW w:w="935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6a085"/>
                <w:sz w:val="18"/>
                <w:szCs w:val="18"/>
              </w:rPr>
              <w:t xml:space="preserve">✦  </w:t>
            </w:r>
            <w:r>
              <w:rPr>
                <w:rFonts w:ascii="Courier New" w:hAnsi="Courier New" w:eastAsia="Courier New" w:cs="Courier New"/>
                <w:b/>
                <w:bCs/>
                <w:color w:val="16a085"/>
                <w:sz w:val="18"/>
                <w:szCs w:val="18"/>
              </w:rPr>
              <w:t xml:space="preserve">Example 1: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Digital signature — sign and verify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6a085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6a085"/>
                <w:sz w:val="18"/>
                <w:szCs w:val="18"/>
              </w:rPr>
              <w:t xml:space="preserve">1.</w:t>
            </w:r>
            <w:r/>
          </w:p>
        </w:tc>
        <w:tc>
          <w:tcPr>
            <w:shd w:val="clear" w:color="auto" w:fill="f8fcfa"/>
            <w:tcBorders>
              <w:right w:val="single" w:color="16a085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Alice wants to sign a document. She has private key K_priv, public key K_pub (known to all).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6a085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6a085"/>
                <w:sz w:val="18"/>
                <w:szCs w:val="18"/>
              </w:rPr>
              <w:t xml:space="preserve">2.</w:t>
            </w:r>
            <w:r/>
          </w:p>
        </w:tc>
        <w:tc>
          <w:tcPr>
            <w:shd w:val="clear" w:color="auto" w:fill="f8fcfa"/>
            <w:tcBorders>
              <w:right w:val="single" w:color="16a085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Step 1: h = SHA-256(document)  → 256-bit hash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6a085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6a085"/>
                <w:sz w:val="18"/>
                <w:szCs w:val="18"/>
              </w:rPr>
              <w:t xml:space="preserve">3.</w:t>
            </w:r>
            <w:r/>
          </w:p>
        </w:tc>
        <w:tc>
          <w:tcPr>
            <w:shd w:val="clear" w:color="auto" w:fill="f8fcfa"/>
            <w:tcBorders>
              <w:right w:val="single" w:color="16a085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Step 2: signature = RSA_sign(K_priv, h)  → encrypted hash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6a085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6a085"/>
                <w:sz w:val="18"/>
                <w:szCs w:val="18"/>
              </w:rPr>
              <w:t xml:space="preserve">4.</w:t>
            </w:r>
            <w:r/>
          </w:p>
        </w:tc>
        <w:tc>
          <w:tcPr>
            <w:shd w:val="clear" w:color="auto" w:fill="f8fcfa"/>
            <w:tcBorders>
              <w:right w:val="single" w:color="16a085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Step 3: Alice sends (document, signature) to Bob.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6a085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6a085"/>
                <w:sz w:val="18"/>
                <w:szCs w:val="18"/>
              </w:rPr>
              <w:t xml:space="preserve">5.</w:t>
            </w:r>
            <w:r/>
          </w:p>
        </w:tc>
        <w:tc>
          <w:tcPr>
            <w:shd w:val="clear" w:color="auto" w:fill="f8fcfa"/>
            <w:tcBorders>
              <w:right w:val="single" w:color="16a085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Bob verifies: h' = RSA_verify(K_pub, signature)  and  h'' = SHA-256(document)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6a085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6a085"/>
                <w:sz w:val="18"/>
                <w:szCs w:val="18"/>
              </w:rPr>
              <w:t xml:space="preserve">6.</w:t>
            </w:r>
            <w:r/>
          </w:p>
        </w:tc>
        <w:tc>
          <w:tcPr>
            <w:shd w:val="clear" w:color="auto" w:fill="f8fcfa"/>
            <w:tcBorders>
              <w:right w:val="single" w:color="16a085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If h' == h'' → </w:t>
            </w:r>
            <w:r>
              <w:rPr>
                <w:rFonts w:ascii="Courier New" w:hAnsi="Courier New" w:eastAsia="Courier New" w:cs="Courier New"/>
                <w:b/>
                <w:bCs/>
                <w:color w:val="0d1f2d"/>
                <w:sz w:val="18"/>
                <w:szCs w:val="18"/>
              </w:rPr>
              <w:t xml:space="preserve">signature valid</w:t>
            </w: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: message unaltered, came from Alice ✓</w:t>
            </w:r>
            <w:r/>
          </w:p>
        </w:tc>
      </w:tr>
      <w:tr>
        <w:trPr/>
        <w:tc>
          <w:tcPr>
            <w:shd w:val="clear" w:color="auto" w:fill="f8fcfa"/>
            <w:tcBorders>
              <w:left w:val="single" w:color="16a085" w:sz="4" w:space="0"/>
              <w:bottom w:val="single" w:color="16a085" w:sz="4" w:space="0"/>
            </w:tcBorders>
            <w:tcMar>
              <w:top w:w="60" w:type="dxa"/>
              <w:right w:w="60" w:type="dxa"/>
              <w:bottom w:w="60" w:type="dxa"/>
            </w:tcMar>
            <w:tcW w:w="399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b/>
                <w:bCs/>
                <w:color w:val="16a085"/>
                <w:sz w:val="18"/>
                <w:szCs w:val="18"/>
              </w:rPr>
              <w:t xml:space="preserve">7.</w:t>
            </w:r>
            <w:r/>
          </w:p>
        </w:tc>
        <w:tc>
          <w:tcPr>
            <w:shd w:val="clear" w:color="auto" w:fill="f8fcfa"/>
            <w:tcBorders>
              <w:bottom w:val="single" w:color="16a085" w:sz="4" w:space="0"/>
              <w:right w:val="single" w:color="16a085" w:sz="4" w:space="0"/>
            </w:tcBorders>
            <w:tcMar>
              <w:left w:w="80" w:type="dxa"/>
              <w:top w:w="60" w:type="dxa"/>
              <w:bottom w:w="60" w:type="dxa"/>
            </w:tcMar>
            <w:tcW w:w="8960" w:type="dxa"/>
          </w:tcPr>
          <w:p>
            <w:pPr>
              <w:pStyle w:val="877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  <w:color w:val="2c3e50"/>
                <w:sz w:val="18"/>
                <w:szCs w:val="18"/>
              </w:rPr>
              <w:t xml:space="preserve">If h' ≠ h'' → tampered or wrong signer → reject</w:t>
            </w:r>
            <w:r/>
          </w:p>
        </w:tc>
      </w:tr>
    </w:tbl>
    <w:p w14:paraId="1B387EFE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080" w:right="1080" w:bottom="1080" w:left="108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Noto Sans CJK SC">
    <w:panose1 w:val="020B0500000000000000"/>
  </w:font>
  <w:font w:name="Noto Sans Devanagari">
    <w:panose1 w:val="020B0502040504020204"/>
  </w:font>
  <w:font w:name="Liberation Sans">
    <w:panose1 w:val="020B0604020202020204"/>
  </w:font>
  <w:font w:name="Georgia">
    <w:panose1 w:val="02020502060505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color w:val="333333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7"/>
    <w:basedOn w:val="877"/>
    <w:next w:val="877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29">
    <w:name w:val="Heading 8"/>
    <w:basedOn w:val="877"/>
    <w:next w:val="877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0">
    <w:name w:val="Heading 9"/>
    <w:basedOn w:val="877"/>
    <w:next w:val="877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1" w:default="1">
    <w:name w:val="Default Paragraph Font"/>
    <w:uiPriority w:val="1"/>
    <w:semiHidden/>
    <w:unhideWhenUsed/>
    <w:pPr>
      <w:pBdr/>
      <w:spacing/>
      <w:ind/>
    </w:pPr>
  </w:style>
  <w:style w:type="numbering" w:styleId="832" w:default="1">
    <w:name w:val="No List"/>
    <w:uiPriority w:val="99"/>
    <w:semiHidden/>
    <w:unhideWhenUsed/>
    <w:pPr>
      <w:pBdr/>
      <w:spacing/>
      <w:ind/>
    </w:pPr>
  </w:style>
  <w:style w:type="character" w:styleId="833">
    <w:name w:val="Heading 1 Char"/>
    <w:basedOn w:val="831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1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1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1"/>
    <w:link w:val="8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1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1"/>
    <w:link w:val="8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1"/>
    <w:link w:val="8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1"/>
    <w:link w:val="8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1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2">
    <w:name w:val="Title Char"/>
    <w:basedOn w:val="831"/>
    <w:link w:val="8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3">
    <w:name w:val="Subtitle"/>
    <w:basedOn w:val="877"/>
    <w:next w:val="877"/>
    <w:link w:val="84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4">
    <w:name w:val="Subtitle Char"/>
    <w:basedOn w:val="831"/>
    <w:link w:val="8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5">
    <w:name w:val="Quote"/>
    <w:basedOn w:val="877"/>
    <w:next w:val="877"/>
    <w:link w:val="84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6">
    <w:name w:val="Quote Char"/>
    <w:basedOn w:val="831"/>
    <w:link w:val="84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7">
    <w:name w:val="Intense Emphasis"/>
    <w:basedOn w:val="8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8">
    <w:name w:val="Intense Quote"/>
    <w:basedOn w:val="877"/>
    <w:next w:val="877"/>
    <w:link w:val="84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9">
    <w:name w:val="Intense Quote Char"/>
    <w:basedOn w:val="831"/>
    <w:link w:val="84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0">
    <w:name w:val="Intense Reference"/>
    <w:basedOn w:val="8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1">
    <w:name w:val="No Spacing"/>
    <w:basedOn w:val="877"/>
    <w:uiPriority w:val="1"/>
    <w:qFormat/>
    <w:pPr>
      <w:pBdr/>
      <w:spacing w:after="0" w:line="240" w:lineRule="auto"/>
      <w:ind/>
    </w:pPr>
  </w:style>
  <w:style w:type="character" w:styleId="852">
    <w:name w:val="Subtle Emphasis"/>
    <w:basedOn w:val="8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1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1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77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1"/>
    <w:link w:val="857"/>
    <w:uiPriority w:val="99"/>
    <w:pPr>
      <w:pBdr/>
      <w:spacing/>
      <w:ind/>
    </w:pPr>
  </w:style>
  <w:style w:type="paragraph" w:styleId="859">
    <w:name w:val="Footer"/>
    <w:basedOn w:val="877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1"/>
    <w:link w:val="859"/>
    <w:uiPriority w:val="99"/>
    <w:pPr>
      <w:pBdr/>
      <w:spacing/>
      <w:ind/>
    </w:pPr>
  </w:style>
  <w:style w:type="paragraph" w:styleId="861">
    <w:name w:val="endnote text"/>
    <w:basedOn w:val="877"/>
    <w:link w:val="8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2">
    <w:name w:val="Endnote Text Char"/>
    <w:basedOn w:val="831"/>
    <w:link w:val="861"/>
    <w:uiPriority w:val="99"/>
    <w:semiHidden/>
    <w:pPr>
      <w:pBdr/>
      <w:spacing/>
      <w:ind/>
    </w:pPr>
    <w:rPr>
      <w:sz w:val="20"/>
      <w:szCs w:val="20"/>
    </w:rPr>
  </w:style>
  <w:style w:type="character" w:styleId="863">
    <w:name w:val="endnote reference"/>
    <w:basedOn w:val="831"/>
    <w:uiPriority w:val="99"/>
    <w:semiHidden/>
    <w:unhideWhenUsed/>
    <w:pPr>
      <w:pBdr/>
      <w:spacing/>
      <w:ind/>
    </w:pPr>
    <w:rPr>
      <w:vertAlign w:val="superscript"/>
    </w:rPr>
  </w:style>
  <w:style w:type="character" w:styleId="864">
    <w:name w:val="FollowedHyperlink"/>
    <w:basedOn w:val="8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5">
    <w:name w:val="toc 1"/>
    <w:basedOn w:val="877"/>
    <w:next w:val="877"/>
    <w:uiPriority w:val="39"/>
    <w:unhideWhenUsed/>
    <w:pPr>
      <w:pBdr/>
      <w:spacing w:after="100"/>
      <w:ind/>
    </w:pPr>
  </w:style>
  <w:style w:type="paragraph" w:styleId="866">
    <w:name w:val="toc 2"/>
    <w:basedOn w:val="877"/>
    <w:next w:val="877"/>
    <w:uiPriority w:val="39"/>
    <w:unhideWhenUsed/>
    <w:pPr>
      <w:pBdr/>
      <w:spacing w:after="100"/>
      <w:ind w:left="220"/>
    </w:pPr>
  </w:style>
  <w:style w:type="paragraph" w:styleId="867">
    <w:name w:val="toc 3"/>
    <w:basedOn w:val="877"/>
    <w:next w:val="877"/>
    <w:uiPriority w:val="39"/>
    <w:unhideWhenUsed/>
    <w:pPr>
      <w:pBdr/>
      <w:spacing w:after="100"/>
      <w:ind w:left="440"/>
    </w:pPr>
  </w:style>
  <w:style w:type="paragraph" w:styleId="868">
    <w:name w:val="toc 4"/>
    <w:basedOn w:val="877"/>
    <w:next w:val="877"/>
    <w:uiPriority w:val="39"/>
    <w:unhideWhenUsed/>
    <w:pPr>
      <w:pBdr/>
      <w:spacing w:after="100"/>
      <w:ind w:left="660"/>
    </w:pPr>
  </w:style>
  <w:style w:type="paragraph" w:styleId="869">
    <w:name w:val="toc 5"/>
    <w:basedOn w:val="877"/>
    <w:next w:val="877"/>
    <w:uiPriority w:val="39"/>
    <w:unhideWhenUsed/>
    <w:pPr>
      <w:pBdr/>
      <w:spacing w:after="100"/>
      <w:ind w:left="880"/>
    </w:pPr>
  </w:style>
  <w:style w:type="paragraph" w:styleId="870">
    <w:name w:val="toc 6"/>
    <w:basedOn w:val="877"/>
    <w:next w:val="877"/>
    <w:uiPriority w:val="39"/>
    <w:unhideWhenUsed/>
    <w:pPr>
      <w:pBdr/>
      <w:spacing w:after="100"/>
      <w:ind w:left="1100"/>
    </w:pPr>
  </w:style>
  <w:style w:type="paragraph" w:styleId="871">
    <w:name w:val="toc 7"/>
    <w:basedOn w:val="877"/>
    <w:next w:val="877"/>
    <w:uiPriority w:val="39"/>
    <w:unhideWhenUsed/>
    <w:pPr>
      <w:pBdr/>
      <w:spacing w:after="100"/>
      <w:ind w:left="1320"/>
    </w:pPr>
  </w:style>
  <w:style w:type="paragraph" w:styleId="872">
    <w:name w:val="toc 8"/>
    <w:basedOn w:val="877"/>
    <w:next w:val="877"/>
    <w:uiPriority w:val="39"/>
    <w:unhideWhenUsed/>
    <w:pPr>
      <w:pBdr/>
      <w:spacing w:after="100"/>
      <w:ind w:left="1540"/>
    </w:pPr>
  </w:style>
  <w:style w:type="paragraph" w:styleId="873">
    <w:name w:val="toc 9"/>
    <w:basedOn w:val="877"/>
    <w:next w:val="877"/>
    <w:uiPriority w:val="39"/>
    <w:unhideWhenUsed/>
    <w:pPr>
      <w:pBdr/>
      <w:spacing w:after="100"/>
      <w:ind w:left="1760"/>
    </w:pPr>
  </w:style>
  <w:style w:type="character" w:styleId="874">
    <w:name w:val="Placeholder Text"/>
    <w:basedOn w:val="831"/>
    <w:uiPriority w:val="99"/>
    <w:semiHidden/>
    <w:pPr>
      <w:pBdr/>
      <w:spacing/>
      <w:ind/>
    </w:pPr>
    <w:rPr>
      <w:color w:val="666666"/>
    </w:rPr>
  </w:style>
  <w:style w:type="paragraph" w:styleId="875">
    <w:name w:val="TOC Heading"/>
    <w:uiPriority w:val="39"/>
    <w:unhideWhenUsed/>
    <w:pPr>
      <w:pBdr/>
      <w:spacing/>
      <w:ind/>
    </w:pPr>
  </w:style>
  <w:style w:type="paragraph" w:styleId="876">
    <w:name w:val="table of figures"/>
    <w:basedOn w:val="877"/>
    <w:next w:val="877"/>
    <w:uiPriority w:val="99"/>
    <w:unhideWhenUsed/>
    <w:pPr>
      <w:pBdr/>
      <w:spacing w:after="0" w:afterAutospacing="0"/>
      <w:ind/>
    </w:pPr>
  </w:style>
  <w:style w:type="paragraph" w:styleId="877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Calibri" w:hAnsi="Calibri" w:eastAsia="Calibri" w:cs="Calibri"/>
      <w:color w:val="333333"/>
      <w:sz w:val="20"/>
      <w:szCs w:val="20"/>
      <w:lang w:val="en-US" w:eastAsia="zh-CN" w:bidi="hi-IN"/>
    </w:rPr>
  </w:style>
  <w:style w:type="paragraph" w:styleId="878">
    <w:name w:val="Heading 1"/>
    <w:basedOn w:val="888"/>
    <w:qFormat/>
    <w:pPr>
      <w:pBdr/>
      <w:spacing w:after="120" w:before="240"/>
      <w:ind/>
      <w:outlineLvl w:val="0"/>
    </w:pPr>
    <w:rPr>
      <w:rFonts w:ascii="Georgia" w:hAnsi="Georgia" w:eastAsia="Georgia" w:cs="Georgia"/>
      <w:b/>
      <w:bCs/>
      <w:color w:val="0d1f2d"/>
      <w:sz w:val="32"/>
      <w:szCs w:val="32"/>
    </w:rPr>
  </w:style>
  <w:style w:type="paragraph" w:styleId="879">
    <w:name w:val="Heading 2"/>
    <w:basedOn w:val="888"/>
    <w:qFormat/>
    <w:pPr>
      <w:pBdr/>
      <w:spacing/>
      <w:ind/>
    </w:pPr>
    <w:rPr>
      <w:color w:val="2e74b5"/>
      <w:sz w:val="26"/>
      <w:szCs w:val="26"/>
    </w:rPr>
  </w:style>
  <w:style w:type="paragraph" w:styleId="880">
    <w:name w:val="Heading 3"/>
    <w:basedOn w:val="888"/>
    <w:qFormat/>
    <w:pPr>
      <w:pBdr/>
      <w:spacing/>
      <w:ind/>
    </w:pPr>
    <w:rPr>
      <w:color w:val="1f4d78"/>
      <w:sz w:val="24"/>
      <w:szCs w:val="24"/>
    </w:rPr>
  </w:style>
  <w:style w:type="paragraph" w:styleId="881">
    <w:name w:val="Heading 4"/>
    <w:basedOn w:val="888"/>
    <w:qFormat/>
    <w:pPr>
      <w:pBdr/>
      <w:spacing/>
      <w:ind/>
    </w:pPr>
    <w:rPr>
      <w:i/>
      <w:iCs/>
      <w:color w:val="2e74b5"/>
    </w:rPr>
  </w:style>
  <w:style w:type="paragraph" w:styleId="882">
    <w:name w:val="Heading 5"/>
    <w:basedOn w:val="888"/>
    <w:qFormat/>
    <w:pPr>
      <w:pBdr/>
      <w:spacing/>
      <w:ind/>
    </w:pPr>
    <w:rPr>
      <w:color w:val="2e74b5"/>
    </w:rPr>
  </w:style>
  <w:style w:type="paragraph" w:styleId="883">
    <w:name w:val="Heading 6"/>
    <w:basedOn w:val="888"/>
    <w:qFormat/>
    <w:pPr>
      <w:pBdr/>
      <w:spacing/>
      <w:ind/>
    </w:pPr>
    <w:rPr>
      <w:color w:val="1f4d78"/>
    </w:rPr>
  </w:style>
  <w:style w:type="character" w:styleId="88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85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86">
    <w:name w:val="footnote reference"/>
    <w:pPr>
      <w:pBdr/>
      <w:spacing/>
      <w:ind/>
    </w:pPr>
    <w:rPr>
      <w:vertAlign w:val="superscript"/>
    </w:rPr>
  </w:style>
  <w:style w:type="character" w:styleId="887">
    <w:name w:val="Footnote Text Char"/>
    <w:link w:val="896"/>
    <w:uiPriority w:val="99"/>
    <w:semiHidden/>
    <w:unhideWhenUsed/>
    <w:qFormat/>
    <w:pPr>
      <w:pBdr/>
      <w:spacing/>
      <w:ind/>
    </w:pPr>
    <w:rPr>
      <w:sz w:val="20"/>
      <w:szCs w:val="20"/>
    </w:rPr>
  </w:style>
  <w:style w:type="paragraph" w:styleId="888">
    <w:name w:val="Heading"/>
    <w:basedOn w:val="877"/>
    <w:next w:val="889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889">
    <w:name w:val="Body Text"/>
    <w:basedOn w:val="877"/>
    <w:pPr>
      <w:pBdr/>
      <w:spacing w:after="140" w:before="0" w:line="276" w:lineRule="auto"/>
      <w:ind/>
    </w:pPr>
  </w:style>
  <w:style w:type="paragraph" w:styleId="890">
    <w:name w:val="List"/>
    <w:basedOn w:val="889"/>
    <w:pPr>
      <w:pBdr/>
      <w:spacing/>
      <w:ind/>
    </w:pPr>
    <w:rPr>
      <w:rFonts w:cs="Noto Sans Devanagari"/>
    </w:rPr>
  </w:style>
  <w:style w:type="paragraph" w:styleId="891">
    <w:name w:val="Caption"/>
    <w:basedOn w:val="877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892">
    <w:name w:val="Index"/>
    <w:basedOn w:val="877"/>
    <w:qFormat/>
    <w:pPr>
      <w:suppressLineNumbers w:val="true"/>
      <w:pBdr/>
      <w:spacing/>
      <w:ind/>
    </w:pPr>
    <w:rPr>
      <w:rFonts w:cs="Noto Sans Devanagari"/>
    </w:rPr>
  </w:style>
  <w:style w:type="paragraph" w:styleId="893">
    <w:name w:val="Title"/>
    <w:basedOn w:val="888"/>
    <w:qFormat/>
    <w:pPr>
      <w:pBdr/>
      <w:spacing/>
      <w:ind/>
    </w:pPr>
    <w:rPr>
      <w:sz w:val="56"/>
      <w:szCs w:val="56"/>
    </w:rPr>
  </w:style>
  <w:style w:type="paragraph" w:styleId="894">
    <w:name w:val="Strong Emphasis"/>
    <w:qFormat/>
    <w:pPr>
      <w:widowControl w:val="true"/>
      <w:pBdr/>
      <w:bidi w:val="false"/>
      <w:spacing w:after="0" w:before="0"/>
      <w:ind/>
      <w:jc w:val="left"/>
    </w:pPr>
    <w:rPr>
      <w:rFonts w:ascii="Calibri" w:hAnsi="Calibri" w:eastAsia="Calibri" w:cs="Calibri"/>
      <w:b/>
      <w:bCs/>
      <w:color w:val="333333"/>
      <w:sz w:val="20"/>
      <w:szCs w:val="20"/>
      <w:lang w:val="en-US" w:eastAsia="zh-CN" w:bidi="hi-IN"/>
    </w:rPr>
  </w:style>
  <w:style w:type="paragraph" w:styleId="895">
    <w:name w:val="List Paragraph"/>
    <w:qFormat/>
    <w:pPr>
      <w:widowControl w:val="true"/>
      <w:pBdr/>
      <w:bidi w:val="false"/>
      <w:spacing w:after="0" w:before="0"/>
      <w:ind/>
      <w:jc w:val="left"/>
    </w:pPr>
    <w:rPr>
      <w:rFonts w:ascii="Calibri" w:hAnsi="Calibri" w:eastAsia="Calibri" w:cs="Calibri"/>
      <w:color w:val="333333"/>
      <w:sz w:val="20"/>
      <w:szCs w:val="20"/>
      <w:lang w:val="en-US" w:eastAsia="zh-CN" w:bidi="hi-IN"/>
    </w:rPr>
  </w:style>
  <w:style w:type="paragraph" w:styleId="896">
    <w:name w:val="footnote text"/>
    <w:basedOn w:val="877"/>
    <w:link w:val="887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customXml" Target="../customXml/item2.xml" /><Relationship Id="rId10" Type="http://schemas.openxmlformats.org/officeDocument/2006/relationships/customXml" Target="../customXml/item3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01DC0D1DBDDD4EBA843EEB2D56883C" ma:contentTypeVersion="3" ma:contentTypeDescription="Create a new document." ma:contentTypeScope="" ma:versionID="0e26bfdc8233da816385310845cc5620">
  <xsd:schema xmlns:xsd="http://www.w3.org/2001/XMLSchema" xmlns:xs="http://www.w3.org/2001/XMLSchema" xmlns:p="http://schemas.microsoft.com/office/2006/metadata/properties" xmlns:ns2="e7f10845-3bb8-471a-9536-16a2aa1e9be9" targetNamespace="http://schemas.microsoft.com/office/2006/metadata/properties" ma:root="true" ma:fieldsID="2904ae26b24de9aecfeba38a20968534" ns2:_="">
    <xsd:import namespace="e7f10845-3bb8-471a-9536-16a2aa1e9b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10845-3bb8-471a-9536-16a2aa1e9b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F943308A-ABF7-45C9-8260-D76ABBF680D7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f10845-3bb8-471a-9536-16a2aa1e9b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5D9DE08F-703D-4666-80B4-DD23094E1BCF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EE1AFA2E-B683-4988-A3A8-8F540821FB49">
  <ds:schemaRefs>
    <ds:schemaRef ds:uri="http://schemas.microsoft.com/office/2006/metadata/properties"/>
    <ds:schemaRef ds:uri="http://www.w3.org/2001/XMLSchema-instance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dc:language>en-US</dc:language>
  <cp:revision>4</cp:revision>
  <dcterms:created xsi:type="dcterms:W3CDTF">2026-03-08T15:40:25Z</dcterms:created>
  <dcterms:modified xsi:type="dcterms:W3CDTF">2026-03-09T19:22:51Z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0x0101003101DC0D1DBDDD4EBA843EEB2D56883C</vt:lpwstr>
  </property>
</Properties>
</file>