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Heading1"/>
        <w:jc w:val="center"/>
      </w:pPr>
      <w:r>
        <w:t xml:space="preserve">CSC 2400 — Homework 1 Rubric (40-Point Scale)</w:t>
      </w:r>
    </w:p>
    <w:p>
      <w:r>
        <w:t xml:space="preserve">Graded by: __________________________</w:t>
      </w:r>
    </w:p>
    <w:p>
      <w:r>
        <w:t xml:space="preserve">Total Score (out of 40): ______ /40</w:t>
      </w:r>
    </w:p>
    <w:p>
      <w:r>
        <w:t xml:space="preserve">Each row is graded 0–2 points (halve the normal 0–4 correctness/attempt scale).</w:t>
      </w:r>
    </w:p>
    <w:p>
      <w:pPr>
        <w:pStyle w:val="Heading2"/>
      </w:pPr>
      <w:r>
        <w:t xml:space="preserve">Performance Levels (per row)</w:t>
      </w:r>
    </w:p>
    <w:p>
      <w:r>
        <w:t xml:space="preserve">2 – Fully correct / complete logical attempt</w:t>
      </w:r>
    </w:p>
    <w:p>
      <w:r>
        <w:t xml:space="preserve">1 – Partial correctness or reasonable attempt</w:t>
      </w:r>
    </w:p>
    <w:p>
      <w:r>
        <w:t xml:space="preserve">0 – Incorrect or no attempt</w:t>
      </w:r>
    </w:p>
    <w:p>
      <w:pPr>
        <w:pStyle w:val="Heading2"/>
      </w:pPr>
      <w:r>
        <w:t xml:space="preserve">Euclid Algorithm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 xml:space="preserve">Item</w:t>
            </w:r>
          </w:p>
        </w:tc>
        <w:tc>
          <w:tcPr>
            <w:tcW w:w="2880" w:type="dxa"/>
          </w:tcPr>
          <w:p>
            <w:r>
              <w:t xml:space="preserve">Exercise</w:t>
            </w:r>
          </w:p>
        </w:tc>
        <w:tc>
          <w:tcPr>
            <w:tcW w:w="2880" w:type="dxa"/>
          </w:tcPr>
          <w:p>
            <w:r>
              <w:t xml:space="preserve">Points (0–2)</w:t>
            </w:r>
          </w:p>
        </w:tc>
      </w:tr>
      <w:tr>
        <w:tc>
          <w:tcPr>
            <w:tcW w:w="2880" w:type="dxa"/>
          </w:tcPr>
          <w:p>
            <w:r>
              <w:t xml:space="preserve">1</w:t>
            </w:r>
          </w:p>
        </w:tc>
        <w:tc>
          <w:tcPr>
            <w:tcW w:w="2880" w:type="dxa"/>
          </w:tcPr>
          <w:p>
            <w:r>
              <w:t xml:space="preserve">EuclidGCD table trace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2</w:t>
            </w:r>
          </w:p>
        </w:tc>
        <w:tc>
          <w:tcPr>
            <w:tcW w:w="2880" w:type="dxa"/>
          </w:tcPr>
          <w:p>
            <w:r>
              <w:t xml:space="preserve">EuclidGCD pseudocode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3</w:t>
            </w:r>
          </w:p>
        </w:tc>
        <w:tc>
          <w:tcPr>
            <w:tcW w:w="2880" w:type="dxa"/>
          </w:tcPr>
          <w:p>
            <w:r>
              <w:t xml:space="preserve">Smaller-first input explanation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</w:tbl>
    <w:p>
      <w:pPr>
        <w:pStyle w:val="Heading2"/>
      </w:pPr>
      <w:r>
        <w:t xml:space="preserve">Algorithm Design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 xml:space="preserve">Item</w:t>
            </w:r>
          </w:p>
        </w:tc>
        <w:tc>
          <w:tcPr>
            <w:tcW w:w="2880" w:type="dxa"/>
          </w:tcPr>
          <w:p>
            <w:r>
              <w:t xml:space="preserve">Exercise</w:t>
            </w:r>
          </w:p>
        </w:tc>
        <w:tc>
          <w:tcPr>
            <w:tcW w:w="2880" w:type="dxa"/>
          </w:tcPr>
          <w:p>
            <w:r>
              <w:t xml:space="preserve">Points (0–2)</w:t>
            </w:r>
          </w:p>
        </w:tc>
      </w:tr>
      <w:tr>
        <w:tc>
          <w:tcPr>
            <w:tcW w:w="2880" w:type="dxa"/>
          </w:tcPr>
          <w:p>
            <w:r>
              <w:t xml:space="preserve">4a</w:t>
            </w:r>
          </w:p>
        </w:tc>
        <w:tc>
          <w:tcPr>
            <w:tcW w:w="2880" w:type="dxa"/>
          </w:tcPr>
          <w:p>
            <w:r>
              <w:t xml:space="preserve">Non-decreasing sequence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4b</w:t>
            </w:r>
          </w:p>
        </w:tc>
        <w:tc>
          <w:tcPr>
            <w:tcW w:w="2880" w:type="dxa"/>
          </w:tcPr>
          <w:p>
            <w:r>
              <w:t xml:space="preserve">Consecutive equal elements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4c</w:t>
            </w:r>
          </w:p>
        </w:tc>
        <w:tc>
          <w:tcPr>
            <w:tcW w:w="2880" w:type="dxa"/>
          </w:tcPr>
          <w:p>
            <w:r>
              <w:t xml:space="preserve">Sum-to-zero pair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4d</w:t>
            </w:r>
          </w:p>
        </w:tc>
        <w:tc>
          <w:tcPr>
            <w:tcW w:w="2880" w:type="dxa"/>
          </w:tcPr>
          <w:p>
            <w:r>
              <w:t xml:space="preserve">Pythagorean triple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4e</w:t>
            </w:r>
          </w:p>
        </w:tc>
        <w:tc>
          <w:tcPr>
            <w:tcW w:w="2880" w:type="dxa"/>
          </w:tcPr>
          <w:p>
            <w:r>
              <w:t xml:space="preserve">Second smallest element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</w:tbl>
    <w:p>
      <w:pPr>
        <w:pStyle w:val="Heading2"/>
      </w:pPr>
      <w:r>
        <w:t xml:space="preserve">Complexity &amp; Concepts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 xml:space="preserve">Item</w:t>
            </w:r>
          </w:p>
        </w:tc>
        <w:tc>
          <w:tcPr>
            <w:tcW w:w="2880" w:type="dxa"/>
          </w:tcPr>
          <w:p>
            <w:r>
              <w:t xml:space="preserve">Exercise</w:t>
            </w:r>
          </w:p>
        </w:tc>
        <w:tc>
          <w:tcPr>
            <w:tcW w:w="2880" w:type="dxa"/>
          </w:tcPr>
          <w:p>
            <w:r>
              <w:t xml:space="preserve">Points (0–2)</w:t>
            </w:r>
          </w:p>
        </w:tc>
      </w:tr>
      <w:tr>
        <w:tc>
          <w:tcPr>
            <w:tcW w:w="2880" w:type="dxa"/>
          </w:tcPr>
          <w:p>
            <w:r>
              <w:t xml:space="preserve">5</w:t>
            </w:r>
          </w:p>
        </w:tc>
        <w:tc>
          <w:tcPr>
            <w:tcW w:w="2880" w:type="dxa"/>
          </w:tcPr>
          <w:p>
            <w:r>
              <w:t xml:space="preserve">Worst-case Θ(n) justification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6</w:t>
            </w:r>
          </w:p>
        </w:tc>
        <w:tc>
          <w:tcPr>
            <w:tcW w:w="2880" w:type="dxa"/>
          </w:tcPr>
          <w:p>
            <w:r>
              <w:t xml:space="preserve">Runtime vs seconds explanation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7</w:t>
            </w:r>
          </w:p>
        </w:tc>
        <w:tc>
          <w:tcPr>
            <w:tcW w:w="2880" w:type="dxa"/>
          </w:tcPr>
          <w:p>
            <w:r>
              <w:t xml:space="preserve">Definition of time complexity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8</w:t>
            </w:r>
          </w:p>
        </w:tc>
        <w:tc>
          <w:tcPr>
            <w:tcW w:w="2880" w:type="dxa"/>
          </w:tcPr>
          <w:p>
            <w:r>
              <w:t xml:space="preserve">Binary representation conversions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9</w:t>
            </w:r>
          </w:p>
        </w:tc>
        <w:tc>
          <w:tcPr>
            <w:tcW w:w="2880" w:type="dxa"/>
          </w:tcPr>
          <w:p>
            <w:r>
              <w:t xml:space="preserve">Input size &amp; basic operation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</w:tbl>
    <w:p>
      <w:pPr>
        <w:pStyle w:val="Heading2"/>
      </w:pPr>
      <w:r>
        <w:t xml:space="preserve">Formula Understanding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 xml:space="preserve">Item</w:t>
            </w:r>
          </w:p>
        </w:tc>
        <w:tc>
          <w:tcPr>
            <w:tcW w:w="2880" w:type="dxa"/>
          </w:tcPr>
          <w:p>
            <w:r>
              <w:t xml:space="preserve">Exercise</w:t>
            </w:r>
          </w:p>
        </w:tc>
        <w:tc>
          <w:tcPr>
            <w:tcW w:w="2880" w:type="dxa"/>
          </w:tcPr>
          <w:p>
            <w:r>
              <w:t xml:space="preserve">Points (0–2)</w:t>
            </w:r>
          </w:p>
        </w:tc>
      </w:tr>
      <w:tr>
        <w:tc>
          <w:tcPr>
            <w:tcW w:w="2880" w:type="dxa"/>
          </w:tcPr>
          <w:p>
            <w:r>
              <w:t xml:space="preserve">10a</w:t>
            </w:r>
          </w:p>
        </w:tc>
        <w:tc>
          <w:tcPr>
            <w:tcW w:w="2880" w:type="dxa"/>
          </w:tcPr>
          <w:p>
            <w:r>
              <w:t xml:space="preserve">Meaning of T(n)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10b</w:t>
            </w:r>
          </w:p>
        </w:tc>
        <w:tc>
          <w:tcPr>
            <w:tcW w:w="2880" w:type="dxa"/>
          </w:tcPr>
          <w:p>
            <w:r>
              <w:t xml:space="preserve">Meaning of Cop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10c</w:t>
            </w:r>
          </w:p>
        </w:tc>
        <w:tc>
          <w:tcPr>
            <w:tcW w:w="2880" w:type="dxa"/>
          </w:tcPr>
          <w:p>
            <w:r>
              <w:t xml:space="preserve">Meaning of C(n)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</w:tbl>
    <w:p>
      <w:pPr>
        <w:pStyle w:val="Heading2"/>
      </w:pPr>
      <w:r>
        <w:t xml:space="preserve">Asymptotic Growth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 xml:space="preserve">Item</w:t>
            </w:r>
          </w:p>
        </w:tc>
        <w:tc>
          <w:tcPr>
            <w:tcW w:w="2880" w:type="dxa"/>
          </w:tcPr>
          <w:p>
            <w:r>
              <w:t xml:space="preserve">Exercise</w:t>
            </w:r>
          </w:p>
        </w:tc>
        <w:tc>
          <w:tcPr>
            <w:tcW w:w="2880" w:type="dxa"/>
          </w:tcPr>
          <w:p>
            <w:r>
              <w:t xml:space="preserve">Points (0–2)</w:t>
            </w:r>
          </w:p>
        </w:tc>
      </w:tr>
      <w:tr>
        <w:tc>
          <w:tcPr>
            <w:tcW w:w="2880" w:type="dxa"/>
          </w:tcPr>
          <w:p>
            <w:r>
              <w:t xml:space="preserve">11</w:t>
            </w:r>
          </w:p>
        </w:tc>
        <w:tc>
          <w:tcPr>
            <w:tcW w:w="2880" w:type="dxa"/>
          </w:tcPr>
          <w:p>
            <w:r>
              <w:t xml:space="preserve">Order of growth definition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12</w:t>
            </w:r>
          </w:p>
        </w:tc>
        <w:tc>
          <w:tcPr>
            <w:tcW w:w="2880" w:type="dxa"/>
          </w:tcPr>
          <w:p>
            <w:r>
              <w:t xml:space="preserve">f(4n) vs f(n) comparison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13</w:t>
            </w:r>
          </w:p>
        </w:tc>
        <w:tc>
          <w:tcPr>
            <w:tcW w:w="2880" w:type="dxa"/>
          </w:tcPr>
          <w:p>
            <w:r>
              <w:t xml:space="preserve">Growth comparison pairs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  <w:tr>
        <w:tc>
          <w:tcPr>
            <w:tcW w:w="2880" w:type="dxa"/>
          </w:tcPr>
          <w:p>
            <w:r>
              <w:t xml:space="preserve">14</w:t>
            </w:r>
          </w:p>
        </w:tc>
        <w:tc>
          <w:tcPr>
            <w:tcW w:w="2880" w:type="dxa"/>
          </w:tcPr>
          <w:p>
            <w:r>
              <w:t xml:space="preserve">Big-O simplifications</w:t>
            </w:r>
          </w:p>
        </w:tc>
        <w:tc>
          <w:tcPr>
            <w:tcW w:w="2880" w:type="dxa"/>
          </w:tcPr>
          <w:p>
            <w:r>
              <w:t xml:space="preserve">____</w:t>
            </w:r>
          </w:p>
        </w:tc>
      </w:tr>
    </w:tbl>
    <w:p>
      <w:pPr>
        <w:pStyle w:val="Heading2"/>
      </w:pPr>
      <w:r>
        <w:t xml:space="preserve">Instructor Comments</w:t>
      </w:r>
    </w:p>
    <w:p>
      <w:r>
        <w:t xml:space="preserve">____________________________________________________________</w:t>
      </w:r>
    </w:p>
    <w:p>
      <w:r>
        <w:t xml:space="preserve">____________________________________________________________</w:t>
      </w:r>
    </w:p>
    <w:p>
      <w:r>
        <w:t xml:space="preserve">____________________________________________________________</w:t>
      </w:r>
    </w:p>
    <w:sectPr>
      <w:pgSz w:h="15840" w:w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singleLevel"/>
    <w:nsid w:val="FFFFFF7C"/>
    <w:lvl w:ilvl="0">
      <w:lvlJc w:val="left"/>
      <w:lvlText w:val="%1."/>
      <w:numFmt w:val="decimal"/>
      <w:pPr>
        <w:tabs>
          <w:tab w:val="num" w:pos="1800"/>
        </w:tabs>
        <w:ind w:hanging="360" w:left="1800"/>
      </w:pPr>
      <w:start w:val="1"/>
    </w:lvl>
  </w:abstractNum>
  <w:abstractNum w:abstractNumId="1">
    <w:multiLevelType w:val="singleLevel"/>
    <w:nsid w:val="FFFFFF7D"/>
    <w:lvl w:ilvl="0">
      <w:lvlJc w:val="left"/>
      <w:lvlText w:val="%1."/>
      <w:numFmt w:val="decimal"/>
      <w:pPr>
        <w:tabs>
          <w:tab w:val="num" w:pos="1440"/>
        </w:tabs>
        <w:ind w:hanging="360" w:left="1440"/>
      </w:pPr>
      <w:start w:val="1"/>
    </w:lvl>
  </w:abstractNum>
  <w:abstractNum w:abstractNumId="2">
    <w:multiLevelType w:val="singleLevel"/>
    <w:nsid w:val="FFFFFF7E"/>
    <w:lvl w:ilvl="0">
      <w:lvlJc w:val="left"/>
      <w:lvlText w:val="%1."/>
      <w:numFmt w:val="decimal"/>
      <w:pPr>
        <w:tabs>
          <w:tab w:val="num" w:pos="1080"/>
        </w:tabs>
        <w:ind w:hanging="360" w:left="1080"/>
      </w:pPr>
      <w:pStyle w:val="ListNumber3"/>
      <w:start w:val="1"/>
    </w:lvl>
  </w:abstractNum>
  <w:abstractNum w:abstractNumId="3">
    <w:multiLevelType w:val="singleLevel"/>
    <w:nsid w:val="FFFFFF7F"/>
    <w:lvl w:ilvl="0">
      <w:lvlJc w:val="left"/>
      <w:lvlText w:val="%1."/>
      <w:numFmt w:val="decimal"/>
      <w:pPr>
        <w:tabs>
          <w:tab w:val="num" w:pos="720"/>
        </w:tabs>
        <w:ind w:hanging="360" w:left="720"/>
      </w:pPr>
      <w:pStyle w:val="ListNumber2"/>
      <w:start w:val="1"/>
    </w:lvl>
  </w:abstractNum>
  <w:abstractNum w:abstractNumId="4">
    <w:multiLevelType w:val="singleLevel"/>
    <w:nsid w:val="FFFFFF81"/>
    <w:lvl w:ilvl="0">
      <w:lvlJc w:val="left"/>
      <w:lvlText w:val=""/>
      <w:numFmt w:val="bullet"/>
      <w:pPr>
        <w:tabs>
          <w:tab w:val="num" w:pos="1440"/>
        </w:tabs>
        <w:ind w:hanging="360" w:left="1440"/>
      </w:pPr>
      <w:rPr>
        <w:rFonts w:hint="default" w:ascii="Symbol" w:hAnsi="Symbol"/>
      </w:rPr>
      <w:start w:val="1"/>
    </w:lvl>
  </w:abstractNum>
  <w:abstractNum w:abstractNumId="5">
    <w:multiLevelType w:val="singleLevel"/>
    <w:nsid w:val="FFFFFF82"/>
    <w:lvl w:ilvl="0">
      <w:lvlJc w:val="left"/>
      <w:lvlText w:val=""/>
      <w:numFmt w:val="bullet"/>
      <w:pPr>
        <w:tabs>
          <w:tab w:val="num" w:pos="1080"/>
        </w:tabs>
        <w:ind w:hanging="360" w:left="1080"/>
      </w:pPr>
      <w:pStyle w:val="ListBullet3"/>
      <w:rPr>
        <w:rFonts w:hint="default" w:ascii="Symbol" w:hAnsi="Symbol"/>
      </w:rPr>
      <w:start w:val="1"/>
    </w:lvl>
  </w:abstractNum>
  <w:abstractNum w:abstractNumId="6">
    <w:multiLevelType w:val="singleLevel"/>
    <w:nsid w:val="FFFFFF83"/>
    <w:lvl w:ilvl="0">
      <w:lvlJc w:val="left"/>
      <w:lvlText w:val=""/>
      <w:numFmt w:val="bullet"/>
      <w:pPr>
        <w:tabs>
          <w:tab w:val="num" w:pos="720"/>
        </w:tabs>
        <w:ind w:hanging="360" w:left="720"/>
      </w:pPr>
      <w:pStyle w:val="ListBullet2"/>
      <w:rPr>
        <w:rFonts w:hint="default" w:ascii="Symbol" w:hAnsi="Symbol"/>
      </w:rPr>
      <w:start w:val="1"/>
    </w:lvl>
  </w:abstractNum>
  <w:abstractNum w:abstractNumId="7">
    <w:multiLevelType w:val="singleLevel"/>
    <w:nsid w:val="FFFFFF88"/>
    <w:lvl w:ilvl="0">
      <w:lvlJc w:val="left"/>
      <w:lvlText w:val="%1."/>
      <w:numFmt w:val="decimal"/>
      <w:pPr>
        <w:tabs>
          <w:tab w:val="num" w:pos="360"/>
        </w:tabs>
        <w:ind w:hanging="360" w:left="360"/>
      </w:pPr>
      <w:pStyle w:val="ListNumber"/>
      <w:start w:val="1"/>
    </w:lvl>
  </w:abstractNum>
  <w:abstractNum w:abstractNumId="8">
    <w:multiLevelType w:val="singleLevel"/>
    <w:nsid w:val="FFFFFF89"/>
    <w:lvl w:ilvl="0">
      <w:lvlJc w:val="left"/>
      <w:lvlText w:val=""/>
      <w:numFmt w:val="bullet"/>
      <w:pPr>
        <w:tabs>
          <w:tab w:val="num" w:pos="360"/>
        </w:tabs>
        <w:ind w:hanging="360" w:left="360"/>
      </w:pPr>
      <w:pStyle w:val="ListBullet"/>
      <w:rPr>
        <w:rFonts w:hint="default" w:ascii="Symbol" w:hAnsi="Symbol"/>
      </w:rPr>
      <w:start w:val="1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 w:val="true"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hanging="360" w:left="360"/>
      <w:contextualSpacing w:val="true"/>
    </w:pPr>
  </w:style>
  <w:style w:type="paragraph" w:styleId="List2">
    <w:name w:val="List 2"/>
    <w:basedOn w:val="Normal"/>
    <w:uiPriority w:val="99"/>
    <w:unhideWhenUsed/>
    <w:pPr>
      <w:ind w:hanging="360" w:left="720"/>
      <w:contextualSpacing w:val="true"/>
    </w:pPr>
  </w:style>
  <w:style w:type="paragraph" w:styleId="List3">
    <w:name w:val="List 3"/>
    <w:basedOn w:val="Normal"/>
    <w:uiPriority w:val="99"/>
    <w:unhideWhenUsed/>
    <w:pPr>
      <w:ind w:hanging="360" w:left="1080"/>
      <w:contextualSpacing w:val="true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 w:val="true"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 w:val="true"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 w:val="true"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 w:val="true"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 w:val="true"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 w:val="true"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 w:val="true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 w:val="true"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 w:val="true"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after="0" w:before="0" w:line="240" w:lineRule="auto"/>
      </w:p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pPr>
        <w:spacing w:after="0" w:before="0" w:line="240" w:lineRule="auto"/>
      </w:p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8" w:space="0"/>
        <w:bottom w:val="single" w:color="auto" w:sz="18" w:space="0"/>
      </w:tblBorders>
    </w:tblPr>
    <w:tblStylePr w:type="firstRow">
      <w:rPr>
        <w:b/>
        <w:bCs/>
        <w:color w:val="ffffff" w:themeColor="background1"/>
      </w:rPr>
      <w:pPr>
        <w:spacing w:after="0" w:before="0" w:line="240" w:lineRule="auto"/>
      </w:p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color w:val="auto"/>
      </w:rPr>
      <w:pPr>
        <w:spacing w:after="0" w:before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cPr>
        <w:shd w:val="clear" w:color="auto" w:fill="d8d8d8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</w:tcPr>
    </w:tblStylePr>
    <w:tblStylePr w:type="band1Horz"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</w:tcPr>
    </w:tblStylePr>
    <w:tblStylePr w:type="band1Horz"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</w:tcPr>
    </w:tblStylePr>
    <w:tblStylePr w:type="band1Horz"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</w:tcPr>
    </w:tblStylePr>
    <w:tblStylePr w:type="band1Horz"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808080" w:themeFill="text1" w:themeFillTint="7F"/>
      </w:tcPr>
    </w:tblStylePr>
    <w:tblStylePr w:type="band1Horz"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band1Vert">
      <w:tcPr>
        <w:shd w:val="clear" w:color="auto" w:fill="a7bfde" w:themeFill="accent1" w:themeFillTint="7F"/>
      </w:tcPr>
    </w:tblStylePr>
    <w:tblStylePr w:type="band1Horz"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CharactersWithSpaces>0</CharactersWithSpaces>
  <Application>ONLYOFFICE/9.2.1.43</Application>
  <DocSecurity>0</DocSecurity>
  <Lines>0</Lines>
  <Paragraphs>0</Paragraphs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