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2"/>
        </w:rPr>
        <w:t>Machine Learning II Project Proposal</w:t>
      </w:r>
    </w:p>
    <w:p>
      <w:pPr>
        <w:pStyle w:val="Title"/>
        <w:jc w:val="center"/>
      </w:pPr>
      <w:r>
        <w:t>Robust Minimal Context Selection for LLM Code Review</w:t>
      </w:r>
    </w:p>
    <w:p>
      <w:pPr>
        <w:jc w:val="center"/>
      </w:pPr>
      <w:r>
        <w:rPr>
          <w:i/>
          <w:sz w:val="19"/>
        </w:rPr>
        <w:t>Detailed working proposal / research plan</w:t>
      </w:r>
    </w:p>
    <w:p>
      <w:pPr>
        <w:pStyle w:val="Heading1"/>
      </w:pPr>
      <w:r>
        <w:t>1. Project Summary</w:t>
      </w:r>
    </w:p>
    <w:p>
      <w:r>
        <w:rPr>
          <w:b/>
        </w:rPr>
        <w:t xml:space="preserve">Main question. </w:t>
      </w:r>
      <w:r>
        <w:t>What is the smallest additional context needed to make an LLM code-review judgment correct and stable, and can that context transfer across different reviewers?</w:t>
      </w:r>
    </w:p>
    <w:p>
      <w:r>
        <w:rPr>
          <w:b/>
        </w:rPr>
        <w:t xml:space="preserve">Core idea. </w:t>
      </w:r>
      <w:r>
        <w:t>We will first quantify how much code-review judgments change under semantics-preserving input changes such as variable renaming, formatting changes, and prompt paraphrases. We will then study which forms of repository or task context improve correctness and stability. Finally, we will develop and evaluate a context-selection method that attempts to retain only the smallest useful subset of context rather than supplying the entire available context window.</w:t>
      </w:r>
    </w:p>
    <w:p>
      <w:r>
        <w:rPr>
          <w:b/>
        </w:rPr>
        <w:t xml:space="preserve">Why code review. </w:t>
      </w:r>
      <w:r>
        <w:t>Code review gives us a realistic LLM application while still allowing relatively structured evaluation. We can begin with a binary or line-level judgment instead of unrestricted review text, then extend to generated comments only if the structured task is working well.</w:t>
      </w:r>
    </w:p>
    <w:p>
      <w:pPr>
        <w:pStyle w:val="Heading1"/>
      </w:pPr>
      <w:r>
        <w:t>2. Motivation and Research Gap</w:t>
      </w:r>
    </w:p>
    <w:p>
      <w:pPr>
        <w:spacing w:after="60"/>
      </w:pPr>
      <w:r>
        <w:t>Modern software engineers increasingly use large language models as reviewers, coding assistants, and debugging tools. However, the same underlying code can receive different judgments when variable names, formatting, comments, prompt wording, or available repository context change. A system that is correct only for one particular presentation of the same program is difficult to trust in practice.</w:t>
      </w:r>
    </w:p>
    <w:p>
      <w:pPr>
        <w:spacing w:after="60"/>
      </w:pPr>
      <w:r>
        <w:t>The project is inspired by the broader idea of robustness under model multiplicity, including the motivation behind ElliCE, but it does not assume that proprietary LLMs form a formal Rashomon set. Instead, we treat open and closed LLMs as practical reviewers whose parameters, architectures, and training details may differ or be unavailable. This makes the problem closer to black-box deployment than to white-box recourse in a simple predictive model.</w:t>
      </w:r>
    </w:p>
    <w:p>
      <w:r>
        <w:rPr>
          <w:b/>
        </w:rPr>
        <w:t xml:space="preserve">Potential contribution. </w:t>
      </w:r>
      <w:r>
        <w:t>The project should not stop at showing that LLM reviewers are unstable. The intended methodological contribution is a practical procedure for selecting compact context that preserves or improves a target review decision. The exact novelty claim will be finalized only after a deeper literature review; current related work already studies code-review robustness and contextual information, so our contribution must focus on the combination of minimal context, robustness, and transfer across reviewers.</w:t>
      </w:r>
    </w:p>
    <w:p>
      <w:pPr>
        <w:pStyle w:val="Heading1"/>
      </w:pPr>
      <w:r>
        <w:t>3. Research Questions</w:t>
      </w:r>
    </w:p>
    <w:p>
      <w:pPr>
        <w:spacing w:after="40"/>
        <w:ind w:left="259" w:hanging="259"/>
      </w:pPr>
      <w:r>
        <w:rPr>
          <w:b/>
        </w:rPr>
        <w:t xml:space="preserve">RQ1. </w:t>
      </w:r>
      <w:r>
        <w:t>How sensitive are LLM code-review judgments to semantics-preserving changes in code and prompt presentation?</w:t>
      </w:r>
    </w:p>
    <w:p>
      <w:pPr>
        <w:spacing w:after="40"/>
        <w:ind w:left="259" w:hanging="259"/>
      </w:pPr>
      <w:r>
        <w:rPr>
          <w:b/>
        </w:rPr>
        <w:t xml:space="preserve">RQ2. </w:t>
      </w:r>
      <w:r>
        <w:t>Which kinds of additional context most improve review correctness and reduce sensitivity to those harmless changes?</w:t>
      </w:r>
    </w:p>
    <w:p>
      <w:pPr>
        <w:spacing w:after="40"/>
        <w:ind w:left="259" w:hanging="259"/>
      </w:pPr>
      <w:r>
        <w:rPr>
          <w:b/>
        </w:rPr>
        <w:t xml:space="preserve">RQ3. </w:t>
      </w:r>
      <w:r>
        <w:t>Can we identify a minimal or near-minimal context subset that preserves a target level of correctness and stability?</w:t>
      </w:r>
    </w:p>
    <w:p>
      <w:pPr>
        <w:spacing w:after="40"/>
        <w:ind w:left="259" w:hanging="259"/>
      </w:pPr>
      <w:r>
        <w:rPr>
          <w:b/>
        </w:rPr>
        <w:t xml:space="preserve">RQ4. </w:t>
      </w:r>
      <w:r>
        <w:t>Does context selected using an open-weight model transfer to other open models and to black-box commercial reviewers?</w:t>
      </w:r>
    </w:p>
    <w:p>
      <w:pPr>
        <w:spacing w:after="40"/>
        <w:ind w:left="259" w:hanging="259"/>
      </w:pPr>
      <w:r>
        <w:rPr>
          <w:b/>
        </w:rPr>
        <w:t xml:space="preserve">RQ5. </w:t>
      </w:r>
      <w:r>
        <w:t>How much context/token cost can be removed before review reliability noticeably degrades?</w:t>
      </w:r>
    </w:p>
    <w:p>
      <w:pPr>
        <w:pStyle w:val="Heading1"/>
      </w:pPr>
      <w:r>
        <w:t>4. Scope: Start Simple, Then Extend</w:t>
      </w:r>
    </w:p>
    <w:p>
      <w:r>
        <w:t>To keep the project feasible, the first version will use a structured review task rather than free-form review generation. The initial prediction can be framed as whether a code change is problematic / needs a review comment. This gives us an objective label and a stable metric. If the baseline is successful, the project can extend to line-level defect localization and eventually to review-comment generation.</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EAEAEA"/>
          </w:tcPr>
          <w:p>
            <w:pPr>
              <w:spacing w:after="0"/>
            </w:pPr>
            <w:r/>
            <w:r>
              <w:rPr>
                <w:b/>
                <w:sz w:val="18"/>
              </w:rPr>
              <w:t>Stage</w:t>
            </w:r>
          </w:p>
        </w:tc>
        <w:tc>
          <w:tcPr>
            <w:tcW w:type="dxa" w:w="3360"/>
            <w:shd w:fill="EAEAEA"/>
          </w:tcPr>
          <w:p>
            <w:pPr>
              <w:spacing w:after="0"/>
            </w:pPr>
            <w:r/>
            <w:r>
              <w:rPr>
                <w:b/>
                <w:sz w:val="18"/>
              </w:rPr>
              <w:t>Task</w:t>
            </w:r>
          </w:p>
        </w:tc>
        <w:tc>
          <w:tcPr>
            <w:tcW w:type="dxa" w:w="3360"/>
            <w:shd w:fill="EAEAEA"/>
          </w:tcPr>
          <w:p>
            <w:pPr>
              <w:spacing w:after="0"/>
            </w:pPr>
            <w:r/>
            <w:r>
              <w:rPr>
                <w:b/>
                <w:sz w:val="18"/>
              </w:rPr>
              <w:t>Reason</w:t>
            </w:r>
          </w:p>
        </w:tc>
      </w:tr>
      <w:tr>
        <w:tc>
          <w:tcPr>
            <w:tcW w:type="dxa" w:w="3360"/>
          </w:tcPr>
          <w:p>
            <w:pPr>
              <w:spacing w:after="0"/>
            </w:pPr>
            <w:r/>
            <w:r>
              <w:rPr>
                <w:b w:val="0"/>
                <w:sz w:val="18"/>
              </w:rPr>
              <w:t>Initial</w:t>
            </w:r>
          </w:p>
        </w:tc>
        <w:tc>
          <w:tcPr>
            <w:tcW w:type="dxa" w:w="3360"/>
          </w:tcPr>
          <w:p>
            <w:pPr>
              <w:spacing w:after="0"/>
            </w:pPr>
            <w:r/>
            <w:r>
              <w:rPr>
                <w:b w:val="0"/>
                <w:sz w:val="18"/>
              </w:rPr>
              <w:t>Binary / structured quality judgment</w:t>
            </w:r>
          </w:p>
        </w:tc>
        <w:tc>
          <w:tcPr>
            <w:tcW w:type="dxa" w:w="3360"/>
          </w:tcPr>
          <w:p>
            <w:pPr>
              <w:spacing w:after="0"/>
            </w:pPr>
            <w:r/>
            <w:r>
              <w:rPr>
                <w:b w:val="0"/>
                <w:sz w:val="18"/>
              </w:rPr>
              <w:t>Cheap, measurable, suitable for stability experiments</w:t>
            </w:r>
          </w:p>
        </w:tc>
      </w:tr>
      <w:tr>
        <w:tc>
          <w:tcPr>
            <w:tcW w:type="dxa" w:w="3360"/>
          </w:tcPr>
          <w:p>
            <w:pPr>
              <w:spacing w:after="0"/>
            </w:pPr>
            <w:r/>
            <w:r>
              <w:rPr>
                <w:b w:val="0"/>
                <w:sz w:val="18"/>
              </w:rPr>
              <w:t>Intermediate</w:t>
            </w:r>
          </w:p>
        </w:tc>
        <w:tc>
          <w:tcPr>
            <w:tcW w:type="dxa" w:w="3360"/>
          </w:tcPr>
          <w:p>
            <w:pPr>
              <w:spacing w:after="0"/>
            </w:pPr>
            <w:r/>
            <w:r>
              <w:rPr>
                <w:b w:val="0"/>
                <w:sz w:val="18"/>
              </w:rPr>
              <w:t>Line-level defect localization</w:t>
            </w:r>
          </w:p>
        </w:tc>
        <w:tc>
          <w:tcPr>
            <w:tcW w:type="dxa" w:w="3360"/>
          </w:tcPr>
          <w:p>
            <w:pPr>
              <w:spacing w:after="0"/>
            </w:pPr>
            <w:r/>
            <w:r>
              <w:rPr>
                <w:b w:val="0"/>
                <w:sz w:val="18"/>
              </w:rPr>
              <w:t>More realistic while still objectively scorable</w:t>
            </w:r>
          </w:p>
        </w:tc>
      </w:tr>
      <w:tr>
        <w:tc>
          <w:tcPr>
            <w:tcW w:type="dxa" w:w="3360"/>
          </w:tcPr>
          <w:p>
            <w:pPr>
              <w:spacing w:after="0"/>
            </w:pPr>
            <w:r/>
            <w:r>
              <w:rPr>
                <w:b w:val="0"/>
                <w:sz w:val="18"/>
              </w:rPr>
              <w:t>Optional extension</w:t>
            </w:r>
          </w:p>
        </w:tc>
        <w:tc>
          <w:tcPr>
            <w:tcW w:type="dxa" w:w="3360"/>
          </w:tcPr>
          <w:p>
            <w:pPr>
              <w:spacing w:after="0"/>
            </w:pPr>
            <w:r/>
            <w:r>
              <w:rPr>
                <w:b w:val="0"/>
                <w:sz w:val="18"/>
              </w:rPr>
              <w:t>Free-form review comments</w:t>
            </w:r>
          </w:p>
        </w:tc>
        <w:tc>
          <w:tcPr>
            <w:tcW w:type="dxa" w:w="3360"/>
          </w:tcPr>
          <w:p>
            <w:pPr>
              <w:spacing w:after="0"/>
            </w:pPr>
            <w:r/>
            <w:r>
              <w:rPr>
                <w:b w:val="0"/>
                <w:sz w:val="18"/>
              </w:rPr>
              <w:t>Highest realism but harder evaluation</w:t>
            </w:r>
          </w:p>
        </w:tc>
      </w:tr>
    </w:tbl>
    <w:p>
      <w:pPr>
        <w:pStyle w:val="Heading1"/>
      </w:pPr>
      <w:r>
        <w:t>5. Datasets</w:t>
      </w:r>
    </w:p>
    <w:p>
      <w:pPr>
        <w:pStyle w:val="Heading2"/>
      </w:pPr>
      <w:r>
        <w:t>5.1 Microsoft CodeReviewer - Initial Benchmark</w:t>
      </w:r>
    </w:p>
    <w:p>
      <w:r>
        <w:t>The initial dataset will be Microsoft's CodeReviewer benchmark, built from real code changes and reviews from open-source projects. It supports three tasks: quality estimation, review-comment generation, and code refinement. We will begin with quality estimation, where the input contains the old file and diff hunk and the target indicates whether the code change is not good and needs a comment.</w:t>
      </w:r>
    </w:p>
    <w:p>
      <w:pPr>
        <w:pStyle w:val="CompactBullet"/>
      </w:pPr>
      <w:r>
        <w:rPr>
          <w:b/>
        </w:rPr>
        <w:t xml:space="preserve">• </w:t>
      </w:r>
      <w:r>
        <w:t>Initial sample size: approximately 500-1,000 examples for rapid iteration, then expand if runtime and API cost permit.</w:t>
      </w:r>
    </w:p>
    <w:p>
      <w:pPr>
        <w:pStyle w:val="CompactBullet"/>
      </w:pPr>
      <w:r>
        <w:rPr>
          <w:b/>
        </w:rPr>
        <w:t xml:space="preserve">• </w:t>
      </w:r>
      <w:r>
        <w:t>Primary fields: old_file and diff_hunk; the original review information will be used only when appropriate for labeling/evaluation.</w:t>
      </w:r>
    </w:p>
    <w:p>
      <w:pPr>
        <w:pStyle w:val="CompactBullet"/>
      </w:pPr>
      <w:r>
        <w:rPr>
          <w:b/>
        </w:rPr>
        <w:t xml:space="preserve">• </w:t>
      </w:r>
      <w:r>
        <w:t>Primary reason for using it first: it gives a clean task and lets us build the perturbation/evaluation pipeline before dealing with repository-scale context.</w:t>
      </w:r>
    </w:p>
    <w:p>
      <w:pPr>
        <w:pStyle w:val="Heading2"/>
      </w:pPr>
      <w:r>
        <w:t>5.2 ContextCRBench - Rich-Context Extension</w:t>
      </w:r>
    </w:p>
    <w:p>
      <w:r>
        <w:t>If the initial experiments confirm the problem, we will extend to a context-rich benchmark such as ContextCRBench. Its design includes linked textual context from issues/pull requests and surrounding function/class context, making it better suited for the minimal-context portion of the project. This second dataset is particularly useful because the question changes from 'is the model unstable?' to 'which of the available context sources are actually necessary?'</w:t>
      </w:r>
    </w:p>
    <w:p>
      <w:pPr>
        <w:pStyle w:val="Heading1"/>
      </w:pPr>
      <w:r>
        <w:t>6. Model and Compute Strategy</w:t>
      </w:r>
    </w:p>
    <w:p>
      <w:r>
        <w:t>The project should not depend on training or fully fine-tuning a frontier-scale code model. Our local hardware is closer to consumer gaming GPUs, so the plan is to keep reviewer models frozen and perform inference. This makes the experiments affordable while still allowing a meaningful open-weight analysis.</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shd w:fill="EAEAEA"/>
          </w:tcPr>
          <w:p>
            <w:pPr>
              <w:spacing w:after="0"/>
            </w:pPr>
            <w:r/>
            <w:r>
              <w:rPr>
                <w:b/>
                <w:sz w:val="18"/>
              </w:rPr>
              <w:t>Role</w:t>
            </w:r>
          </w:p>
        </w:tc>
        <w:tc>
          <w:tcPr>
            <w:tcW w:type="dxa" w:w="2520"/>
            <w:shd w:fill="EAEAEA"/>
          </w:tcPr>
          <w:p>
            <w:pPr>
              <w:spacing w:after="0"/>
            </w:pPr>
            <w:r/>
            <w:r>
              <w:rPr>
                <w:b/>
                <w:sz w:val="18"/>
              </w:rPr>
              <w:t>Candidate model</w:t>
            </w:r>
          </w:p>
        </w:tc>
        <w:tc>
          <w:tcPr>
            <w:tcW w:type="dxa" w:w="2520"/>
            <w:shd w:fill="EAEAEA"/>
          </w:tcPr>
          <w:p>
            <w:pPr>
              <w:spacing w:after="0"/>
            </w:pPr>
            <w:r/>
            <w:r>
              <w:rPr>
                <w:b/>
                <w:sz w:val="18"/>
              </w:rPr>
              <w:t>Use</w:t>
            </w:r>
          </w:p>
        </w:tc>
        <w:tc>
          <w:tcPr>
            <w:tcW w:type="dxa" w:w="2520"/>
            <w:shd w:fill="EAEAEA"/>
          </w:tcPr>
          <w:p>
            <w:pPr>
              <w:spacing w:after="0"/>
            </w:pPr>
            <w:r/>
            <w:r>
              <w:rPr>
                <w:b/>
                <w:sz w:val="18"/>
              </w:rPr>
              <w:t>Compute plan</w:t>
            </w:r>
          </w:p>
        </w:tc>
      </w:tr>
      <w:tr>
        <w:tc>
          <w:tcPr>
            <w:tcW w:type="dxa" w:w="2520"/>
          </w:tcPr>
          <w:p>
            <w:pPr>
              <w:spacing w:after="0"/>
            </w:pPr>
            <w:r/>
            <w:r>
              <w:rPr>
                <w:b w:val="0"/>
                <w:sz w:val="18"/>
              </w:rPr>
              <w:t>Fast local development</w:t>
            </w:r>
          </w:p>
        </w:tc>
        <w:tc>
          <w:tcPr>
            <w:tcW w:type="dxa" w:w="2520"/>
          </w:tcPr>
          <w:p>
            <w:pPr>
              <w:spacing w:after="0"/>
            </w:pPr>
            <w:r/>
            <w:r>
              <w:rPr>
                <w:b w:val="0"/>
                <w:sz w:val="18"/>
              </w:rPr>
              <w:t>Qwen2.5-Coder-3B-Instruct</w:t>
            </w:r>
          </w:p>
        </w:tc>
        <w:tc>
          <w:tcPr>
            <w:tcW w:type="dxa" w:w="2520"/>
          </w:tcPr>
          <w:p>
            <w:pPr>
              <w:spacing w:after="0"/>
            </w:pPr>
            <w:r/>
            <w:r>
              <w:rPr>
                <w:b w:val="0"/>
                <w:sz w:val="18"/>
              </w:rPr>
              <w:t>Pipeline debugging, perturbation tests</w:t>
            </w:r>
          </w:p>
        </w:tc>
        <w:tc>
          <w:tcPr>
            <w:tcW w:type="dxa" w:w="2520"/>
          </w:tcPr>
          <w:p>
            <w:pPr>
              <w:spacing w:after="0"/>
            </w:pPr>
            <w:r/>
            <w:r>
              <w:rPr>
                <w:b w:val="0"/>
                <w:sz w:val="18"/>
              </w:rPr>
              <w:t>Quantized inference</w:t>
            </w:r>
          </w:p>
        </w:tc>
      </w:tr>
      <w:tr>
        <w:tc>
          <w:tcPr>
            <w:tcW w:type="dxa" w:w="2520"/>
          </w:tcPr>
          <w:p>
            <w:pPr>
              <w:spacing w:after="0"/>
            </w:pPr>
            <w:r/>
            <w:r>
              <w:rPr>
                <w:b w:val="0"/>
                <w:sz w:val="18"/>
              </w:rPr>
              <w:t>Main local reviewer</w:t>
            </w:r>
          </w:p>
        </w:tc>
        <w:tc>
          <w:tcPr>
            <w:tcW w:type="dxa" w:w="2520"/>
          </w:tcPr>
          <w:p>
            <w:pPr>
              <w:spacing w:after="0"/>
            </w:pPr>
            <w:r/>
            <w:r>
              <w:rPr>
                <w:b w:val="0"/>
                <w:sz w:val="18"/>
              </w:rPr>
              <w:t>Qwen2.5-Coder-7B-Instruct</w:t>
            </w:r>
          </w:p>
        </w:tc>
        <w:tc>
          <w:tcPr>
            <w:tcW w:type="dxa" w:w="2520"/>
          </w:tcPr>
          <w:p>
            <w:pPr>
              <w:spacing w:after="0"/>
            </w:pPr>
            <w:r/>
            <w:r>
              <w:rPr>
                <w:b w:val="0"/>
                <w:sz w:val="18"/>
              </w:rPr>
              <w:t>Primary open-weight experiments</w:t>
            </w:r>
          </w:p>
        </w:tc>
        <w:tc>
          <w:tcPr>
            <w:tcW w:type="dxa" w:w="2520"/>
          </w:tcPr>
          <w:p>
            <w:pPr>
              <w:spacing w:after="0"/>
            </w:pPr>
            <w:r/>
            <w:r>
              <w:rPr>
                <w:b w:val="0"/>
                <w:sz w:val="18"/>
              </w:rPr>
              <w:t>4-bit / quantized inference</w:t>
            </w:r>
          </w:p>
        </w:tc>
      </w:tr>
      <w:tr>
        <w:tc>
          <w:tcPr>
            <w:tcW w:type="dxa" w:w="2520"/>
          </w:tcPr>
          <w:p>
            <w:pPr>
              <w:spacing w:after="0"/>
            </w:pPr>
            <w:r/>
            <w:r>
              <w:rPr>
                <w:b w:val="0"/>
                <w:sz w:val="18"/>
              </w:rPr>
              <w:t>Task-specific baseline</w:t>
            </w:r>
          </w:p>
        </w:tc>
        <w:tc>
          <w:tcPr>
            <w:tcW w:type="dxa" w:w="2520"/>
          </w:tcPr>
          <w:p>
            <w:pPr>
              <w:spacing w:after="0"/>
            </w:pPr>
            <w:r/>
            <w:r>
              <w:rPr>
                <w:b w:val="0"/>
                <w:sz w:val="18"/>
              </w:rPr>
              <w:t>Microsoft CodeReviewer</w:t>
            </w:r>
          </w:p>
        </w:tc>
        <w:tc>
          <w:tcPr>
            <w:tcW w:type="dxa" w:w="2520"/>
          </w:tcPr>
          <w:p>
            <w:pPr>
              <w:spacing w:after="0"/>
            </w:pPr>
            <w:r/>
            <w:r>
              <w:rPr>
                <w:b w:val="0"/>
                <w:sz w:val="18"/>
              </w:rPr>
              <w:t>Historical code-review baseline</w:t>
            </w:r>
          </w:p>
        </w:tc>
        <w:tc>
          <w:tcPr>
            <w:tcW w:type="dxa" w:w="2520"/>
          </w:tcPr>
          <w:p>
            <w:pPr>
              <w:spacing w:after="0"/>
            </w:pPr>
            <w:r/>
            <w:r>
              <w:rPr>
                <w:b w:val="0"/>
                <w:sz w:val="18"/>
              </w:rPr>
              <w:t>Inference only</w:t>
            </w:r>
          </w:p>
        </w:tc>
      </w:tr>
      <w:tr>
        <w:tc>
          <w:tcPr>
            <w:tcW w:type="dxa" w:w="2520"/>
          </w:tcPr>
          <w:p>
            <w:pPr>
              <w:spacing w:after="0"/>
            </w:pPr>
            <w:r/>
            <w:r>
              <w:rPr>
                <w:b w:val="0"/>
                <w:sz w:val="18"/>
              </w:rPr>
              <w:t>External transfer panel</w:t>
            </w:r>
          </w:p>
        </w:tc>
        <w:tc>
          <w:tcPr>
            <w:tcW w:type="dxa" w:w="2520"/>
          </w:tcPr>
          <w:p>
            <w:pPr>
              <w:spacing w:after="0"/>
            </w:pPr>
            <w:r/>
            <w:r>
              <w:rPr>
                <w:b w:val="0"/>
                <w:sz w:val="18"/>
              </w:rPr>
              <w:t>GPT + Claude or Gemini</w:t>
            </w:r>
          </w:p>
        </w:tc>
        <w:tc>
          <w:tcPr>
            <w:tcW w:type="dxa" w:w="2520"/>
          </w:tcPr>
          <w:p>
            <w:pPr>
              <w:spacing w:after="0"/>
            </w:pPr>
            <w:r/>
            <w:r>
              <w:rPr>
                <w:b w:val="0"/>
                <w:sz w:val="18"/>
              </w:rPr>
              <w:t>Real-world black-box validation</w:t>
            </w:r>
          </w:p>
        </w:tc>
        <w:tc>
          <w:tcPr>
            <w:tcW w:type="dxa" w:w="2520"/>
          </w:tcPr>
          <w:p>
            <w:pPr>
              <w:spacing w:after="0"/>
            </w:pPr>
            <w:r/>
            <w:r>
              <w:rPr>
                <w:b w:val="0"/>
                <w:sz w:val="18"/>
              </w:rPr>
              <w:t>API calls on selected subset</w:t>
            </w:r>
          </w:p>
        </w:tc>
      </w:tr>
    </w:tbl>
    <w:p>
      <w:r>
        <w:rPr>
          <w:b/>
        </w:rPr>
        <w:t xml:space="preserve">Why 3B/7B rather than a very large DeepSeek-style model. </w:t>
      </w:r>
      <w:r>
        <w:t>A 3B model is useful for fast iteration, while a 7B code model is a reasonable middle ground between quality and local feasibility. We do not need to fine-tune the reviewer to study context sensitivity. Larger black-box models can be reserved for a much smaller final transfer experiment, so practical relevance does not require running them locally.</w:t>
      </w:r>
    </w:p>
    <w:p>
      <w:r>
        <w:rPr>
          <w:b/>
        </w:rPr>
        <w:t xml:space="preserve">Optional open-model extension. </w:t>
      </w:r>
      <w:r>
        <w:t>If resources allow, a second open model family can be added to avoid conclusions that are specific to one architecture. This is optional; the minimum viable project only requires one open development model plus one or two external black-box reviewers.</w:t>
      </w:r>
    </w:p>
    <w:p>
      <w:pPr>
        <w:pStyle w:val="Heading1"/>
      </w:pPr>
      <w:r>
        <w:t>7. Phase 1 - Baseline and Stability Study</w:t>
      </w:r>
    </w:p>
    <w:p>
      <w:r>
        <w:t>The first phase asks whether the problem is present at all. For each CodeReviewer example x, obtain a baseline judgment f(x), then produce one or more semantically equivalent variants T(x). The desired label does not change, so any prediction flip or large confidence change is evidence of instability.</w:t>
      </w:r>
    </w:p>
    <w:p>
      <w:pPr>
        <w:spacing w:before="40" w:after="60"/>
        <w:jc w:val="center"/>
      </w:pPr>
      <w:r>
        <w:rPr>
          <w:rFonts w:ascii="Cambria Math" w:hAnsi="Cambria Math"/>
          <w:sz w:val="21"/>
        </w:rPr>
        <w:t>x  -&gt;  f(x)        and        T(x)  -&gt;  f(T(x))</w:t>
      </w:r>
    </w:p>
    <w:p>
      <w:r>
        <w:t>Initial perturbations will be deliberately simple and auditable:</w:t>
      </w:r>
    </w:p>
    <w:p>
      <w:pPr>
        <w:pStyle w:val="CompactBullet"/>
      </w:pPr>
      <w:r>
        <w:rPr>
          <w:b/>
        </w:rPr>
        <w:t xml:space="preserve">• </w:t>
      </w:r>
      <w:r>
        <w:t>Variable renaming that preserves scope and behavior.</w:t>
      </w:r>
    </w:p>
    <w:p>
      <w:pPr>
        <w:pStyle w:val="CompactBullet"/>
      </w:pPr>
      <w:r>
        <w:rPr>
          <w:b/>
        </w:rPr>
        <w:t xml:space="preserve">• </w:t>
      </w:r>
      <w:r>
        <w:t>Formatting / whitespace changes.</w:t>
      </w:r>
    </w:p>
    <w:p>
      <w:pPr>
        <w:pStyle w:val="CompactBullet"/>
      </w:pPr>
      <w:r>
        <w:rPr>
          <w:b/>
        </w:rPr>
        <w:t xml:space="preserve">• </w:t>
      </w:r>
      <w:r>
        <w:t>Prompt paraphrases that ask for the same review judgment.</w:t>
      </w:r>
    </w:p>
    <w:p>
      <w:pPr>
        <w:pStyle w:val="CompactBullet"/>
      </w:pPr>
      <w:r>
        <w:rPr>
          <w:b/>
        </w:rPr>
        <w:t xml:space="preserve">• </w:t>
      </w:r>
      <w:r>
        <w:t>Neutral comment changes or removal, where the transformation is clearly semantics-preserving.</w:t>
      </w:r>
    </w:p>
    <w:p>
      <w:pPr>
        <w:pStyle w:val="CompactBullet"/>
      </w:pPr>
      <w:r>
        <w:rPr>
          <w:b/>
        </w:rPr>
        <w:t xml:space="preserve">• </w:t>
      </w:r>
      <w:r>
        <w:t>Equivalent local syntax transformations only if they can be generated safely.</w:t>
      </w:r>
    </w:p>
    <w:p>
      <w:r>
        <w:rPr>
          <w:b/>
        </w:rPr>
        <w:t xml:space="preserve">Metrics. </w:t>
      </w:r>
      <w:r>
        <w:t>Baseline accuracy, perturbation accuracy, prediction flip rate, confidence/logit change for open models, and consistency across multiple variants of the same original example.</w:t>
      </w:r>
    </w:p>
    <w:p>
      <w:pPr>
        <w:pStyle w:val="Heading1"/>
      </w:pPr>
      <w:r>
        <w:t>8. Phase 2 - Context Study</w:t>
      </w:r>
    </w:p>
    <w:p>
      <w:r>
        <w:t>For examples that are wrong or unstable, we will add candidate context types one at a time. The goal is to measure whether certain context sources reliably improve the decision, rather than assuming more context is always better.</w:t>
      </w:r>
    </w:p>
    <w:p>
      <w:pPr>
        <w:pStyle w:val="CompactBullet"/>
      </w:pPr>
      <w:r>
        <w:rPr>
          <w:b/>
        </w:rPr>
        <w:t xml:space="preserve">• </w:t>
      </w:r>
      <w:r>
        <w:t>Diff / changed hunk (always present).</w:t>
      </w:r>
    </w:p>
    <w:p>
      <w:pPr>
        <w:pStyle w:val="CompactBullet"/>
      </w:pPr>
      <w:r>
        <w:rPr>
          <w:b/>
        </w:rPr>
        <w:t xml:space="preserve">• </w:t>
      </w:r>
      <w:r>
        <w:t>Old-file or surrounding function context.</w:t>
      </w:r>
    </w:p>
    <w:p>
      <w:pPr>
        <w:pStyle w:val="CompactBullet"/>
      </w:pPr>
      <w:r>
        <w:rPr>
          <w:b/>
        </w:rPr>
        <w:t xml:space="preserve">• </w:t>
      </w:r>
      <w:r>
        <w:t>Issue or pull-request description, when available.</w:t>
      </w:r>
    </w:p>
    <w:p>
      <w:pPr>
        <w:pStyle w:val="CompactBullet"/>
      </w:pPr>
      <w:r>
        <w:rPr>
          <w:b/>
        </w:rPr>
        <w:t xml:space="preserve">• </w:t>
      </w:r>
      <w:r>
        <w:t>Relevant test or failure information, if the benchmark provides it or if we later use a dataset that does.</w:t>
      </w:r>
    </w:p>
    <w:p>
      <w:pPr>
        <w:pStyle w:val="CompactBullet"/>
      </w:pPr>
      <w:r>
        <w:rPr>
          <w:b/>
        </w:rPr>
        <w:t xml:space="preserve">• </w:t>
      </w:r>
      <w:r>
        <w:t>Neighboring class/function or caller/callee context.</w:t>
      </w:r>
    </w:p>
    <w:p>
      <w:pPr>
        <w:pStyle w:val="CompactBullet"/>
      </w:pPr>
      <w:r>
        <w:rPr>
          <w:b/>
        </w:rPr>
        <w:t xml:space="preserve">• </w:t>
      </w:r>
      <w:r>
        <w:t>Other repository context only in the later, richer dataset.</w:t>
      </w:r>
    </w:p>
    <w:p>
      <w:r>
        <w:t>At this stage we are not yet claiming an algorithm. We are estimating the marginal value of each context type and identifying a small candidate set C = {c1, c2, ..., cp} that is realistic to search.</w:t>
      </w:r>
    </w:p>
    <w:p>
      <w:pPr>
        <w:pStyle w:val="Heading1"/>
      </w:pPr>
      <w:r>
        <w:t>9. Phase 3 - Establishing the Minimal-Context Target</w:t>
      </w:r>
    </w:p>
    <w:p>
      <w:r>
        <w:t>Before proposing a complicated optimizer, we will make the problem small enough that the true optimum can be computed for a controlled subset of examples. If there are only p=4 or p=5 candidate context types, we can enumerate every subset. This gives us a ground-truth target against which later approximation methods can be evaluated.</w:t>
      </w:r>
    </w:p>
    <w:p>
      <w:pPr>
        <w:spacing w:before="40" w:after="60"/>
        <w:jc w:val="center"/>
      </w:pPr>
      <w:r>
        <w:rPr>
          <w:rFonts w:ascii="Cambria Math" w:hAnsi="Cambria Math"/>
          <w:sz w:val="21"/>
        </w:rPr>
        <w:t>S* = arg min  Cost(S)     subject to     Correctness(S) &gt;= tau_c  and  Stability(S) &gt;= tau_s</w:t>
      </w:r>
    </w:p>
    <w:p>
      <w:r>
        <w:t>Cost(S) can initially be the number of tokens or number of context chunks. Stability can be defined with respect to multiple harmless perturbations of the same code; later it can also include agreement or robust correctness across multiple reviewers.</w:t>
      </w:r>
    </w:p>
    <w:p>
      <w:r>
        <w:rPr>
          <w:b/>
        </w:rPr>
        <w:t xml:space="preserve">Example. </w:t>
      </w:r>
      <w:r>
        <w:t>If diff-only is wrong, diff + issue is wrong, diff + surrounding function is correct but unstable, and diff + relevant test is correct and stable, then the relevant test may be the smallest sufficient context for that example. Full context becomes a reference upper bound rather than the default solution.</w:t>
      </w:r>
    </w:p>
    <w:p>
      <w:pPr>
        <w:pStyle w:val="Heading1"/>
      </w:pPr>
      <w:r>
        <w:t>10. Phase 4 - Approximate Context-Selection Method</w:t>
      </w:r>
    </w:p>
    <w:p>
      <w:r>
        <w:t>Once exhaustive search provides a target on small candidate sets, we will test methods that find compact context with fewer model calls. The method can remain simple if it performs well; the contribution is the selection objective and empirical validation, not unnecessary algorithmic complexity.</w:t>
      </w:r>
    </w:p>
    <w:p>
      <w:pPr>
        <w:pStyle w:val="Heading2"/>
      </w:pPr>
      <w:r>
        <w:t>10.1 Black-Box Greedy Forward Selection</w:t>
      </w:r>
    </w:p>
    <w:p>
      <w:r>
        <w:t>Start with the diff only. At each step, try adding each remaining context chunk and choose the one that produces the largest improvement in review utility per token. Stop when correctness/stability reaches the target or when no candidate produces a meaningful gain.</w:t>
      </w:r>
    </w:p>
    <w:p>
      <w:pPr>
        <w:spacing w:before="40" w:after="60"/>
        <w:jc w:val="center"/>
      </w:pPr>
      <w:r>
        <w:rPr>
          <w:rFonts w:ascii="Cambria Math" w:hAnsi="Cambria Math"/>
          <w:sz w:val="21"/>
        </w:rPr>
        <w:t>c* = arg max_c  [ U(S ∪ {c}) - U(S) ] / TokenCost(c)</w:t>
      </w:r>
    </w:p>
    <w:p>
      <w:pPr>
        <w:pStyle w:val="Heading2"/>
      </w:pPr>
      <w:r>
        <w:t>10.2 Black-Box Backward Pruning</w:t>
      </w:r>
    </w:p>
    <w:p>
      <w:r>
        <w:t>Start with all available context, remove one chunk at a time, and keep the removal that hurts review quality the least. Stop when any additional removal would violate the target threshold. This produces a locally minimal context set and requires no access to model parameters.</w:t>
      </w:r>
    </w:p>
    <w:p>
      <w:pPr>
        <w:pStyle w:val="Heading2"/>
      </w:pPr>
      <w:r>
        <w:t>10.3 Optional White-Box Extension</w:t>
      </w:r>
    </w:p>
    <w:p>
      <w:r>
        <w:t>Because the main local model is open-weight, we may compare the black-box methods with an attribution-guided ranking based on logits, gradients, or integrated-gradient-style importance. This is an optional extension, not a dependency. If gradient attribution is noisy or unhelpful, the project remains complete with the black-box selector.</w:t>
      </w:r>
    </w:p>
    <w:p>
      <w:pPr>
        <w:pStyle w:val="Heading1"/>
      </w:pPr>
      <w:r>
        <w:t>11. Phase 5 - Cross-Model Transfer</w:t>
      </w:r>
    </w:p>
    <w:p>
      <w:r>
        <w:t>The selected minimal context will then be evaluated on reviewers that were not used to choose it. This is important because the practical question is not whether a context subset is optimal for one frozen model, but whether it captures task-relevant information that generalizes.</w:t>
      </w:r>
    </w:p>
    <w:p>
      <w:pPr>
        <w:pStyle w:val="CompactBullet"/>
      </w:pPr>
      <w:r>
        <w:rPr>
          <w:b/>
        </w:rPr>
        <w:t xml:space="preserve">• </w:t>
      </w:r>
      <w:r>
        <w:t>Development: select context using the open-weight model.</w:t>
      </w:r>
    </w:p>
    <w:p>
      <w:pPr>
        <w:pStyle w:val="CompactBullet"/>
      </w:pPr>
      <w:r>
        <w:rPr>
          <w:b/>
        </w:rPr>
        <w:t xml:space="preserve">• </w:t>
      </w:r>
      <w:r>
        <w:t>Open-model transfer: optionally test on a second open model family.</w:t>
      </w:r>
    </w:p>
    <w:p>
      <w:pPr>
        <w:pStyle w:val="CompactBullet"/>
      </w:pPr>
      <w:r>
        <w:rPr>
          <w:b/>
        </w:rPr>
        <w:t xml:space="preserve">• </w:t>
      </w:r>
      <w:r>
        <w:t>Closed-model transfer: evaluate a smaller, cost-controlled subset on GPT and either Claude or Gemini.</w:t>
      </w:r>
    </w:p>
    <w:p>
      <w:pPr>
        <w:pStyle w:val="CompactBullet"/>
      </w:pPr>
      <w:r>
        <w:rPr>
          <w:b/>
        </w:rPr>
        <w:t xml:space="preserve">• </w:t>
      </w:r>
      <w:r>
        <w:t>Compare model-specific context selection with context selected for robustness across multiple reviewers.</w:t>
      </w:r>
    </w:p>
    <w:p>
      <w:r>
        <w:t>A particularly interesting outcome would be that context selected on open models transfers to stronger closed models. A negative result is also useful: it would show that minimal context is highly model-specific and that one reviewer cannot safely proxy another.</w:t>
      </w:r>
    </w:p>
    <w:p>
      <w:pPr>
        <w:pStyle w:val="Heading1"/>
      </w:pPr>
      <w:r>
        <w:t>12. Evaluation Plan</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EAEAEA"/>
          </w:tcPr>
          <w:p>
            <w:pPr>
              <w:spacing w:after="0"/>
            </w:pPr>
            <w:r/>
            <w:r>
              <w:rPr>
                <w:b/>
                <w:sz w:val="18"/>
              </w:rPr>
              <w:t>Metric</w:t>
            </w:r>
          </w:p>
        </w:tc>
        <w:tc>
          <w:tcPr>
            <w:tcW w:type="dxa" w:w="3360"/>
            <w:shd w:fill="EAEAEA"/>
          </w:tcPr>
          <w:p>
            <w:pPr>
              <w:spacing w:after="0"/>
            </w:pPr>
            <w:r/>
            <w:r>
              <w:rPr>
                <w:b/>
                <w:sz w:val="18"/>
              </w:rPr>
              <w:t>What it measures</w:t>
            </w:r>
          </w:p>
        </w:tc>
        <w:tc>
          <w:tcPr>
            <w:tcW w:type="dxa" w:w="3360"/>
            <w:shd w:fill="EAEAEA"/>
          </w:tcPr>
          <w:p>
            <w:pPr>
              <w:spacing w:after="0"/>
            </w:pPr>
            <w:r/>
            <w:r>
              <w:rPr>
                <w:b/>
                <w:sz w:val="18"/>
              </w:rPr>
              <w:t>Why it matters</w:t>
            </w:r>
          </w:p>
        </w:tc>
      </w:tr>
      <w:tr>
        <w:tc>
          <w:tcPr>
            <w:tcW w:type="dxa" w:w="3360"/>
          </w:tcPr>
          <w:p>
            <w:pPr>
              <w:spacing w:after="0"/>
            </w:pPr>
            <w:r/>
            <w:r>
              <w:rPr>
                <w:b w:val="0"/>
                <w:sz w:val="18"/>
              </w:rPr>
              <w:t>Accuracy / F1</w:t>
            </w:r>
          </w:p>
        </w:tc>
        <w:tc>
          <w:tcPr>
            <w:tcW w:type="dxa" w:w="3360"/>
          </w:tcPr>
          <w:p>
            <w:pPr>
              <w:spacing w:after="0"/>
            </w:pPr>
            <w:r/>
            <w:r>
              <w:rPr>
                <w:b w:val="0"/>
                <w:sz w:val="18"/>
              </w:rPr>
              <w:t>Correct structured review decisions</w:t>
            </w:r>
          </w:p>
        </w:tc>
        <w:tc>
          <w:tcPr>
            <w:tcW w:type="dxa" w:w="3360"/>
          </w:tcPr>
          <w:p>
            <w:pPr>
              <w:spacing w:after="0"/>
            </w:pPr>
            <w:r/>
            <w:r>
              <w:rPr>
                <w:b w:val="0"/>
                <w:sz w:val="18"/>
              </w:rPr>
              <w:t>Basic task quality</w:t>
            </w:r>
          </w:p>
        </w:tc>
      </w:tr>
      <w:tr>
        <w:tc>
          <w:tcPr>
            <w:tcW w:type="dxa" w:w="3360"/>
          </w:tcPr>
          <w:p>
            <w:pPr>
              <w:spacing w:after="0"/>
            </w:pPr>
            <w:r/>
            <w:r>
              <w:rPr>
                <w:b w:val="0"/>
                <w:sz w:val="18"/>
              </w:rPr>
              <w:t>Prediction flip rate</w:t>
            </w:r>
          </w:p>
        </w:tc>
        <w:tc>
          <w:tcPr>
            <w:tcW w:type="dxa" w:w="3360"/>
          </w:tcPr>
          <w:p>
            <w:pPr>
              <w:spacing w:after="0"/>
            </w:pPr>
            <w:r/>
            <w:r>
              <w:rPr>
                <w:b w:val="0"/>
                <w:sz w:val="18"/>
              </w:rPr>
              <w:t>Changes under harmless transformations</w:t>
            </w:r>
          </w:p>
        </w:tc>
        <w:tc>
          <w:tcPr>
            <w:tcW w:type="dxa" w:w="3360"/>
          </w:tcPr>
          <w:p>
            <w:pPr>
              <w:spacing w:after="0"/>
            </w:pPr>
            <w:r/>
            <w:r>
              <w:rPr>
                <w:b w:val="0"/>
                <w:sz w:val="18"/>
              </w:rPr>
              <w:t>Input stability</w:t>
            </w:r>
          </w:p>
        </w:tc>
      </w:tr>
      <w:tr>
        <w:tc>
          <w:tcPr>
            <w:tcW w:type="dxa" w:w="3360"/>
          </w:tcPr>
          <w:p>
            <w:pPr>
              <w:spacing w:after="0"/>
            </w:pPr>
            <w:r/>
            <w:r>
              <w:rPr>
                <w:b w:val="0"/>
                <w:sz w:val="18"/>
              </w:rPr>
              <w:t>Robust correctness</w:t>
            </w:r>
          </w:p>
        </w:tc>
        <w:tc>
          <w:tcPr>
            <w:tcW w:type="dxa" w:w="3360"/>
          </w:tcPr>
          <w:p>
            <w:pPr>
              <w:spacing w:after="0"/>
            </w:pPr>
            <w:r/>
            <w:r>
              <w:rPr>
                <w:b w:val="0"/>
                <w:sz w:val="18"/>
              </w:rPr>
              <w:t>Fraction of variants/reviewers that remain correct</w:t>
            </w:r>
          </w:p>
        </w:tc>
        <w:tc>
          <w:tcPr>
            <w:tcW w:type="dxa" w:w="3360"/>
          </w:tcPr>
          <w:p>
            <w:pPr>
              <w:spacing w:after="0"/>
            </w:pPr>
            <w:r/>
            <w:r>
              <w:rPr>
                <w:b w:val="0"/>
                <w:sz w:val="18"/>
              </w:rPr>
              <w:t>Reliability</w:t>
            </w:r>
          </w:p>
        </w:tc>
      </w:tr>
      <w:tr>
        <w:tc>
          <w:tcPr>
            <w:tcW w:type="dxa" w:w="3360"/>
          </w:tcPr>
          <w:p>
            <w:pPr>
              <w:spacing w:after="0"/>
            </w:pPr>
            <w:r/>
            <w:r>
              <w:rPr>
                <w:b w:val="0"/>
                <w:sz w:val="18"/>
              </w:rPr>
              <w:t>Agreement</w:t>
            </w:r>
          </w:p>
        </w:tc>
        <w:tc>
          <w:tcPr>
            <w:tcW w:type="dxa" w:w="3360"/>
          </w:tcPr>
          <w:p>
            <w:pPr>
              <w:spacing w:after="0"/>
            </w:pPr>
            <w:r/>
            <w:r>
              <w:rPr>
                <w:b w:val="0"/>
                <w:sz w:val="18"/>
              </w:rPr>
              <w:t>Consistency across models or repeated variants</w:t>
            </w:r>
          </w:p>
        </w:tc>
        <w:tc>
          <w:tcPr>
            <w:tcW w:type="dxa" w:w="3360"/>
          </w:tcPr>
          <w:p>
            <w:pPr>
              <w:spacing w:after="0"/>
            </w:pPr>
            <w:r/>
            <w:r>
              <w:rPr>
                <w:b w:val="0"/>
                <w:sz w:val="18"/>
              </w:rPr>
              <w:t>Multiplicity / deployment stability</w:t>
            </w:r>
          </w:p>
        </w:tc>
      </w:tr>
      <w:tr>
        <w:tc>
          <w:tcPr>
            <w:tcW w:type="dxa" w:w="3360"/>
          </w:tcPr>
          <w:p>
            <w:pPr>
              <w:spacing w:after="0"/>
            </w:pPr>
            <w:r/>
            <w:r>
              <w:rPr>
                <w:b w:val="0"/>
                <w:sz w:val="18"/>
              </w:rPr>
              <w:t>Token cost</w:t>
            </w:r>
          </w:p>
        </w:tc>
        <w:tc>
          <w:tcPr>
            <w:tcW w:type="dxa" w:w="3360"/>
          </w:tcPr>
          <w:p>
            <w:pPr>
              <w:spacing w:after="0"/>
            </w:pPr>
            <w:r/>
            <w:r>
              <w:rPr>
                <w:b w:val="0"/>
                <w:sz w:val="18"/>
              </w:rPr>
              <w:t>Amount of supplied context</w:t>
            </w:r>
          </w:p>
        </w:tc>
        <w:tc>
          <w:tcPr>
            <w:tcW w:type="dxa" w:w="3360"/>
          </w:tcPr>
          <w:p>
            <w:pPr>
              <w:spacing w:after="0"/>
            </w:pPr>
            <w:r/>
            <w:r>
              <w:rPr>
                <w:b w:val="0"/>
                <w:sz w:val="18"/>
              </w:rPr>
              <w:t>Efficiency and practical cost</w:t>
            </w:r>
          </w:p>
        </w:tc>
      </w:tr>
      <w:tr>
        <w:tc>
          <w:tcPr>
            <w:tcW w:type="dxa" w:w="3360"/>
          </w:tcPr>
          <w:p>
            <w:pPr>
              <w:spacing w:after="0"/>
            </w:pPr>
            <w:r/>
            <w:r>
              <w:rPr>
                <w:b w:val="0"/>
                <w:sz w:val="18"/>
              </w:rPr>
              <w:t>Model-query cost</w:t>
            </w:r>
          </w:p>
        </w:tc>
        <w:tc>
          <w:tcPr>
            <w:tcW w:type="dxa" w:w="3360"/>
          </w:tcPr>
          <w:p>
            <w:pPr>
              <w:spacing w:after="0"/>
            </w:pPr>
            <w:r/>
            <w:r>
              <w:rPr>
                <w:b w:val="0"/>
                <w:sz w:val="18"/>
              </w:rPr>
              <w:t>Number of reviewer calls used by selector</w:t>
            </w:r>
          </w:p>
        </w:tc>
        <w:tc>
          <w:tcPr>
            <w:tcW w:type="dxa" w:w="3360"/>
          </w:tcPr>
          <w:p>
            <w:pPr>
              <w:spacing w:after="0"/>
            </w:pPr>
            <w:r/>
            <w:r>
              <w:rPr>
                <w:b w:val="0"/>
                <w:sz w:val="18"/>
              </w:rPr>
              <w:t>Feasibility of search</w:t>
            </w:r>
          </w:p>
        </w:tc>
      </w:tr>
    </w:tbl>
    <w:p>
      <w:pPr>
        <w:pStyle w:val="Heading1"/>
      </w:pPr>
      <w:r>
        <w:t>13. Baselines and Ablations</w:t>
      </w:r>
    </w:p>
    <w:p>
      <w:pPr>
        <w:pStyle w:val="CompactBullet"/>
      </w:pPr>
      <w:r>
        <w:rPr>
          <w:b/>
        </w:rPr>
        <w:t xml:space="preserve">• </w:t>
      </w:r>
      <w:r>
        <w:t>Diff only: no additional context.</w:t>
      </w:r>
    </w:p>
    <w:p>
      <w:pPr>
        <w:pStyle w:val="CompactBullet"/>
      </w:pPr>
      <w:r>
        <w:rPr>
          <w:b/>
        </w:rPr>
        <w:t xml:space="preserve">• </w:t>
      </w:r>
      <w:r>
        <w:t>Full context: all available context chunks.</w:t>
      </w:r>
    </w:p>
    <w:p>
      <w:pPr>
        <w:pStyle w:val="CompactBullet"/>
      </w:pPr>
      <w:r>
        <w:rPr>
          <w:b/>
        </w:rPr>
        <w:t xml:space="preserve">• </w:t>
      </w:r>
      <w:r>
        <w:t>Random subset with the same token budget as the proposed method.</w:t>
      </w:r>
    </w:p>
    <w:p>
      <w:pPr>
        <w:pStyle w:val="CompactBullet"/>
      </w:pPr>
      <w:r>
        <w:rPr>
          <w:b/>
        </w:rPr>
        <w:t xml:space="preserve">• </w:t>
      </w:r>
      <w:r>
        <w:t>Simple lexical/embedding retrieval of the top-k most relevant context chunks.</w:t>
      </w:r>
    </w:p>
    <w:p>
      <w:pPr>
        <w:pStyle w:val="CompactBullet"/>
      </w:pPr>
      <w:r>
        <w:rPr>
          <w:b/>
        </w:rPr>
        <w:t xml:space="preserve">• </w:t>
      </w:r>
      <w:r>
        <w:t>Greedy forward selection and greedy backward pruning.</w:t>
      </w:r>
    </w:p>
    <w:p>
      <w:pPr>
        <w:pStyle w:val="CompactBullet"/>
      </w:pPr>
      <w:r>
        <w:rPr>
          <w:b/>
        </w:rPr>
        <w:t xml:space="preserve">• </w:t>
      </w:r>
      <w:r>
        <w:t>Exhaustive-search optimum on small candidate sets.</w:t>
      </w:r>
    </w:p>
    <w:p>
      <w:pPr>
        <w:pStyle w:val="CompactBullet"/>
      </w:pPr>
      <w:r>
        <w:rPr>
          <w:b/>
        </w:rPr>
        <w:t xml:space="preserve">• </w:t>
      </w:r>
      <w:r>
        <w:t>If implemented: white-box attribution-guided selection.</w:t>
      </w:r>
    </w:p>
    <w:p>
      <w:r>
        <w:t>Ablations will isolate the effect of perturbation type, context type, model size (3B vs 7B), model family, and whether the selection objective optimizes correctness only or correctness plus stability.</w:t>
      </w:r>
    </w:p>
    <w:p>
      <w:pPr>
        <w:pStyle w:val="Heading1"/>
      </w:pPr>
      <w:r>
        <w:t>14. Avoiding Leakage and Evaluation Bias</w:t>
      </w:r>
    </w:p>
    <w:p>
      <w:pPr>
        <w:pStyle w:val="CompactBullet"/>
      </w:pPr>
      <w:r>
        <w:rPr>
          <w:b/>
        </w:rPr>
        <w:t xml:space="preserve">• </w:t>
      </w:r>
      <w:r>
        <w:t>The evaluation label must not be included directly in candidate context.</w:t>
      </w:r>
    </w:p>
    <w:p>
      <w:pPr>
        <w:pStyle w:val="CompactBullet"/>
      </w:pPr>
      <w:r>
        <w:rPr>
          <w:b/>
        </w:rPr>
        <w:t xml:space="preserve">• </w:t>
      </w:r>
      <w:r>
        <w:t>Context selection thresholds and hyperparameters will be chosen on development data, not the final test set.</w:t>
      </w:r>
    </w:p>
    <w:p>
      <w:pPr>
        <w:pStyle w:val="CompactBullet"/>
      </w:pPr>
      <w:r>
        <w:rPr>
          <w:b/>
        </w:rPr>
        <w:t xml:space="preserve">• </w:t>
      </w:r>
      <w:r>
        <w:t>If a context item contains a human review comment that directly reveals the answer, it will not be used as input for the structured quality-estimation task.</w:t>
      </w:r>
    </w:p>
    <w:p>
      <w:pPr>
        <w:pStyle w:val="CompactBullet"/>
      </w:pPr>
      <w:r>
        <w:rPr>
          <w:b/>
        </w:rPr>
        <w:t xml:space="preserve">• </w:t>
      </w:r>
      <w:r>
        <w:t>Semantics-preserving transformations will be checked to avoid accidentally changing the expected label.</w:t>
      </w:r>
    </w:p>
    <w:p>
      <w:pPr>
        <w:pStyle w:val="CompactBullet"/>
      </w:pPr>
      <w:r>
        <w:rPr>
          <w:b/>
        </w:rPr>
        <w:t xml:space="preserve">• </w:t>
      </w:r>
      <w:r>
        <w:t>Closed-model transfer tests will be held until the selector design is mostly fixed, so they function as an external evaluation rather than another tuning loop.</w:t>
      </w:r>
    </w:p>
    <w:p>
      <w:pPr>
        <w:pStyle w:val="Heading1"/>
      </w:pPr>
      <w:r>
        <w:t>15. Compute and Cost Plan</w:t>
      </w:r>
    </w:p>
    <w:p>
      <w:r>
        <w:t>The project is intentionally designed around inference rather than training. Most experiments can be run locally with quantized 3B/7B models. The 3B model is used for code/debugging and large sweeps; the 7B model is the main local result. Commercial APIs are used only after the candidate method is fixed and only on a smaller evaluation subset.</w:t>
      </w:r>
    </w:p>
    <w:p>
      <w:pPr>
        <w:pStyle w:val="CompactBullet"/>
      </w:pPr>
      <w:r>
        <w:rPr>
          <w:b/>
        </w:rPr>
        <w:t xml:space="preserve">• </w:t>
      </w:r>
      <w:r>
        <w:t>No full pre-training.</w:t>
      </w:r>
    </w:p>
    <w:p>
      <w:pPr>
        <w:pStyle w:val="CompactBullet"/>
      </w:pPr>
      <w:r>
        <w:rPr>
          <w:b/>
        </w:rPr>
        <w:t xml:space="preserve">• </w:t>
      </w:r>
      <w:r>
        <w:t>No requirement for full fine-tuning.</w:t>
      </w:r>
    </w:p>
    <w:p>
      <w:pPr>
        <w:pStyle w:val="CompactBullet"/>
      </w:pPr>
      <w:r>
        <w:rPr>
          <w:b/>
        </w:rPr>
        <w:t xml:space="preserve">• </w:t>
      </w:r>
      <w:r>
        <w:t>Optional lightweight adaptation such as LoRA is out of scope unless the baseline clearly requires it.</w:t>
      </w:r>
    </w:p>
    <w:p>
      <w:pPr>
        <w:pStyle w:val="CompactBullet"/>
      </w:pPr>
      <w:r>
        <w:rPr>
          <w:b/>
        </w:rPr>
        <w:t xml:space="preserve">• </w:t>
      </w:r>
      <w:r>
        <w:t>Cache model responses so perturbation/context searches are reproducible and do not repeat expensive calls.</w:t>
      </w:r>
    </w:p>
    <w:p>
      <w:pPr>
        <w:pStyle w:val="CompactBullet"/>
      </w:pPr>
      <w:r>
        <w:rPr>
          <w:b/>
        </w:rPr>
        <w:t xml:space="preserve">• </w:t>
      </w:r>
      <w:r>
        <w:t>Use fixed seeds / deterministic decoding when measuring stability caused by input changes; later vary sampling deliberately as a separate factor.</w:t>
      </w:r>
    </w:p>
    <w:p>
      <w:pPr>
        <w:pStyle w:val="Heading1"/>
      </w:pPr>
      <w:r>
        <w:t>16. Risks and Fallbacks</w:t>
      </w:r>
    </w:p>
    <w:tbl>
      <w:tblPr>
        <w:tblStyle w:val="TableGrid"/>
        <w:tblW w:type="auto" w:w="0"/>
        <w:jc w:val="center"/>
        <w:tblLook w:firstColumn="1" w:firstRow="1" w:lastColumn="0" w:lastRow="0" w:noHBand="0" w:noVBand="1" w:val="04A0"/>
      </w:tblPr>
      <w:tblGrid>
        <w:gridCol w:w="5040"/>
        <w:gridCol w:w="5040"/>
      </w:tblGrid>
      <w:tr>
        <w:tc>
          <w:tcPr>
            <w:tcW w:type="dxa" w:w="5040"/>
            <w:shd w:fill="EAEAEA"/>
          </w:tcPr>
          <w:p>
            <w:pPr>
              <w:spacing w:after="0"/>
            </w:pPr>
            <w:r/>
            <w:r>
              <w:rPr>
                <w:b/>
                <w:sz w:val="18"/>
              </w:rPr>
              <w:t>Risk</w:t>
            </w:r>
          </w:p>
        </w:tc>
        <w:tc>
          <w:tcPr>
            <w:tcW w:type="dxa" w:w="5040"/>
            <w:shd w:fill="EAEAEA"/>
          </w:tcPr>
          <w:p>
            <w:pPr>
              <w:spacing w:after="0"/>
            </w:pPr>
            <w:r/>
            <w:r>
              <w:rPr>
                <w:b/>
                <w:sz w:val="18"/>
              </w:rPr>
              <w:t>Fallback / interpretation</w:t>
            </w:r>
          </w:p>
        </w:tc>
      </w:tr>
      <w:tr>
        <w:tc>
          <w:tcPr>
            <w:tcW w:type="dxa" w:w="5040"/>
          </w:tcPr>
          <w:p>
            <w:pPr>
              <w:spacing w:after="0"/>
            </w:pPr>
            <w:r/>
            <w:r>
              <w:rPr>
                <w:b w:val="0"/>
                <w:sz w:val="18"/>
              </w:rPr>
              <w:t>3B/7B models are too weak on CodeReviewer quality estimation.</w:t>
            </w:r>
          </w:p>
        </w:tc>
        <w:tc>
          <w:tcPr>
            <w:tcW w:type="dxa" w:w="5040"/>
          </w:tcPr>
          <w:p>
            <w:pPr>
              <w:spacing w:after="0"/>
            </w:pPr>
            <w:r/>
            <w:r>
              <w:rPr>
                <w:b w:val="0"/>
                <w:sz w:val="18"/>
              </w:rPr>
              <w:t>Use the task-specific CodeReviewer checkpoint as a baseline, use 7B as the main open model, and reserve stronger APIs for external validation.</w:t>
            </w:r>
          </w:p>
        </w:tc>
      </w:tr>
      <w:tr>
        <w:tc>
          <w:tcPr>
            <w:tcW w:type="dxa" w:w="5040"/>
          </w:tcPr>
          <w:p>
            <w:pPr>
              <w:spacing w:after="0"/>
            </w:pPr>
            <w:r/>
            <w:r>
              <w:rPr>
                <w:b w:val="0"/>
                <w:sz w:val="18"/>
              </w:rPr>
              <w:t>CodeReviewer does not contain enough rich repository context.</w:t>
            </w:r>
          </w:p>
        </w:tc>
        <w:tc>
          <w:tcPr>
            <w:tcW w:type="dxa" w:w="5040"/>
          </w:tcPr>
          <w:p>
            <w:pPr>
              <w:spacing w:after="0"/>
            </w:pPr>
            <w:r/>
            <w:r>
              <w:rPr>
                <w:b w:val="0"/>
                <w:sz w:val="18"/>
              </w:rPr>
              <w:t>Use it only for the stability baseline, then move the minimal-context experiment to ContextCRBench.</w:t>
            </w:r>
          </w:p>
        </w:tc>
      </w:tr>
      <w:tr>
        <w:tc>
          <w:tcPr>
            <w:tcW w:type="dxa" w:w="5040"/>
          </w:tcPr>
          <w:p>
            <w:pPr>
              <w:spacing w:after="0"/>
            </w:pPr>
            <w:r/>
            <w:r>
              <w:rPr>
                <w:b w:val="0"/>
                <w:sz w:val="18"/>
              </w:rPr>
              <w:t>No strong instability is observed under simple perturbations.</w:t>
            </w:r>
          </w:p>
        </w:tc>
        <w:tc>
          <w:tcPr>
            <w:tcW w:type="dxa" w:w="5040"/>
          </w:tcPr>
          <w:p>
            <w:pPr>
              <w:spacing w:after="0"/>
            </w:pPr>
            <w:r/>
            <w:r>
              <w:rPr>
                <w:b w:val="0"/>
                <w:sz w:val="18"/>
              </w:rPr>
              <w:t>Report that result and test more realistic perturbations/context changes; the project can pivot toward context efficiency rather than perturbation robustness.</w:t>
            </w:r>
          </w:p>
        </w:tc>
      </w:tr>
      <w:tr>
        <w:tc>
          <w:tcPr>
            <w:tcW w:type="dxa" w:w="5040"/>
          </w:tcPr>
          <w:p>
            <w:pPr>
              <w:spacing w:after="0"/>
            </w:pPr>
            <w:r/>
            <w:r>
              <w:rPr>
                <w:b w:val="0"/>
                <w:sz w:val="18"/>
              </w:rPr>
              <w:t>Greedy selection does not match the exhaustive optimum.</w:t>
            </w:r>
          </w:p>
        </w:tc>
        <w:tc>
          <w:tcPr>
            <w:tcW w:type="dxa" w:w="5040"/>
          </w:tcPr>
          <w:p>
            <w:pPr>
              <w:spacing w:after="0"/>
            </w:pPr>
            <w:r/>
            <w:r>
              <w:rPr>
                <w:b w:val="0"/>
                <w:sz w:val="18"/>
              </w:rPr>
              <w:t>This becomes a measurable result; compare forward/backward search and analyze interaction effects between context chunks.</w:t>
            </w:r>
          </w:p>
        </w:tc>
      </w:tr>
      <w:tr>
        <w:tc>
          <w:tcPr>
            <w:tcW w:type="dxa" w:w="5040"/>
          </w:tcPr>
          <w:p>
            <w:pPr>
              <w:spacing w:after="0"/>
            </w:pPr>
            <w:r/>
            <w:r>
              <w:rPr>
                <w:b w:val="0"/>
                <w:sz w:val="18"/>
              </w:rPr>
              <w:t>Selected context does not transfer across models.</w:t>
            </w:r>
          </w:p>
        </w:tc>
        <w:tc>
          <w:tcPr>
            <w:tcW w:type="dxa" w:w="5040"/>
          </w:tcPr>
          <w:p>
            <w:pPr>
              <w:spacing w:after="0"/>
            </w:pPr>
            <w:r/>
            <w:r>
              <w:rPr>
                <w:b w:val="0"/>
                <w:sz w:val="18"/>
              </w:rPr>
              <w:t>Treat this as evidence that context requirements are model-specific; quantify the transfer gap and characterize which examples fail.</w:t>
            </w:r>
          </w:p>
        </w:tc>
      </w:tr>
      <w:tr>
        <w:tc>
          <w:tcPr>
            <w:tcW w:type="dxa" w:w="5040"/>
          </w:tcPr>
          <w:p>
            <w:pPr>
              <w:spacing w:after="0"/>
            </w:pPr>
            <w:r/>
            <w:r>
              <w:rPr>
                <w:b w:val="0"/>
                <w:sz w:val="18"/>
              </w:rPr>
              <w:t>API cost becomes too high.</w:t>
            </w:r>
          </w:p>
        </w:tc>
        <w:tc>
          <w:tcPr>
            <w:tcW w:type="dxa" w:w="5040"/>
          </w:tcPr>
          <w:p>
            <w:pPr>
              <w:spacing w:after="0"/>
            </w:pPr>
            <w:r/>
            <w:r>
              <w:rPr>
                <w:b w:val="0"/>
                <w:sz w:val="18"/>
              </w:rPr>
              <w:t>Reduce the black-box evaluation to a stratified subset and keep the core method/open-model experiments local.</w:t>
            </w:r>
          </w:p>
        </w:tc>
      </w:tr>
    </w:tbl>
    <w:p>
      <w:pPr>
        <w:pStyle w:val="Heading1"/>
      </w:pPr>
      <w:r>
        <w:t>17. Planned Timeline</w:t>
      </w:r>
    </w:p>
    <w:p>
      <w:pPr>
        <w:spacing w:after="30"/>
      </w:pPr>
      <w:r>
        <w:rPr>
          <w:b/>
        </w:rPr>
        <w:t xml:space="preserve">Week 1: </w:t>
      </w:r>
      <w:r>
        <w:t>Finalize literature review; download/inspect CodeReviewer; implement structured prompt and evaluation harness.</w:t>
      </w:r>
    </w:p>
    <w:p>
      <w:pPr>
        <w:spacing w:after="30"/>
      </w:pPr>
      <w:r>
        <w:rPr>
          <w:b/>
        </w:rPr>
        <w:t xml:space="preserve">Week 2: </w:t>
      </w:r>
      <w:r>
        <w:t>Run 3B baseline, then 7B baseline; choose a clean initial subset and establish accuracy.</w:t>
      </w:r>
    </w:p>
    <w:p>
      <w:pPr>
        <w:spacing w:after="30"/>
      </w:pPr>
      <w:r>
        <w:rPr>
          <w:b/>
        </w:rPr>
        <w:t xml:space="preserve">Week 3: </w:t>
      </w:r>
      <w:r>
        <w:t>Implement variable-renaming, formatting, and prompt-paraphrase perturbations; quantify flip rates.</w:t>
      </w:r>
    </w:p>
    <w:p>
      <w:pPr>
        <w:spacing w:after="30"/>
      </w:pPr>
      <w:r>
        <w:rPr>
          <w:b/>
        </w:rPr>
        <w:t xml:space="preserve">Week 4: </w:t>
      </w:r>
      <w:r>
        <w:t>Add context experiments; identify a compact candidate set of context types.</w:t>
      </w:r>
    </w:p>
    <w:p>
      <w:pPr>
        <w:spacing w:after="30"/>
      </w:pPr>
      <w:r>
        <w:rPr>
          <w:b/>
        </w:rPr>
        <w:t xml:space="preserve">Week 5: </w:t>
      </w:r>
      <w:r>
        <w:t>Enumerate small context subsets; define the minimal-context target and thresholds.</w:t>
      </w:r>
    </w:p>
    <w:p>
      <w:pPr>
        <w:spacing w:after="30"/>
      </w:pPr>
      <w:r>
        <w:rPr>
          <w:b/>
        </w:rPr>
        <w:t xml:space="preserve">Week 6: </w:t>
      </w:r>
      <w:r>
        <w:t>Implement greedy forward/backward selectors; compare with random/retrieval baselines.</w:t>
      </w:r>
    </w:p>
    <w:p>
      <w:pPr>
        <w:spacing w:after="30"/>
      </w:pPr>
      <w:r>
        <w:rPr>
          <w:b/>
        </w:rPr>
        <w:t xml:space="preserve">Week 7: </w:t>
      </w:r>
      <w:r>
        <w:t>Run larger open-model evaluation; ablations and failure analysis.</w:t>
      </w:r>
    </w:p>
    <w:p>
      <w:pPr>
        <w:spacing w:after="30"/>
      </w:pPr>
      <w:r>
        <w:rPr>
          <w:b/>
        </w:rPr>
        <w:t xml:space="preserve">Week 8: </w:t>
      </w:r>
      <w:r>
        <w:t>Run transfer experiment on second open model and/or black-box reviewers.</w:t>
      </w:r>
    </w:p>
    <w:p>
      <w:pPr>
        <w:spacing w:after="30"/>
      </w:pPr>
      <w:r>
        <w:rPr>
          <w:b/>
        </w:rPr>
        <w:t xml:space="preserve">Week 9: </w:t>
      </w:r>
      <w:r>
        <w:t>Consolidate results, plots, limitations, and negative findings.</w:t>
      </w:r>
    </w:p>
    <w:p>
      <w:pPr>
        <w:spacing w:after="30"/>
      </w:pPr>
      <w:r>
        <w:rPr>
          <w:b/>
        </w:rPr>
        <w:t xml:space="preserve">Week 10: </w:t>
      </w:r>
      <w:r>
        <w:t>Final paper, reproducibility cleanup, presentation, and GitHub documentation.</w:t>
      </w:r>
    </w:p>
    <w:p>
      <w:pPr>
        <w:pStyle w:val="Heading1"/>
      </w:pPr>
      <w:r>
        <w:t>18. Expected Deliverables</w:t>
      </w:r>
    </w:p>
    <w:p>
      <w:pPr>
        <w:pStyle w:val="CompactBullet"/>
      </w:pPr>
      <w:r>
        <w:rPr>
          <w:b/>
        </w:rPr>
        <w:t xml:space="preserve">• </w:t>
      </w:r>
      <w:r>
        <w:t>A reproducible code-review stability benchmark pipeline with semantics-preserving perturbations.</w:t>
      </w:r>
    </w:p>
    <w:p>
      <w:pPr>
        <w:pStyle w:val="CompactBullet"/>
      </w:pPr>
      <w:r>
        <w:rPr>
          <w:b/>
        </w:rPr>
        <w:t xml:space="preserve">• </w:t>
      </w:r>
      <w:r>
        <w:t>A detailed empirical analysis of which context sources improve or hurt review reliability.</w:t>
      </w:r>
    </w:p>
    <w:p>
      <w:pPr>
        <w:pStyle w:val="CompactBullet"/>
      </w:pPr>
      <w:r>
        <w:rPr>
          <w:b/>
        </w:rPr>
        <w:t xml:space="preserve">• </w:t>
      </w:r>
      <w:r>
        <w:t>An exhaustive small-scale minimal-context benchmark for selected examples.</w:t>
      </w:r>
    </w:p>
    <w:p>
      <w:pPr>
        <w:pStyle w:val="CompactBullet"/>
      </w:pPr>
      <w:r>
        <w:rPr>
          <w:b/>
        </w:rPr>
        <w:t xml:space="preserve">• </w:t>
      </w:r>
      <w:r>
        <w:t>A practical context-selection algorithm and comparisons to simple baselines.</w:t>
      </w:r>
    </w:p>
    <w:p>
      <w:pPr>
        <w:pStyle w:val="CompactBullet"/>
      </w:pPr>
      <w:r>
        <w:rPr>
          <w:b/>
        </w:rPr>
        <w:t xml:space="preserve">• </w:t>
      </w:r>
      <w:r>
        <w:t>Cross-model transfer results showing whether selected context generalizes.</w:t>
      </w:r>
    </w:p>
    <w:p>
      <w:pPr>
        <w:pStyle w:val="CompactBullet"/>
      </w:pPr>
      <w:r>
        <w:rPr>
          <w:b/>
        </w:rPr>
        <w:t xml:space="preserve">• </w:t>
      </w:r>
      <w:r>
        <w:t>A final paper with failure analysis, limitations, and reproducible code.</w:t>
      </w:r>
    </w:p>
    <w:p>
      <w:pPr>
        <w:pStyle w:val="Heading1"/>
        <w:spacing w:before="60" w:after="20"/>
      </w:pPr>
      <w:r>
        <w:t>19. Success Criteria</w:t>
      </w:r>
    </w:p>
    <w:p>
      <w:pPr>
        <w:spacing w:line="228" w:lineRule="auto" w:after="0"/>
      </w:pPr>
      <w:r>
        <w:t>The project is successful even if the proposed selector does not dominate every baseline. A strong result would be one of the following: (1) a compact context subset retains most of full-context performance while using substantially fewer tokens; (2) stability-aware selection reduces perturbation-induced errors; (3) context selected on an open model transfers to unseen reviewers; or (4) a careful negative result demonstrates that minimal useful context is strongly model-specific.</w:t>
      </w:r>
    </w:p>
    <w:p>
      <w:pPr>
        <w:pStyle w:val="Heading2"/>
        <w:spacing w:before="60" w:after="20"/>
      </w:pPr>
      <w:r>
        <w:t>20. Working References / Starting Points</w:t>
      </w:r>
    </w:p>
    <w:p>
      <w:pPr>
        <w:spacing w:after="0" w:line="216" w:lineRule="auto"/>
      </w:pPr>
      <w:r>
        <w:rPr>
          <w:sz w:val="17"/>
        </w:rPr>
        <w:t>[1] Li et al. (2022), “CodeReviewer: Pre-Training for Automating Code Review Activities.” Microsoft / ESEC-FSE.</w:t>
      </w:r>
    </w:p>
    <w:p>
      <w:pPr>
        <w:spacing w:after="0" w:line="216" w:lineRule="auto"/>
      </w:pPr>
      <w:r>
        <w:rPr>
          <w:sz w:val="17"/>
        </w:rPr>
        <w:t>[2] Microsoft CodeBERT repository, CodeReviewer README and released dataset.</w:t>
      </w:r>
    </w:p>
    <w:p>
      <w:pPr>
        <w:spacing w:after="0" w:line="216" w:lineRule="auto"/>
      </w:pPr>
      <w:r>
        <w:rPr>
          <w:sz w:val="17"/>
        </w:rPr>
        <w:t>[3] Hu et al. (2025), “Benchmarking LLMs for Fine-Grained Code Review with Enriched Context in Practice” (ContextCRBench).</w:t>
      </w:r>
    </w:p>
    <w:p>
      <w:pPr>
        <w:spacing w:after="0" w:line="216" w:lineRule="auto"/>
      </w:pPr>
      <w:r>
        <w:rPr>
          <w:sz w:val="17"/>
        </w:rPr>
        <w:t>[4] Qwen Team, Qwen2.5-Coder open-weight code model series.</w:t>
      </w:r>
    </w:p>
    <w:p>
      <w:pPr>
        <w:spacing w:after="0" w:line="216" w:lineRule="auto"/>
      </w:pPr>
      <w:r>
        <w:rPr>
          <w:sz w:val="17"/>
        </w:rPr>
        <w:t>[5] ElliCE paper and related work on robust decisions under model multiplicity, used as conceptual motivation rather than a direct algorithmic template.</w:t>
      </w:r>
    </w:p>
    <w:sectPr w:rsidR="00FC693F" w:rsidRPr="0006063C" w:rsidSect="00034616">
      <w:footerReference w:type="default" r:id="rId9"/>
      <w:pgSz w:w="12240" w:h="15840"/>
      <w:pgMar w:top="893" w:right="1080" w:bottom="835"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ML II Project Proposal</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20" w:after="40"/>
      <w:outlineLvl w:val="0"/>
    </w:pPr>
    <w:rPr>
      <w:rFonts w:asciiTheme="majorHAnsi" w:eastAsiaTheme="majorEastAsia" w:hAnsiTheme="majorHAnsi" w:cstheme="majorBidi" w:ascii="Aptos" w:hAnsi="Aptos"/>
      <w:b/>
      <w:bCs/>
      <w:color w:val="365F91" w:themeColor="accent1" w:themeShade="BF"/>
      <w:sz w:val="27"/>
      <w:szCs w:val="28"/>
    </w:rPr>
  </w:style>
  <w:style w:type="paragraph" w:styleId="Heading2">
    <w:name w:val="heading 2"/>
    <w:basedOn w:val="Normal"/>
    <w:next w:val="Normal"/>
    <w:link w:val="Heading2Char"/>
    <w:uiPriority w:val="9"/>
    <w:unhideWhenUsed/>
    <w:qFormat/>
    <w:rsid w:val="00FC693F"/>
    <w:pPr>
      <w:keepNext/>
      <w:keepLines/>
      <w:spacing w:before="80" w:after="30"/>
      <w:outlineLvl w:val="1"/>
    </w:pPr>
    <w:rPr>
      <w:rFonts w:asciiTheme="majorHAnsi" w:eastAsiaTheme="majorEastAsia" w:hAnsiTheme="majorHAnsi" w:cstheme="majorBidi" w:ascii="Aptos" w:hAnsi="Aptos"/>
      <w:b/>
      <w:bCs/>
      <w:color w:val="4F81BD" w:themeColor="accent1"/>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contextualSpacing/>
    </w:pPr>
    <w:rPr>
      <w:rFonts w:asciiTheme="majorHAnsi" w:eastAsiaTheme="majorEastAsia" w:hAnsiTheme="majorHAnsi" w:cstheme="majorBidi" w:ascii="Aptos" w:hAnsi="Aptos"/>
      <w:b/>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mpactBullet">
    <w:name w:val="Compact Bullet"/>
    <w:basedOn w:val="Normal"/>
    <w:pPr>
      <w:spacing w:after="30"/>
      <w:ind w:left="259" w:hanging="173"/>
    </w:p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