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Machine Learning II Project Proposal</w:t>
      </w:r>
    </w:p>
    <w:p>
      <w:pPr>
        <w:pStyle w:val="Title"/>
      </w:pPr>
      <w:r>
        <w:t>Learning to Select Context per Code Diff: An Accuracy-Cost Trade-off for LLM Code Review</w:t>
      </w:r>
    </w:p>
    <w:p>
      <w:pPr>
        <w:jc w:val="center"/>
      </w:pPr>
      <w:r>
        <w:rPr>
          <w:i/>
        </w:rPr>
        <w:t>Detailed working proposal / research plan</w:t>
      </w:r>
    </w:p>
    <w:p>
      <w:pPr>
        <w:pStyle w:val="Heading1"/>
      </w:pPr>
      <w:r>
        <w:t>1. Project Summary</w:t>
      </w:r>
    </w:p>
    <w:p>
      <w:pPr/>
      <w:r>
        <w:rPr>
          <w:b/>
        </w:rPr>
        <w:t xml:space="preserve">Main question. </w:t>
      </w:r>
      <w:r>
        <w:t>Can a small learned selector choose context separately for each code diff, maintaining a frozen LLM reviewer’s hunk-level quality-assessment accuracy while using fewer input tokens than fixed context choices?</w:t>
      </w:r>
    </w:p>
    <w:p>
      <w:pPr/>
      <w:r>
        <w:rPr>
          <w:b/>
        </w:rPr>
        <w:t xml:space="preserve">Core idea. </w:t>
      </w:r>
      <w:r>
        <w:t>Use ContextCRBench to supply a diff plus four optional kinds of context: issue text, PR text, code before, and code after. Evaluate how a fixed Qwen reviewer responds to different subsets on training data. Fine-tune a compact transformer to predict which chunks are worth their token cost, then compare its choices with strong fixed and simple adaptive baselines on held-out repositories.</w:t>
      </w:r>
    </w:p>
    <w:p>
      <w:pPr/>
      <w:r>
        <w:rPr>
          <w:b/>
        </w:rPr>
        <w:t xml:space="preserve">Positive or negative result. </w:t>
      </w:r>
      <w:r>
        <w:t>A useful positive result matches the best fixed choice within one percentage point of accuracy while using at least 30% fewer extra context tokens, or yields better accuracy at the same average token budget. A negative result means the trained policy does not improve the accuracy-cost curve; we then analyze when context helps or harms review judgments. These are planned criteria, not observed results.</w:t>
      </w:r>
    </w:p>
    <w:p>
      <w:pPr>
        <w:pStyle w:val="Heading1"/>
      </w:pPr>
      <w:r>
        <w:t>2. Motivation and Research Gap</w:t>
      </w:r>
    </w:p>
    <w:p>
      <w:pPr/>
      <w:r>
        <w:t>A diff can be self-contained, or it can require information about intent or nearby code. Sending the same context to every reviewer call can waste tokens and sometimes introduce irrelevant material. A system that predicts context needs before running the reviewer could spend the token budget where it helps.</w:t>
      </w:r>
    </w:p>
    <w:p>
      <w:pPr/>
      <w:r>
        <w:t>ContextCRBench [1] evaluates different fixed combinations of context in code review. CodeReviewer [2] is important prior work on review tasks but does not provide the linked issue and repository context needed for this question. Repoformer [3] learns selective retrieval for code completion, while RECOMP [4] studies selective or compressed external context in other language tasks. We adapt the cost-sensitive selection idea to structured code-review judgments, using a separately trained small model. We will not claim that context selection itself is new; the empirical question is whether per-diff learning beats a well-chosen fixed policy in this setting.</w:t>
      </w:r>
    </w:p>
    <w:p>
      <w:pPr/>
      <w:r>
        <w:t>Professor Semenova’s feedback narrowed the project to the accuracy-cost trade-off, a trainable selector, ContextCRBench, and comparisons to diff-only, all-context, best fixed, random, and similarity-based policies. The earlier robustness study is removed from the core. Transfer to another reviewer is optional.</w:t>
      </w:r>
    </w:p>
    <w:p>
      <w:pPr>
        <w:pStyle w:val="Heading1"/>
      </w:pPr>
      <w:r>
        <w:t>3. Research Questions and Hypotheses</w:t>
      </w:r>
    </w:p>
    <w:p>
      <w:pPr/>
      <w:r>
        <w:rPr>
          <w:b/>
        </w:rPr>
        <w:t xml:space="preserve">RQ1. </w:t>
      </w:r>
      <w:r>
        <w:t>How much do fixed issue, PR, and surrounding-code context choices change Qwen’s benchmark-defined hunk-level quality-assessment accuracy and input-token count?</w:t>
      </w:r>
    </w:p>
    <w:p>
      <w:pPr/>
      <w:r>
        <w:rPr>
          <w:b/>
        </w:rPr>
        <w:t xml:space="preserve">RQ2. </w:t>
      </w:r>
      <w:r>
        <w:t>Can a fine-tuned small transformer choose a subset for each diff that improves the accuracy-cost frontier relative to the best fixed context configuration?</w:t>
      </w:r>
    </w:p>
    <w:p>
      <w:pPr/>
      <w:r>
        <w:rPr>
          <w:b/>
        </w:rPr>
        <w:t xml:space="preserve">RQ3. </w:t>
      </w:r>
      <w:r>
        <w:t>When does context help, do nothing, or turn a correct judgment into an incorrect one, and which examples does the learned selector handle poorly?</w:t>
      </w:r>
    </w:p>
    <w:p>
      <w:pPr/>
      <w:r>
        <w:rPr>
          <w:b/>
        </w:rPr>
        <w:t xml:space="preserve">Stretch question. </w:t>
      </w:r>
      <w:r>
        <w:t>If the core system is complete, do its chosen subsets remain useful for a second frozen reviewer? This is not needed for the main result.</w:t>
      </w:r>
    </w:p>
    <w:p>
      <w:pPr/>
      <w:r>
        <w:t>The working hypothesis is that the usefulness of issue, PR, and surrounding-code context varies among diffs. This must be tested early: if nearly all examples prefer the same subset, the potential value of an adaptive selector will be small.</w:t>
      </w:r>
    </w:p>
    <w:p>
      <w:pPr>
        <w:pStyle w:val="Heading1"/>
      </w:pPr>
      <w:r>
        <w:t>4. Scope and Task Definition</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1584"/>
            <w:vAlign w:val="center"/>
            <w:shd w:fill="DCE6F1"/>
          </w:tcPr>
          <w:p>
            <w:pPr>
              <w:spacing w:after="40"/>
            </w:pPr>
            <w:r>
              <w:rPr>
                <w:b/>
                <w:sz w:val="17"/>
              </w:rPr>
              <w:t>Stage</w:t>
            </w:r>
          </w:p>
        </w:tc>
        <w:tc>
          <w:tcPr>
            <w:tcW w:type="dxa" w:w="6480"/>
            <w:vAlign w:val="center"/>
            <w:shd w:fill="DCE6F1"/>
          </w:tcPr>
          <w:p>
            <w:pPr>
              <w:spacing w:after="40"/>
            </w:pPr>
            <w:r>
              <w:rPr>
                <w:b/>
                <w:sz w:val="17"/>
              </w:rPr>
              <w:t>Task</w:t>
            </w:r>
          </w:p>
        </w:tc>
        <w:tc>
          <w:tcPr>
            <w:tcW w:type="dxa" w:w="2448"/>
            <w:vAlign w:val="center"/>
            <w:shd w:fill="DCE6F1"/>
          </w:tcPr>
          <w:p>
            <w:pPr>
              <w:spacing w:after="40"/>
            </w:pPr>
            <w:r>
              <w:rPr>
                <w:b/>
                <w:sz w:val="17"/>
              </w:rPr>
              <w:t>Status</w:t>
            </w:r>
          </w:p>
        </w:tc>
      </w:tr>
      <w:tr>
        <w:trPr>
          <w:cantSplit/>
        </w:trPr>
        <w:tc>
          <w:tcPr>
            <w:tcW w:type="dxa" w:w="1584"/>
            <w:vAlign w:val="center"/>
          </w:tcPr>
          <w:p>
            <w:pPr>
              <w:spacing w:after="40"/>
            </w:pPr>
            <w:r>
              <w:rPr>
                <w:sz w:val="17"/>
              </w:rPr>
              <w:t>Core</w:t>
            </w:r>
          </w:p>
        </w:tc>
        <w:tc>
          <w:tcPr>
            <w:tcW w:type="dxa" w:w="6480"/>
            <w:vAlign w:val="center"/>
          </w:tcPr>
          <w:p>
            <w:pPr>
              <w:spacing w:after="40"/>
            </w:pPr>
            <w:r>
              <w:rPr>
                <w:sz w:val="17"/>
              </w:rPr>
              <w:t>Hunk-level quality assessment using the benchmark-defined label</w:t>
            </w:r>
          </w:p>
        </w:tc>
        <w:tc>
          <w:tcPr>
            <w:tcW w:type="dxa" w:w="2448"/>
            <w:vAlign w:val="center"/>
          </w:tcPr>
          <w:p>
            <w:pPr>
              <w:spacing w:after="40"/>
            </w:pPr>
            <w:r>
              <w:rPr>
                <w:sz w:val="17"/>
              </w:rPr>
              <w:t>Primary measurable task</w:t>
            </w:r>
          </w:p>
        </w:tc>
      </w:tr>
      <w:tr>
        <w:trPr>
          <w:cantSplit/>
        </w:trPr>
        <w:tc>
          <w:tcPr>
            <w:tcW w:type="dxa" w:w="1584"/>
            <w:vAlign w:val="center"/>
          </w:tcPr>
          <w:p>
            <w:pPr>
              <w:spacing w:after="40"/>
            </w:pPr>
            <w:r>
              <w:rPr>
                <w:sz w:val="17"/>
              </w:rPr>
              <w:t>Analysis</w:t>
            </w:r>
          </w:p>
        </w:tc>
        <w:tc>
          <w:tcPr>
            <w:tcW w:type="dxa" w:w="6480"/>
            <w:vAlign w:val="center"/>
          </w:tcPr>
          <w:p>
            <w:pPr>
              <w:spacing w:after="40"/>
            </w:pPr>
            <w:r>
              <w:rPr>
                <w:sz w:val="17"/>
              </w:rPr>
              <w:t>Which context types help or hurt, including subgroup errors</w:t>
            </w:r>
          </w:p>
        </w:tc>
        <w:tc>
          <w:tcPr>
            <w:tcW w:type="dxa" w:w="2448"/>
            <w:vAlign w:val="center"/>
          </w:tcPr>
          <w:p>
            <w:pPr>
              <w:spacing w:after="40"/>
            </w:pPr>
            <w:r>
              <w:rPr>
                <w:sz w:val="17"/>
              </w:rPr>
              <w:t>Required even if learning fails</w:t>
            </w:r>
          </w:p>
        </w:tc>
      </w:tr>
      <w:tr>
        <w:trPr>
          <w:cantSplit/>
        </w:trPr>
        <w:tc>
          <w:tcPr>
            <w:tcW w:type="dxa" w:w="1584"/>
            <w:vAlign w:val="center"/>
          </w:tcPr>
          <w:p>
            <w:pPr>
              <w:spacing w:after="40"/>
            </w:pPr>
            <w:r>
              <w:rPr>
                <w:sz w:val="17"/>
              </w:rPr>
              <w:t>Later extension</w:t>
            </w:r>
          </w:p>
        </w:tc>
        <w:tc>
          <w:tcPr>
            <w:tcW w:type="dxa" w:w="6480"/>
            <w:vAlign w:val="center"/>
          </w:tcPr>
          <w:p>
            <w:pPr>
              <w:spacing w:after="40"/>
            </w:pPr>
            <w:r>
              <w:rPr>
                <w:sz w:val="17"/>
              </w:rPr>
              <w:t>Line-level defect localization or another frozen reviewer</w:t>
            </w:r>
          </w:p>
        </w:tc>
        <w:tc>
          <w:tcPr>
            <w:tcW w:type="dxa" w:w="2448"/>
            <w:vAlign w:val="center"/>
          </w:tcPr>
          <w:p>
            <w:pPr>
              <w:spacing w:after="40"/>
            </w:pPr>
            <w:r>
              <w:rPr>
                <w:sz w:val="17"/>
              </w:rPr>
              <w:t>Only if core results and compute allow</w:t>
            </w:r>
          </w:p>
        </w:tc>
      </w:tr>
    </w:tbl>
    <w:p/>
    <w:p>
      <w:pPr/>
      <w:r>
        <w:t>The core reviewer produces a short structured judgment using the diff and selected optional fields. The quality label is the benchmark’s evaluation target; it is not automatically a verified statement that a code change has a real defect. We will read the paper’s construction details and inspect samples before deciding exactly how to verbalize its two labels. We will not use generated review-comment quality as the core metric, because scoring free-form comments reliably would add another research problem.</w:t>
      </w:r>
    </w:p>
    <w:p>
      <w:pPr>
        <w:pStyle w:val="Heading1"/>
      </w:pPr>
      <w:r>
        <w:t>5. Dataset and Prerequisite Audit</w:t>
      </w:r>
    </w:p>
    <w:p>
      <w:pPr/>
      <w:r>
        <w:t>ContextCRBench reports 67,910 context-enriched entries [1]. Its released schema includes diff_hunk, issue_title/body, pr_title/body, snippet_before, snippet_after, merge status, and review information. We plan to use the first five kinds of input (counting the diff) and keep outcome-related fields out of prompts. The dataset is publicly accessible, but we have not yet confirmed a successful local download, field completeness, or usable sample counts after cleaning.</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2376"/>
            <w:vAlign w:val="center"/>
            <w:shd w:fill="DCE6F1"/>
          </w:tcPr>
          <w:p>
            <w:pPr>
              <w:spacing w:after="40"/>
            </w:pPr>
            <w:r>
              <w:rPr>
                <w:b/>
                <w:sz w:val="17"/>
              </w:rPr>
              <w:t>Input field</w:t>
            </w:r>
          </w:p>
        </w:tc>
        <w:tc>
          <w:tcPr>
            <w:tcW w:type="dxa" w:w="3096"/>
            <w:vAlign w:val="center"/>
            <w:shd w:fill="DCE6F1"/>
          </w:tcPr>
          <w:p>
            <w:pPr>
              <w:spacing w:after="40"/>
            </w:pPr>
            <w:r>
              <w:rPr>
                <w:b/>
                <w:sz w:val="17"/>
              </w:rPr>
              <w:t>Candidate chunk</w:t>
            </w:r>
          </w:p>
        </w:tc>
        <w:tc>
          <w:tcPr>
            <w:tcW w:type="dxa" w:w="5040"/>
            <w:vAlign w:val="center"/>
            <w:shd w:fill="DCE6F1"/>
          </w:tcPr>
          <w:p>
            <w:pPr>
              <w:spacing w:after="40"/>
            </w:pPr>
            <w:r>
              <w:rPr>
                <w:b/>
                <w:sz w:val="17"/>
              </w:rPr>
              <w:t>Guardrail</w:t>
            </w:r>
          </w:p>
        </w:tc>
      </w:tr>
      <w:tr>
        <w:trPr>
          <w:cantSplit/>
        </w:trPr>
        <w:tc>
          <w:tcPr>
            <w:tcW w:type="dxa" w:w="2376"/>
            <w:vAlign w:val="center"/>
          </w:tcPr>
          <w:p>
            <w:pPr>
              <w:spacing w:after="40"/>
            </w:pPr>
            <w:r>
              <w:rPr>
                <w:sz w:val="17"/>
              </w:rPr>
              <w:t>diff_hunk</w:t>
            </w:r>
          </w:p>
        </w:tc>
        <w:tc>
          <w:tcPr>
            <w:tcW w:type="dxa" w:w="3096"/>
            <w:vAlign w:val="center"/>
          </w:tcPr>
          <w:p>
            <w:pPr>
              <w:spacing w:after="40"/>
            </w:pPr>
            <w:r>
              <w:rPr>
                <w:sz w:val="17"/>
              </w:rPr>
              <w:t>Always present</w:t>
            </w:r>
          </w:p>
        </w:tc>
        <w:tc>
          <w:tcPr>
            <w:tcW w:type="dxa" w:w="5040"/>
            <w:vAlign w:val="center"/>
          </w:tcPr>
          <w:p>
            <w:pPr>
              <w:spacing w:after="40"/>
            </w:pPr>
            <w:r>
              <w:rPr>
                <w:sz w:val="17"/>
              </w:rPr>
              <w:t>Fix a common truncation and prompt rule</w:t>
            </w:r>
          </w:p>
        </w:tc>
      </w:tr>
      <w:tr>
        <w:trPr>
          <w:cantSplit/>
        </w:trPr>
        <w:tc>
          <w:tcPr>
            <w:tcW w:type="dxa" w:w="2376"/>
            <w:vAlign w:val="center"/>
          </w:tcPr>
          <w:p>
            <w:pPr>
              <w:spacing w:after="40"/>
            </w:pPr>
            <w:r>
              <w:rPr>
                <w:sz w:val="17"/>
              </w:rPr>
              <w:t>issue_title + issue_body</w:t>
            </w:r>
          </w:p>
        </w:tc>
        <w:tc>
          <w:tcPr>
            <w:tcW w:type="dxa" w:w="3096"/>
            <w:vAlign w:val="center"/>
          </w:tcPr>
          <w:p>
            <w:pPr>
              <w:spacing w:after="40"/>
            </w:pPr>
            <w:r>
              <w:rPr>
                <w:sz w:val="17"/>
              </w:rPr>
              <w:t>Optional issue text</w:t>
            </w:r>
          </w:p>
        </w:tc>
        <w:tc>
          <w:tcPr>
            <w:tcW w:type="dxa" w:w="5040"/>
            <w:vAlign w:val="center"/>
          </w:tcPr>
          <w:p>
            <w:pPr>
              <w:spacing w:after="40"/>
            </w:pPr>
            <w:r>
              <w:rPr>
                <w:sz w:val="17"/>
              </w:rPr>
              <w:t>Check availability before the review event</w:t>
            </w:r>
          </w:p>
        </w:tc>
      </w:tr>
      <w:tr>
        <w:trPr>
          <w:cantSplit/>
        </w:trPr>
        <w:tc>
          <w:tcPr>
            <w:tcW w:type="dxa" w:w="2376"/>
            <w:vAlign w:val="center"/>
          </w:tcPr>
          <w:p>
            <w:pPr>
              <w:spacing w:after="40"/>
            </w:pPr>
            <w:r>
              <w:rPr>
                <w:sz w:val="17"/>
              </w:rPr>
              <w:t>pr_title + pr_body</w:t>
            </w:r>
          </w:p>
        </w:tc>
        <w:tc>
          <w:tcPr>
            <w:tcW w:type="dxa" w:w="3096"/>
            <w:vAlign w:val="center"/>
          </w:tcPr>
          <w:p>
            <w:pPr>
              <w:spacing w:after="40"/>
            </w:pPr>
            <w:r>
              <w:rPr>
                <w:sz w:val="17"/>
              </w:rPr>
              <w:t>Optional PR text</w:t>
            </w:r>
          </w:p>
        </w:tc>
        <w:tc>
          <w:tcPr>
            <w:tcW w:type="dxa" w:w="5040"/>
            <w:vAlign w:val="center"/>
          </w:tcPr>
          <w:p>
            <w:pPr>
              <w:spacing w:after="40"/>
            </w:pPr>
            <w:r>
              <w:rPr>
                <w:sz w:val="17"/>
              </w:rPr>
              <w:t>Exclude text added after the relevant review</w:t>
            </w:r>
          </w:p>
        </w:tc>
      </w:tr>
      <w:tr>
        <w:trPr>
          <w:cantSplit/>
        </w:trPr>
        <w:tc>
          <w:tcPr>
            <w:tcW w:type="dxa" w:w="2376"/>
            <w:vAlign w:val="center"/>
          </w:tcPr>
          <w:p>
            <w:pPr>
              <w:spacing w:after="40"/>
            </w:pPr>
            <w:r>
              <w:rPr>
                <w:sz w:val="17"/>
              </w:rPr>
              <w:t>snippet_before</w:t>
            </w:r>
          </w:p>
        </w:tc>
        <w:tc>
          <w:tcPr>
            <w:tcW w:type="dxa" w:w="3096"/>
            <w:vAlign w:val="center"/>
          </w:tcPr>
          <w:p>
            <w:pPr>
              <w:spacing w:after="40"/>
            </w:pPr>
            <w:r>
              <w:rPr>
                <w:sz w:val="17"/>
              </w:rPr>
              <w:t>Optional code before</w:t>
            </w:r>
          </w:p>
        </w:tc>
        <w:tc>
          <w:tcPr>
            <w:tcW w:type="dxa" w:w="5040"/>
            <w:vAlign w:val="center"/>
          </w:tcPr>
          <w:p>
            <w:pPr>
              <w:spacing w:after="40"/>
            </w:pPr>
            <w:r>
              <w:rPr>
                <w:sz w:val="17"/>
              </w:rPr>
              <w:t>Remove target annotations; cap length</w:t>
            </w:r>
          </w:p>
        </w:tc>
      </w:tr>
      <w:tr>
        <w:trPr>
          <w:cantSplit/>
        </w:trPr>
        <w:tc>
          <w:tcPr>
            <w:tcW w:type="dxa" w:w="2376"/>
            <w:vAlign w:val="center"/>
          </w:tcPr>
          <w:p>
            <w:pPr>
              <w:spacing w:after="40"/>
            </w:pPr>
            <w:r>
              <w:rPr>
                <w:sz w:val="17"/>
              </w:rPr>
              <w:t>snippet_after</w:t>
            </w:r>
          </w:p>
        </w:tc>
        <w:tc>
          <w:tcPr>
            <w:tcW w:type="dxa" w:w="3096"/>
            <w:vAlign w:val="center"/>
          </w:tcPr>
          <w:p>
            <w:pPr>
              <w:spacing w:after="40"/>
            </w:pPr>
            <w:r>
              <w:rPr>
                <w:sz w:val="17"/>
              </w:rPr>
              <w:t>Optional code after</w:t>
            </w:r>
          </w:p>
        </w:tc>
        <w:tc>
          <w:tcPr>
            <w:tcW w:type="dxa" w:w="5040"/>
            <w:vAlign w:val="center"/>
          </w:tcPr>
          <w:p>
            <w:pPr>
              <w:spacing w:after="40"/>
            </w:pPr>
            <w:r>
              <w:rPr>
                <w:sz w:val="17"/>
              </w:rPr>
              <w:t>Remove target annotations; cap length</w:t>
            </w:r>
          </w:p>
        </w:tc>
      </w:tr>
    </w:tbl>
    <w:p/>
    <w:p>
      <w:pPr/>
      <w:r>
        <w:t>Audit 100-200 representative examples for label balance, programming languages, missing context, duplicate PRs, exceptionally long text, chronology, and cases where the review answer is quoted in a context field. Keep all hunks of one PR together. Document the count remaining after each filter. Missing chunks are unavailable rather than silently represented as selected empty context. The current plan has at most four optional chunks and 16 possible subsets, but real samples may offer fewer.</w:t>
      </w:r>
    </w:p>
    <w:p>
      <w:pPr/>
      <w:r>
        <w:t>The most serious validity issue is whether merge status or an annotation-based label is an adequate proxy for quality. A merged PR can contain a defect, and an unmerged PR can be rejected for reasons unrelated to code. We will describe the result as accuracy on benchmark-defined quality assessment, inspect a small set manually, and avoid calling that score real-world defect-detection accuracy.</w:t>
      </w:r>
    </w:p>
    <w:p>
      <w:pPr>
        <w:pStyle w:val="Heading1"/>
      </w:pPr>
      <w:r>
        <w:t>6. Model and Compute Strategy</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2088"/>
            <w:vAlign w:val="center"/>
            <w:shd w:fill="DCE6F1"/>
          </w:tcPr>
          <w:p>
            <w:pPr>
              <w:spacing w:after="40"/>
            </w:pPr>
            <w:r>
              <w:rPr>
                <w:b/>
                <w:sz w:val="17"/>
              </w:rPr>
              <w:t>Component</w:t>
            </w:r>
          </w:p>
        </w:tc>
        <w:tc>
          <w:tcPr>
            <w:tcW w:type="dxa" w:w="4032"/>
            <w:vAlign w:val="center"/>
            <w:shd w:fill="DCE6F1"/>
          </w:tcPr>
          <w:p>
            <w:pPr>
              <w:spacing w:after="40"/>
            </w:pPr>
            <w:r>
              <w:rPr>
                <w:b/>
                <w:sz w:val="17"/>
              </w:rPr>
              <w:t>Proposed model or resource</w:t>
            </w:r>
          </w:p>
        </w:tc>
        <w:tc>
          <w:tcPr>
            <w:tcW w:type="dxa" w:w="4392"/>
            <w:vAlign w:val="center"/>
            <w:shd w:fill="DCE6F1"/>
          </w:tcPr>
          <w:p>
            <w:pPr>
              <w:spacing w:after="40"/>
            </w:pPr>
            <w:r>
              <w:rPr>
                <w:b/>
                <w:sz w:val="17"/>
              </w:rPr>
              <w:t>Role</w:t>
            </w:r>
          </w:p>
        </w:tc>
      </w:tr>
      <w:tr>
        <w:trPr>
          <w:cantSplit/>
        </w:trPr>
        <w:tc>
          <w:tcPr>
            <w:tcW w:type="dxa" w:w="2088"/>
            <w:vAlign w:val="center"/>
          </w:tcPr>
          <w:p>
            <w:pPr>
              <w:spacing w:after="40"/>
            </w:pPr>
            <w:r>
              <w:rPr>
                <w:sz w:val="17"/>
              </w:rPr>
              <w:t>Frozen reviewer</w:t>
            </w:r>
          </w:p>
        </w:tc>
        <w:tc>
          <w:tcPr>
            <w:tcW w:type="dxa" w:w="4032"/>
            <w:vAlign w:val="center"/>
          </w:tcPr>
          <w:p>
            <w:pPr>
              <w:spacing w:after="40"/>
            </w:pPr>
            <w:r>
              <w:rPr>
                <w:sz w:val="17"/>
              </w:rPr>
              <w:t>Qwen2.5-Coder-7B-Instruct, quantized</w:t>
            </w:r>
          </w:p>
        </w:tc>
        <w:tc>
          <w:tcPr>
            <w:tcW w:type="dxa" w:w="4392"/>
            <w:vAlign w:val="center"/>
          </w:tcPr>
          <w:p>
            <w:pPr>
              <w:spacing w:after="40"/>
            </w:pPr>
            <w:r>
              <w:rPr>
                <w:sz w:val="17"/>
              </w:rPr>
              <w:t>Primary judgment model; no reviewer fine-tuning</w:t>
            </w:r>
          </w:p>
        </w:tc>
      </w:tr>
      <w:tr>
        <w:trPr>
          <w:cantSplit/>
        </w:trPr>
        <w:tc>
          <w:tcPr>
            <w:tcW w:type="dxa" w:w="2088"/>
            <w:vAlign w:val="center"/>
          </w:tcPr>
          <w:p>
            <w:pPr>
              <w:spacing w:after="40"/>
            </w:pPr>
            <w:r>
              <w:rPr>
                <w:sz w:val="17"/>
              </w:rPr>
              <w:t>Fallback reviewer</w:t>
            </w:r>
          </w:p>
        </w:tc>
        <w:tc>
          <w:tcPr>
            <w:tcW w:type="dxa" w:w="4032"/>
            <w:vAlign w:val="center"/>
          </w:tcPr>
          <w:p>
            <w:pPr>
              <w:spacing w:after="40"/>
            </w:pPr>
            <w:r>
              <w:rPr>
                <w:sz w:val="17"/>
              </w:rPr>
              <w:t>Qwen2.5-Coder-3B-Instruct, quantized</w:t>
            </w:r>
          </w:p>
        </w:tc>
        <w:tc>
          <w:tcPr>
            <w:tcW w:type="dxa" w:w="4392"/>
            <w:vAlign w:val="center"/>
          </w:tcPr>
          <w:p>
            <w:pPr>
              <w:spacing w:after="40"/>
            </w:pPr>
            <w:r>
              <w:rPr>
                <w:sz w:val="17"/>
              </w:rPr>
              <w:t>Lower-memory or faster pilot if needed</w:t>
            </w:r>
          </w:p>
        </w:tc>
      </w:tr>
      <w:tr>
        <w:trPr>
          <w:cantSplit/>
        </w:trPr>
        <w:tc>
          <w:tcPr>
            <w:tcW w:type="dxa" w:w="2088"/>
            <w:vAlign w:val="center"/>
          </w:tcPr>
          <w:p>
            <w:pPr>
              <w:spacing w:after="40"/>
            </w:pPr>
            <w:r>
              <w:rPr>
                <w:sz w:val="17"/>
              </w:rPr>
              <w:t>Trainable selector</w:t>
            </w:r>
          </w:p>
        </w:tc>
        <w:tc>
          <w:tcPr>
            <w:tcW w:type="dxa" w:w="4032"/>
            <w:vAlign w:val="center"/>
          </w:tcPr>
          <w:p>
            <w:pPr>
              <w:spacing w:after="40"/>
            </w:pPr>
            <w:r>
              <w:rPr>
                <w:sz w:val="17"/>
              </w:rPr>
              <w:t>CodeBERT-style compact encoder</w:t>
            </w:r>
          </w:p>
        </w:tc>
        <w:tc>
          <w:tcPr>
            <w:tcW w:type="dxa" w:w="4392"/>
            <w:vAlign w:val="center"/>
          </w:tcPr>
          <w:p>
            <w:pPr>
              <w:spacing w:after="40"/>
            </w:pPr>
            <w:r>
              <w:rPr>
                <w:sz w:val="17"/>
              </w:rPr>
              <w:t>Score diff-context pairs; choose under budget</w:t>
            </w:r>
          </w:p>
        </w:tc>
      </w:tr>
      <w:tr>
        <w:trPr>
          <w:cantSplit/>
        </w:trPr>
        <w:tc>
          <w:tcPr>
            <w:tcW w:type="dxa" w:w="2088"/>
            <w:vAlign w:val="center"/>
          </w:tcPr>
          <w:p>
            <w:pPr>
              <w:spacing w:after="40"/>
            </w:pPr>
            <w:r>
              <w:rPr>
                <w:sz w:val="17"/>
              </w:rPr>
              <w:t>Local compute</w:t>
            </w:r>
          </w:p>
        </w:tc>
        <w:tc>
          <w:tcPr>
            <w:tcW w:type="dxa" w:w="4032"/>
            <w:vAlign w:val="center"/>
          </w:tcPr>
          <w:p>
            <w:pPr>
              <w:spacing w:after="40"/>
            </w:pPr>
            <w:r>
              <w:rPr>
                <w:sz w:val="17"/>
              </w:rPr>
              <w:t>RTX 5070 Ti, 16 GB VRAM</w:t>
            </w:r>
          </w:p>
        </w:tc>
        <w:tc>
          <w:tcPr>
            <w:tcW w:type="dxa" w:w="4392"/>
            <w:vAlign w:val="center"/>
          </w:tcPr>
          <w:p>
            <w:pPr>
              <w:spacing w:after="40"/>
            </w:pPr>
            <w:r>
              <w:rPr>
                <w:sz w:val="17"/>
              </w:rPr>
              <w:t>Currently accessible to the team</w:t>
            </w:r>
          </w:p>
        </w:tc>
      </w:tr>
      <w:tr>
        <w:trPr>
          <w:cantSplit/>
        </w:trPr>
        <w:tc>
          <w:tcPr>
            <w:tcW w:type="dxa" w:w="2088"/>
            <w:vAlign w:val="center"/>
          </w:tcPr>
          <w:p>
            <w:pPr>
              <w:spacing w:after="40"/>
            </w:pPr>
            <w:r>
              <w:rPr>
                <w:sz w:val="17"/>
              </w:rPr>
              <w:t>Optional rental</w:t>
            </w:r>
          </w:p>
        </w:tc>
        <w:tc>
          <w:tcPr>
            <w:tcW w:type="dxa" w:w="4032"/>
            <w:vAlign w:val="center"/>
          </w:tcPr>
          <w:p>
            <w:pPr>
              <w:spacing w:after="40"/>
            </w:pPr>
            <w:r>
              <w:rPr>
                <w:sz w:val="17"/>
              </w:rPr>
              <w:t>Single larger GPU, price checked when needed</w:t>
            </w:r>
          </w:p>
        </w:tc>
        <w:tc>
          <w:tcPr>
            <w:tcW w:type="dxa" w:w="4392"/>
            <w:vAlign w:val="center"/>
          </w:tcPr>
          <w:p>
            <w:pPr>
              <w:spacing w:after="40"/>
            </w:pPr>
            <w:r>
              <w:rPr>
                <w:sz w:val="17"/>
              </w:rPr>
              <w:t>Only after measured pilot throughput</w:t>
            </w:r>
          </w:p>
        </w:tc>
      </w:tr>
    </w:tbl>
    <w:p/>
    <w:p>
      <w:pPr/>
      <w:r>
        <w:t>The 7B reviewer is frozen throughout the central comparison so any difference among policies comes from their context choices. Start at a practical context cap and batch size one; record actual peak VRAM and tokens per second. The selector is far smaller than Qwen and can be fine-tuned separately. We should not spend the initial budget on LoRA or full fine-tuning of Qwen: the professor’s requested deep-learning contribution is the context selector itself.</w:t>
      </w:r>
    </w:p>
    <w:p>
      <w:pPr/>
      <w:r>
        <w:t>A full 16-subset sweep on 200 diffs needs 3,200 Qwen calls; on 2,000 diffs it needs 32,000. These counts do not imply known runtimes. Benchmark prompts of different lengths on the real machine, estimate end-to-end GPU hours, and set a feasible training sample size before expanding. Cache every result keyed by data record, subset, model version, prompt version, quantization, and decoding settings.</w:t>
      </w:r>
    </w:p>
    <w:p>
      <w:pPr>
        <w:pStyle w:val="Heading1"/>
      </w:pPr>
      <w:r>
        <w:t>7. Phase 1: Fixed Reviewer and Dataset Pilot</w:t>
      </w:r>
    </w:p>
    <w:p>
      <w:pPr/>
      <w:r>
        <w:t>Implement a single prompt asking Qwen for a short constrained judgment. Keep output format, parsing, decoding, and output-token limit the same across all subset choices. Use deterministic decoding for the main experiment. Record malformed outputs and a fixed rule for handling them; do not silently drop difficult examples. Start with diff-only, all-context, and several fixed choices on 100-200 audited diffs. This measures whether the reviewer is above trivial baselines and whether context changes decisions enough to motivate selection.</w:t>
      </w:r>
    </w:p>
    <w:p>
      <w:pPr>
        <w:pStyle w:val="CompactBullet"/>
      </w:pPr>
      <w:r>
        <w:t>• Pilot outputs: accuracy, macro-F1, class counts, parse failures, mean input/output tokens, latency distribution, peak VRAM, and examples whose result changes with context.</w:t>
      </w:r>
    </w:p>
    <w:p>
      <w:pPr>
        <w:pStyle w:val="CompactBullet"/>
      </w:pPr>
      <w:r>
        <w:t>• Go/no-go decision: proceed with label generation if the task mapping is sound and contextual choices have meaningful variation; otherwise resolve labels, prompts, or sample selection first.</w:t>
      </w:r>
    </w:p>
    <w:p>
      <w:pPr>
        <w:pStyle w:val="Heading1"/>
      </w:pPr>
      <w:r>
        <w:t>8. Phase 2: Offline Outcomes and Training Labels</w:t>
      </w:r>
    </w:p>
    <w:p>
      <w:pPr/>
      <w:r>
        <w:t>For each training diff x and available subset S, the cached reviewer outcome is f(x,S), with benchmark label y and extra input token cost t(x,S). On a limited subset, evaluate all possible context masks. For a larger sample, compare that complete reference with a greedy leave-one-out search or a sampled mask strategy. The latter reduces calls but can miss interactions, so report the number of subsets evaluated per diff.</w:t>
      </w:r>
    </w:p>
    <w:p>
      <w:pPr/>
      <w:r>
        <w:t>One working utility is U(x,S) = 1[f(x,S) = y] - lambda × t(x,S)/B, where B is a reference budget and lambda controls the token penalty. The utility is a training construction rather than the sole reported result. Preserve every evaluated subset and its judgment; several combinations may have the same utility or accuracy, and the cheapest correct combination may change with small token-count differences. A multi-target ranking loss can use this richer information.</w:t>
      </w:r>
    </w:p>
    <w:p>
      <w:pPr/>
      <w:r>
        <w:t>Gold labels may be used to make offline training targets on training repositories. They are never supplied to the selector at inference. A greedy search that uses the gold label on test examples would be an oracle upper reference, not a fair deployable competitor. If we report it, label it explicitly and include its many reviewer calls.</w:t>
      </w:r>
    </w:p>
    <w:p>
      <w:pPr>
        <w:pStyle w:val="Heading1"/>
      </w:pPr>
      <w:r>
        <w:t>9. Phase 3: Learned Context Selector</w:t>
      </w:r>
    </w:p>
    <w:p>
      <w:pPr/>
      <w:r>
        <w:t>The first architecture is a fine-tuned compact cross-encoder scoring each (diff, candidate context chunk) pair. Input fields are tagged by type, and each chunk is truncated consistently so the pair fits the selector’s context window. A small chooser ranks chunks by predicted utility and includes those that fit a token budget. Selecting no extra context is a valid decision. The selector runs before one frozen reviewer call and sees neither the benchmark answer nor Qwen’s answer for that test example.</w:t>
      </w:r>
    </w:p>
    <w:p>
      <w:pPr/>
      <w:r>
        <w:t>Independent chunk scores may fail when issue and code context are helpful only together. As a small-scale ablation, train a 16-mask classifier/reranker or add pair-interaction features on the audited four-chunk setting. Compare both against the same validation split. Keep the initial architecture simple enough that training and selection cost remain much smaller than the context tokens they save.</w:t>
      </w:r>
    </w:p>
    <w:p>
      <w:pPr/>
      <w:r>
        <w:t>For code snippets, retain the changed hunk and nearby lines if truncation is required. For natural language, retain a documented title plus bounded body rule. The same truncation is applied in training, validation, and test; we will record how often a field is cut and whether the truncation itself explains failures.</w:t>
      </w:r>
    </w:p>
    <w:p>
      <w:pPr>
        <w:pStyle w:val="Heading1"/>
      </w:pPr>
      <w:r>
        <w:t>10. Evaluation Metrics and Accuracy-Cost Frontier</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2088"/>
            <w:vAlign w:val="center"/>
            <w:shd w:fill="DCE6F1"/>
          </w:tcPr>
          <w:p>
            <w:pPr>
              <w:spacing w:after="40"/>
            </w:pPr>
            <w:r>
              <w:rPr>
                <w:b/>
                <w:sz w:val="17"/>
              </w:rPr>
              <w:t>Metric</w:t>
            </w:r>
          </w:p>
        </w:tc>
        <w:tc>
          <w:tcPr>
            <w:tcW w:type="dxa" w:w="5472"/>
            <w:vAlign w:val="center"/>
            <w:shd w:fill="DCE6F1"/>
          </w:tcPr>
          <w:p>
            <w:pPr>
              <w:spacing w:after="40"/>
            </w:pPr>
            <w:r>
              <w:rPr>
                <w:b/>
                <w:sz w:val="17"/>
              </w:rPr>
              <w:t>Definition or reporting rule</w:t>
            </w:r>
          </w:p>
        </w:tc>
        <w:tc>
          <w:tcPr>
            <w:tcW w:type="dxa" w:w="2952"/>
            <w:vAlign w:val="center"/>
            <w:shd w:fill="DCE6F1"/>
          </w:tcPr>
          <w:p>
            <w:pPr>
              <w:spacing w:after="40"/>
            </w:pPr>
            <w:r>
              <w:rPr>
                <w:b/>
                <w:sz w:val="17"/>
              </w:rPr>
              <w:t>Purpose</w:t>
            </w:r>
          </w:p>
        </w:tc>
      </w:tr>
      <w:tr>
        <w:trPr>
          <w:cantSplit/>
        </w:trPr>
        <w:tc>
          <w:tcPr>
            <w:tcW w:type="dxa" w:w="2088"/>
            <w:vAlign w:val="center"/>
          </w:tcPr>
          <w:p>
            <w:pPr>
              <w:spacing w:after="40"/>
            </w:pPr>
            <w:r>
              <w:rPr>
                <w:sz w:val="17"/>
              </w:rPr>
              <w:t>Accuracy / macro-F1</w:t>
            </w:r>
          </w:p>
        </w:tc>
        <w:tc>
          <w:tcPr>
            <w:tcW w:type="dxa" w:w="5472"/>
            <w:vAlign w:val="center"/>
          </w:tcPr>
          <w:p>
            <w:pPr>
              <w:spacing w:after="40"/>
            </w:pPr>
            <w:r>
              <w:rPr>
                <w:sz w:val="17"/>
              </w:rPr>
              <w:t>Benchmark judgments on held-out diffs</w:t>
            </w:r>
          </w:p>
        </w:tc>
        <w:tc>
          <w:tcPr>
            <w:tcW w:type="dxa" w:w="2952"/>
            <w:vAlign w:val="center"/>
          </w:tcPr>
          <w:p>
            <w:pPr>
              <w:spacing w:after="40"/>
            </w:pPr>
            <w:r>
              <w:rPr>
                <w:sz w:val="17"/>
              </w:rPr>
              <w:t>Quality across classes</w:t>
            </w:r>
          </w:p>
        </w:tc>
      </w:tr>
      <w:tr>
        <w:trPr>
          <w:cantSplit/>
        </w:trPr>
        <w:tc>
          <w:tcPr>
            <w:tcW w:type="dxa" w:w="2088"/>
            <w:vAlign w:val="center"/>
          </w:tcPr>
          <w:p>
            <w:pPr>
              <w:spacing w:after="40"/>
            </w:pPr>
            <w:r>
              <w:rPr>
                <w:sz w:val="17"/>
              </w:rPr>
              <w:t>Mean extra input tokens</w:t>
            </w:r>
          </w:p>
        </w:tc>
        <w:tc>
          <w:tcPr>
            <w:tcW w:type="dxa" w:w="5472"/>
            <w:vAlign w:val="center"/>
          </w:tcPr>
          <w:p>
            <w:pPr>
              <w:spacing w:after="40"/>
            </w:pPr>
            <w:r>
              <w:rPr>
                <w:sz w:val="17"/>
              </w:rPr>
              <w:t>Optional context only, excluding shared diff/prompt</w:t>
            </w:r>
          </w:p>
        </w:tc>
        <w:tc>
          <w:tcPr>
            <w:tcW w:type="dxa" w:w="2952"/>
            <w:vAlign w:val="center"/>
          </w:tcPr>
          <w:p>
            <w:pPr>
              <w:spacing w:after="40"/>
            </w:pPr>
            <w:r>
              <w:rPr>
                <w:sz w:val="17"/>
              </w:rPr>
              <w:t>Primary context cost</w:t>
            </w:r>
          </w:p>
        </w:tc>
      </w:tr>
      <w:tr>
        <w:trPr>
          <w:cantSplit/>
        </w:trPr>
        <w:tc>
          <w:tcPr>
            <w:tcW w:type="dxa" w:w="2088"/>
            <w:vAlign w:val="center"/>
          </w:tcPr>
          <w:p>
            <w:pPr>
              <w:spacing w:after="40"/>
            </w:pPr>
            <w:r>
              <w:rPr>
                <w:sz w:val="17"/>
              </w:rPr>
              <w:t>Matched-budget accuracy</w:t>
            </w:r>
          </w:p>
        </w:tc>
        <w:tc>
          <w:tcPr>
            <w:tcW w:type="dxa" w:w="5472"/>
            <w:vAlign w:val="center"/>
          </w:tcPr>
          <w:p>
            <w:pPr>
              <w:spacing w:after="40"/>
            </w:pPr>
            <w:r>
              <w:rPr>
                <w:sz w:val="17"/>
              </w:rPr>
              <w:t>Accuracy at comparable average extra-token budgets</w:t>
            </w:r>
          </w:p>
        </w:tc>
        <w:tc>
          <w:tcPr>
            <w:tcW w:type="dxa" w:w="2952"/>
            <w:vAlign w:val="center"/>
          </w:tcPr>
          <w:p>
            <w:pPr>
              <w:spacing w:after="40"/>
            </w:pPr>
            <w:r>
              <w:rPr>
                <w:sz w:val="17"/>
              </w:rPr>
              <w:t>Fair selector vs fixed comparison</w:t>
            </w:r>
          </w:p>
        </w:tc>
      </w:tr>
      <w:tr>
        <w:trPr>
          <w:cantSplit/>
        </w:trPr>
        <w:tc>
          <w:tcPr>
            <w:tcW w:type="dxa" w:w="2088"/>
            <w:vAlign w:val="center"/>
          </w:tcPr>
          <w:p>
            <w:pPr>
              <w:spacing w:after="40"/>
            </w:pPr>
            <w:r>
              <w:rPr>
                <w:sz w:val="17"/>
              </w:rPr>
              <w:t>Latency and total tokens</w:t>
            </w:r>
          </w:p>
        </w:tc>
        <w:tc>
          <w:tcPr>
            <w:tcW w:type="dxa" w:w="5472"/>
            <w:vAlign w:val="center"/>
          </w:tcPr>
          <w:p>
            <w:pPr>
              <w:spacing w:after="40"/>
            </w:pPr>
            <w:r>
              <w:rPr>
                <w:sz w:val="17"/>
              </w:rPr>
              <w:t>Selector time, reviewer time, prompt and output tokens</w:t>
            </w:r>
          </w:p>
        </w:tc>
        <w:tc>
          <w:tcPr>
            <w:tcW w:type="dxa" w:w="2952"/>
            <w:vAlign w:val="center"/>
          </w:tcPr>
          <w:p>
            <w:pPr>
              <w:spacing w:after="40"/>
            </w:pPr>
            <w:r>
              <w:rPr>
                <w:sz w:val="17"/>
              </w:rPr>
              <w:t>Check practical savings</w:t>
            </w:r>
          </w:p>
        </w:tc>
      </w:tr>
      <w:tr>
        <w:trPr>
          <w:cantSplit/>
        </w:trPr>
        <w:tc>
          <w:tcPr>
            <w:tcW w:type="dxa" w:w="2088"/>
            <w:vAlign w:val="center"/>
          </w:tcPr>
          <w:p>
            <w:pPr>
              <w:spacing w:after="40"/>
            </w:pPr>
            <w:r>
              <w:rPr>
                <w:sz w:val="17"/>
              </w:rPr>
              <w:t>Training-label cost</w:t>
            </w:r>
          </w:p>
        </w:tc>
        <w:tc>
          <w:tcPr>
            <w:tcW w:type="dxa" w:w="5472"/>
            <w:vAlign w:val="center"/>
          </w:tcPr>
          <w:p>
            <w:pPr>
              <w:spacing w:after="40"/>
            </w:pPr>
            <w:r>
              <w:rPr>
                <w:sz w:val="17"/>
              </w:rPr>
              <w:t>Reviewer calls and GPU hours to create outcomes</w:t>
            </w:r>
          </w:p>
        </w:tc>
        <w:tc>
          <w:tcPr>
            <w:tcW w:type="dxa" w:w="2952"/>
            <w:vAlign w:val="center"/>
          </w:tcPr>
          <w:p>
            <w:pPr>
              <w:spacing w:after="40"/>
            </w:pPr>
            <w:r>
              <w:rPr>
                <w:sz w:val="17"/>
              </w:rPr>
              <w:t>Account for offline expense</w:t>
            </w:r>
          </w:p>
        </w:tc>
      </w:tr>
    </w:tbl>
    <w:p/>
    <w:p>
      <w:pPr/>
      <w:r>
        <w:t>Plot accuracy and macro-F1 against mean extra context tokens over several budgets. Report the accuracy difference between the learned policy and the strongest fixed configuration at a matched average budget, and the extra tokens needed to achieve the fixed policy’s accuracy. Include 95% paired-bootstrap confidence intervals; repository-aware resampling is a useful sensitivity check. If feasible, train the selector with three random seeds. State separately whether any observed token reduction also saves wall-clock time once selector inference is counted.</w:t>
      </w:r>
    </w:p>
    <w:p>
      <w:pPr>
        <w:pStyle w:val="Heading1"/>
      </w:pPr>
      <w:r>
        <w:t>11. Baselines and Ablations</w:t>
      </w:r>
    </w:p>
    <w:p>
      <w:pPr>
        <w:pStyle w:val="CompactBullet"/>
      </w:pPr>
      <w:r>
        <w:t>• Diff-only: no optional context, establishing the minimum-token result.</w:t>
      </w:r>
    </w:p>
    <w:p>
      <w:pPr>
        <w:pStyle w:val="CompactBullet"/>
      </w:pPr>
      <w:r>
        <w:t>• All-context: every available field under the same documented truncation cap.</w:t>
      </w:r>
    </w:p>
    <w:p>
      <w:pPr>
        <w:pStyle w:val="CompactBullet"/>
      </w:pPr>
      <w:r>
        <w:t>• Best fixed configuration: search context-type masks on validation and choose the strongest policy for each compared budget; apply the same mask to every test diff.</w:t>
      </w:r>
    </w:p>
    <w:p>
      <w:pPr>
        <w:pStyle w:val="CompactBullet"/>
      </w:pPr>
      <w:r>
        <w:t>• Random selection: sample available chunks at the learned selector’s matched mean token budget, averaged over several random seeds.</w:t>
      </w:r>
    </w:p>
    <w:p>
      <w:pPr>
        <w:pStyle w:val="CompactBullet"/>
      </w:pPr>
      <w:r>
        <w:t>• Similarity-based selector: choose chunks by BM25 or a compact embedding similarity to the diff under the same token budget.</w:t>
      </w:r>
    </w:p>
    <w:p>
      <w:pPr>
        <w:pStyle w:val="CompactBullet"/>
      </w:pPr>
      <w:r>
        <w:t>• Greedy removal: an expensive offline oracle/reference with gold labels disclosed, or a separate label-free heuristic whose extra reviewer calls are counted.</w:t>
      </w:r>
    </w:p>
    <w:p>
      <w:pPr/>
      <w:r>
        <w:t>Ablate issue text, PR text, before-code, and after-code; text-only versus code-only inputs; budgeted choice versus a fixed number of chunks; greedy-derived training outcomes versus a simpler heuristic target; and pairwise scoring versus whole-subset prediction if resources allow. An optional 3B comparison is useful for throughput and reviewer-size sensitivity, but it does not replace the primary 7B evaluation.</w:t>
      </w:r>
    </w:p>
    <w:p>
      <w:pPr>
        <w:pStyle w:val="Heading1"/>
      </w:pPr>
      <w:r>
        <w:t>12. Leakage and Reproducibility Controls</w:t>
      </w:r>
    </w:p>
    <w:p>
      <w:pPr>
        <w:pStyle w:val="CompactBullet"/>
      </w:pPr>
      <w:r>
        <w:t>• Split by repository where possible and keep every hunk of a PR in one split; deduplicate exact and near-identical diffs across partitions.</w:t>
      </w:r>
    </w:p>
    <w:p>
      <w:pPr>
        <w:pStyle w:val="CompactBullet"/>
      </w:pPr>
      <w:r>
        <w:t>• Exclude human review comments, merge status, review verdicts, and any field written after the judgment point from selector and reviewer prompts.</w:t>
      </w:r>
    </w:p>
    <w:p>
      <w:pPr>
        <w:pStyle w:val="CompactBullet"/>
      </w:pPr>
      <w:r>
        <w:t>• Generate label-informed subset outcomes only for training data. Use validation for the best fixed mask, token budgets, thresholds, prompts, and model selection; touch the final test labels only to score the frozen design.</w:t>
      </w:r>
    </w:p>
    <w:p>
      <w:pPr>
        <w:pStyle w:val="CompactBullet"/>
      </w:pPr>
      <w:r>
        <w:t>• Record dataset release and preprocessing code, model checkpoint and quantization, prompt text, tokenizer, output parser, seeds, and cache keys. Reuse cached reviewer outputs fairly across comparable methods.</w:t>
      </w:r>
    </w:p>
    <w:p>
      <w:pPr/>
      <w:r>
        <w:t>Public repositories may already appear in a pretrained reviewer’s corpus, which cannot be ruled out from the dataset split alone. This and the benchmark label’s possible noise are limitations of external validity, not issues the team should conceal.</w:t>
      </w:r>
    </w:p>
    <w:p>
      <w:pPr>
        <w:pStyle w:val="Heading1"/>
      </w:pPr>
      <w:r>
        <w:t>13. Risks and Fallbacks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240"/>
            <w:vAlign w:val="center"/>
            <w:shd w:fill="DCE6F1"/>
          </w:tcPr>
          <w:p>
            <w:pPr>
              <w:spacing w:after="40"/>
            </w:pPr>
            <w:r>
              <w:rPr>
                <w:b/>
                <w:sz w:val="17"/>
              </w:rPr>
              <w:t>Likely problem</w:t>
            </w:r>
          </w:p>
        </w:tc>
        <w:tc>
          <w:tcPr>
            <w:tcW w:type="dxa" w:w="7272"/>
            <w:vAlign w:val="center"/>
            <w:shd w:fill="DCE6F1"/>
          </w:tcPr>
          <w:p>
            <w:pPr>
              <w:spacing w:after="40"/>
            </w:pPr>
            <w:r>
              <w:rPr>
                <w:b/>
                <w:sz w:val="17"/>
              </w:rPr>
              <w:t>Diagnostic and fallback</w:t>
            </w:r>
          </w:p>
        </w:tc>
      </w:tr>
      <w:tr>
        <w:trPr>
          <w:cantSplit/>
        </w:trPr>
        <w:tc>
          <w:tcPr>
            <w:tcW w:type="dxa" w:w="3240"/>
            <w:vAlign w:val="center"/>
          </w:tcPr>
          <w:p>
            <w:pPr>
              <w:spacing w:after="40"/>
            </w:pPr>
            <w:r>
              <w:rPr>
                <w:sz w:val="17"/>
              </w:rPr>
              <w:t>Best fixed mask is near optimal</w:t>
            </w:r>
          </w:p>
        </w:tc>
        <w:tc>
          <w:tcPr>
            <w:tcW w:type="dxa" w:w="7272"/>
            <w:vAlign w:val="center"/>
          </w:tcPr>
          <w:p>
            <w:pPr>
              <w:spacing w:after="40"/>
            </w:pPr>
            <w:r>
              <w:rPr>
                <w:sz w:val="17"/>
              </w:rPr>
              <w:t>Plot per-diff gains/losses and explain where context helps or hurts; report a negative learning result.</w:t>
            </w:r>
          </w:p>
        </w:tc>
      </w:tr>
      <w:tr>
        <w:trPr>
          <w:cantSplit/>
        </w:trPr>
        <w:tc>
          <w:tcPr>
            <w:tcW w:type="dxa" w:w="3240"/>
            <w:vAlign w:val="center"/>
          </w:tcPr>
          <w:p>
            <w:pPr>
              <w:spacing w:after="40"/>
            </w:pPr>
            <w:r>
              <w:rPr>
                <w:sz w:val="17"/>
              </w:rPr>
              <w:t>Benchmark label is noisy</w:t>
            </w:r>
          </w:p>
        </w:tc>
        <w:tc>
          <w:tcPr>
            <w:tcW w:type="dxa" w:w="7272"/>
            <w:vAlign w:val="center"/>
          </w:tcPr>
          <w:p>
            <w:pPr>
              <w:spacing w:after="40"/>
            </w:pPr>
            <w:r>
              <w:rPr>
                <w:sz w:val="17"/>
              </w:rPr>
              <w:t>Audit examples and label construction; narrow to a defensible subset and avoid claims about true defects.</w:t>
            </w:r>
          </w:p>
        </w:tc>
      </w:tr>
      <w:tr>
        <w:trPr>
          <w:cantSplit/>
        </w:trPr>
        <w:tc>
          <w:tcPr>
            <w:tcW w:type="dxa" w:w="3240"/>
            <w:vAlign w:val="center"/>
          </w:tcPr>
          <w:p>
            <w:pPr>
              <w:spacing w:after="40"/>
            </w:pPr>
            <w:r>
              <w:rPr>
                <w:sz w:val="17"/>
              </w:rPr>
              <w:t>Qwen accuracy is weak</w:t>
            </w:r>
          </w:p>
        </w:tc>
        <w:tc>
          <w:tcPr>
            <w:tcW w:type="dxa" w:w="7272"/>
            <w:vAlign w:val="center"/>
          </w:tcPr>
          <w:p>
            <w:pPr>
              <w:spacing w:after="40"/>
            </w:pPr>
            <w:r>
              <w:rPr>
                <w:sz w:val="17"/>
              </w:rPr>
              <w:t>Recheck prompt and label mapping; use 3B for debugging, 7B as primary; state limits if still weak.</w:t>
            </w:r>
          </w:p>
        </w:tc>
      </w:tr>
      <w:tr>
        <w:trPr>
          <w:cantSplit/>
        </w:trPr>
        <w:tc>
          <w:tcPr>
            <w:tcW w:type="dxa" w:w="3240"/>
            <w:vAlign w:val="center"/>
          </w:tcPr>
          <w:p>
            <w:pPr>
              <w:spacing w:after="40"/>
            </w:pPr>
            <w:r>
              <w:rPr>
                <w:sz w:val="17"/>
              </w:rPr>
              <w:t>Outcome matrix is too expensive</w:t>
            </w:r>
          </w:p>
        </w:tc>
        <w:tc>
          <w:tcPr>
            <w:tcW w:type="dxa" w:w="7272"/>
            <w:vAlign w:val="center"/>
          </w:tcPr>
          <w:p>
            <w:pPr>
              <w:spacing w:after="40"/>
            </w:pPr>
            <w:r>
              <w:rPr>
                <w:sz w:val="17"/>
              </w:rPr>
              <w:t>Benchmark throughput, cap training examples, and use cached greedy/sampled subsets.</w:t>
            </w:r>
          </w:p>
        </w:tc>
      </w:tr>
      <w:tr>
        <w:trPr>
          <w:cantSplit/>
        </w:trPr>
        <w:tc>
          <w:tcPr>
            <w:tcW w:type="dxa" w:w="3240"/>
            <w:vAlign w:val="center"/>
          </w:tcPr>
          <w:p>
            <w:pPr>
              <w:spacing w:after="40"/>
            </w:pPr>
            <w:r>
              <w:rPr>
                <w:sz w:val="17"/>
              </w:rPr>
              <w:t>Selector learns trivial token-length rule</w:t>
            </w:r>
          </w:p>
        </w:tc>
        <w:tc>
          <w:tcPr>
            <w:tcW w:type="dxa" w:w="7272"/>
            <w:vAlign w:val="center"/>
          </w:tcPr>
          <w:p>
            <w:pPr>
              <w:spacing w:after="40"/>
            </w:pPr>
            <w:r>
              <w:rPr>
                <w:sz w:val="17"/>
              </w:rPr>
              <w:t>Compare with length-aware random and similarity policies; analyze selections and ablations.</w:t>
            </w:r>
          </w:p>
        </w:tc>
      </w:tr>
    </w:tbl>
    <w:p/>
    <w:p>
      <w:pPr/>
      <w:r>
        <w:t>A failed accuracy-cost improvement is still a complete project if the evaluation is strong: quantify the gap from an offline oracle, the variation in beneficial subsets, and how context type, language, missing fields, and diff size explain success or failure. Do not expand to a robustness study merely to produce a positive result.</w:t>
      </w:r>
    </w:p>
    <w:p>
      <w:pPr>
        <w:pStyle w:val="Heading1"/>
      </w:pPr>
      <w:r>
        <w:t>14. Planned Timeline and Team Roles</w:t>
      </w:r>
    </w:p>
    <w:p>
      <w:pPr/>
      <w:r>
        <w:t>Week 1: Read and confirm cited papers; download and audit ContextCRBench; document field timing and label construction. Michael leads data; all read.</w:t>
      </w:r>
    </w:p>
    <w:p>
      <w:pPr/>
      <w:r>
        <w:t>Week 2: Repository split, Qwen prompt, 100-200 example pilot, throughput and accuracy check. Michael and Ruiding.</w:t>
      </w:r>
    </w:p>
    <w:p>
      <w:pPr/>
      <w:r>
        <w:t>Week 3: Diff-only, all-context, and fixed-mask baseline matrix; token accounting. Ruiding leads reviewer evaluation.</w:t>
      </w:r>
    </w:p>
    <w:p>
      <w:pPr/>
      <w:r>
        <w:t>Week 4: Random and similarity baselines; cache greedy or exhaustive training outcomes. Ruiding and Michael.</w:t>
      </w:r>
    </w:p>
    <w:p>
      <w:pPr/>
      <w:r>
        <w:t>Week 5: Inspect label quality; train the first CodeBERT-style selector. Li-hua leads model training.</w:t>
      </w:r>
    </w:p>
    <w:p>
      <w:pPr/>
      <w:r>
        <w:t>Week 6: Budget-aware selection, interaction ablation, validation tuning. Li-hua and Michael.</w:t>
      </w:r>
    </w:p>
    <w:p>
      <w:pPr/>
      <w:r>
        <w:t>Week 7: Freeze settings; run held-out evaluation, intervals, and repeated seeds if feasible. Michael and Ruiding.</w:t>
      </w:r>
    </w:p>
    <w:p>
      <w:pPr/>
      <w:r>
        <w:t>Week 8: Error and subgroup analysis; estimate end-to-end token and runtime savings. All.</w:t>
      </w:r>
    </w:p>
    <w:p>
      <w:pPr/>
      <w:r>
        <w:t>Week 9: Optional second frozen reviewer only if core results are ready; otherwise deepen the negative-result analysis. All.</w:t>
      </w:r>
    </w:p>
    <w:p>
      <w:pPr/>
      <w:r>
        <w:t>Week 10: Final paper, plots, reproducibility notes, and presentation. All.</w:t>
      </w:r>
    </w:p>
    <w:p>
      <w:pPr/>
      <w:r>
        <w:t>The named role assignment is tentative and should be confirmed by the students. Only one submission per group is required. The one-page course proposal has a September 28, 2026, 9 p.m. soft deadline and a September 30, 9 p.m. hard deadline; team declaration is due September 28 at 9 p.m. This detailed document is a working plan, not the one-page submission.</w:t>
      </w:r>
    </w:p>
    <w:p>
      <w:pPr>
        <w:pStyle w:val="Heading1"/>
      </w:pPr>
      <w:r>
        <w:t>15. Expected Deliverables and Success Criteria</w:t>
      </w:r>
    </w:p>
    <w:p>
      <w:pPr>
        <w:pStyle w:val="CompactBullet"/>
      </w:pPr>
      <w:r>
        <w:t>• A cleaned, documented ContextCRBench subset and repository-separated train, validation, and test split.</w:t>
      </w:r>
    </w:p>
    <w:p>
      <w:pPr>
        <w:pStyle w:val="CompactBullet"/>
      </w:pPr>
      <w:r>
        <w:t>• A reproducible frozen-reviewer evaluation harness, prompt, parser, token counter, and cache.</w:t>
      </w:r>
    </w:p>
    <w:p>
      <w:pPr>
        <w:pStyle w:val="CompactBullet"/>
      </w:pPr>
      <w:r>
        <w:t>• Results for diff-only, all-context, strongest fixed mask, random, similarity, greedy reference, and the trained selector.</w:t>
      </w:r>
    </w:p>
    <w:p>
      <w:pPr>
        <w:pStyle w:val="CompactBullet"/>
      </w:pPr>
      <w:r>
        <w:t>• Accuracy-cost curves, uncertainty estimates, ablations, subgroup errors, and an accounting of training-label generation cost.</w:t>
      </w:r>
    </w:p>
    <w:p>
      <w:pPr>
        <w:pStyle w:val="CompactBullet"/>
      </w:pPr>
      <w:r>
        <w:t>• A final report explaining whether learned per-diff selection improves on fixed context or why it does not.</w:t>
      </w:r>
    </w:p>
    <w:p>
      <w:pPr/>
      <w:r>
        <w:t>The primary planned success criterion is a learned policy within one accuracy point of the strongest fixed choice using at least 30% fewer extra context tokens, or a measurable accuracy gain at matched budget. A careful negative result is valuable if the fixed baseline is hard to beat and the analysis identifies the conditions under which context helps or harms.</w:t>
      </w:r>
    </w:p>
    <w:p>
      <w:pPr>
        <w:pStyle w:val="Heading1"/>
      </w:pPr>
      <w:r>
        <w:t>16. Anticipated Use of LLMs and References</w:t>
      </w:r>
    </w:p>
    <w:p>
      <w:pPr/>
      <w:r>
        <w:t>We expect to use ChatGPT or comparable tools for boilerplate code, debugging suggestions, draft editing, and checking clarity. We will verify generated code with our own tests and measurements; the team remains responsible for experiment design, literature reading, citation accuracy, data handling, and interpretation. We will disclose this use in the course submission.</w:t>
      </w:r>
    </w:p>
    <w:p>
      <w:pPr>
        <w:spacing w:after="20"/>
      </w:pPr>
      <w:r>
        <w:rPr>
          <w:sz w:val="17"/>
        </w:rPr>
        <w:t>[1] Ruida Hu et al. Benchmarking LLMs for Fine-Grained Code Review with Enriched Context in Practice (ContextCRBench). arXiv:2511.07017, 2025. https://arxiv.org/abs/2511.07017</w:t>
      </w:r>
    </w:p>
    <w:p>
      <w:pPr>
        <w:spacing w:after="20"/>
      </w:pPr>
      <w:r>
        <w:rPr>
          <w:sz w:val="17"/>
        </w:rPr>
        <w:t>[2] Zhiyu Li et al. Automating Code Review Activities by Large-Scale Pre-training (CodeReviewer). ESEC/FSE, 2022. arXiv:2203.09095.</w:t>
      </w:r>
    </w:p>
    <w:p>
      <w:pPr>
        <w:spacing w:after="20"/>
      </w:pPr>
      <w:r>
        <w:rPr>
          <w:sz w:val="17"/>
        </w:rPr>
        <w:t>[3] Di Wu et al. Repoformer: Selective Retrieval for Repository-Level Code Completion. ICML, 2024. https://proceedings.mlr.press/v235/wu24a.html</w:t>
      </w:r>
    </w:p>
    <w:p>
      <w:pPr>
        <w:spacing w:after="20"/>
      </w:pPr>
      <w:r>
        <w:rPr>
          <w:sz w:val="17"/>
        </w:rPr>
        <w:t>[4] Fangyuan Xu, Weijia Shi, and Eunsol Choi. RECOMP: Improving Retrieval-Augmented LMs with Context Compression and Selective Augmentation. ICLR, 2024. arXiv:2310.04408.</w:t>
      </w:r>
    </w:p>
    <w:sectPr w:rsidR="00FC693F" w:rsidRPr="0006063C" w:rsidSect="00034616">
      <w:footerReference w:type="default" r:id="rId9"/>
      <w:pgSz w:w="12240" w:h="15840"/>
      <w:pgMar w:top="893" w:right="1080" w:bottom="835"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ML II Project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Aptos" w:hAnsi="Aptos"/>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80" w:after="3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ptos" w:hAnsi="Aptos"/>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basedOn w:val="Normal"/>
    <w:pPr>
      <w:spacing w:after="30"/>
      <w:ind w:left="259" w:hanging="173"/>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