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1077" w14:textId="56547456" w:rsidR="00E33E41" w:rsidRPr="0028070B" w:rsidRDefault="0028070B">
      <w:pPr>
        <w:pStyle w:val="Title"/>
        <w:rPr>
          <w:sz w:val="44"/>
          <w:szCs w:val="44"/>
        </w:rPr>
      </w:pPr>
      <w:r w:rsidRPr="0028070B">
        <w:rPr>
          <w:b/>
          <w:bCs/>
          <w:sz w:val="44"/>
          <w:szCs w:val="44"/>
        </w:rPr>
        <w:t>Retrieval-Augmented Generation for Departmental Test &amp; Evaluation</w:t>
      </w:r>
    </w:p>
    <w:p w14:paraId="6FDF5E55" w14:textId="56DA5AB1" w:rsidR="00E33E41" w:rsidRDefault="008D6537" w:rsidP="0028070B">
      <w:pPr>
        <w:pStyle w:val="Author"/>
      </w:pPr>
      <w:r>
        <w:t>Sam Bright</w:t>
      </w:r>
      <w:r w:rsidR="0028070B">
        <w:t xml:space="preserve"> and </w:t>
      </w:r>
      <w:r>
        <w:t>Michael Soltys</w:t>
      </w:r>
    </w:p>
    <w:p w14:paraId="6732D657" w14:textId="77777777" w:rsidR="00E33E41" w:rsidRDefault="00000000">
      <w:pPr>
        <w:pStyle w:val="AbstractTitle"/>
      </w:pPr>
      <w:r>
        <w:t>Abstract</w:t>
      </w:r>
    </w:p>
    <w:p w14:paraId="7DCE2682" w14:textId="77777777" w:rsidR="00E50205" w:rsidRDefault="00000000" w:rsidP="00E50205">
      <w:pPr>
        <w:pStyle w:val="Abstract"/>
        <w:spacing w:after="0"/>
      </w:pPr>
      <w:r>
        <w:t xml:space="preserve">This paper presents a comprehensive examination of Retrieval-Augmented Generation (RAG) as a production-deployable AI capability for </w:t>
      </w:r>
      <w:r w:rsidR="002D6BEF">
        <w:t xml:space="preserve">the Test and Evaluation (T&amp;E) programs of Government Departments, illustrated by the </w:t>
      </w:r>
      <w:r>
        <w:t>Department of War (</w:t>
      </w:r>
      <w:proofErr w:type="spellStart"/>
      <w:r>
        <w:t>DoW</w:t>
      </w:r>
      <w:proofErr w:type="spellEnd"/>
      <w:r>
        <w:t xml:space="preserve">). The paper is organized around four core arguments: </w:t>
      </w:r>
    </w:p>
    <w:p w14:paraId="1B522FEB" w14:textId="77777777" w:rsidR="00E50205" w:rsidRDefault="00000000" w:rsidP="00E50205">
      <w:pPr>
        <w:pStyle w:val="Abstract"/>
        <w:spacing w:before="120" w:after="0"/>
        <w:ind w:left="720"/>
      </w:pPr>
      <w:r>
        <w:t xml:space="preserve">(1) RAG architecturally outperforms general-purpose Large Language Models (LLMs) for domain-specific T&amp;E tasks by grounding inference in authoritative, mission-curated knowledge bases rather than relying solely on parametric memory; </w:t>
      </w:r>
    </w:p>
    <w:p w14:paraId="4DC12F02" w14:textId="77777777" w:rsidR="00E50205" w:rsidRDefault="00000000" w:rsidP="00E50205">
      <w:pPr>
        <w:pStyle w:val="Abstract"/>
        <w:spacing w:before="0" w:after="0"/>
        <w:ind w:left="720"/>
      </w:pPr>
      <w:r>
        <w:t xml:space="preserve">(2) production RAG systems require a specific, layered architecture spanning document ingestion, vector indexing, retrieval orchestration, generation, and observability, deployable across cloud impact levels; </w:t>
      </w:r>
    </w:p>
    <w:p w14:paraId="1E3C34E1" w14:textId="77777777" w:rsidR="00E50205" w:rsidRDefault="00000000" w:rsidP="00E50205">
      <w:pPr>
        <w:pStyle w:val="Abstract"/>
        <w:spacing w:before="0" w:after="0"/>
        <w:ind w:left="720"/>
      </w:pPr>
      <w:r>
        <w:t>(3) operating RAG with Controlled Unclassified Information (CUI) and classified data requires a security control regime drawn from NIST SP 800-53, the DoD Risk Management Framework (RMF), CMMC, Zero Trust Architecture (ZTA) principles, and DISA impact-level guidance; and</w:t>
      </w:r>
    </w:p>
    <w:p w14:paraId="16B29C5C" w14:textId="77777777" w:rsidR="00E50205" w:rsidRDefault="00000000" w:rsidP="00E50205">
      <w:pPr>
        <w:pStyle w:val="Abstract"/>
        <w:spacing w:before="0" w:after="0"/>
        <w:ind w:left="720"/>
      </w:pPr>
      <w:r>
        <w:t xml:space="preserve">(4) few-shot prompting transforms a RAG question-answering pipeline into a structured, automated report generation capability that materially reduces analyst workload and accelerates T&amp;E deliverables such as Test Plans, Test Reports, and Interim Fielding Assessments. </w:t>
      </w:r>
    </w:p>
    <w:p w14:paraId="2455C45D" w14:textId="55B4F934" w:rsidR="00E33E41" w:rsidRPr="003F0EAB" w:rsidRDefault="00000000" w:rsidP="00E50205">
      <w:pPr>
        <w:pStyle w:val="Abstract"/>
        <w:rPr>
          <w:lang w:val="en-AU"/>
        </w:rPr>
      </w:pPr>
      <w:r>
        <w:t>Together</w:t>
      </w:r>
      <w:r w:rsidR="003F0EAB">
        <w:t>,</w:t>
      </w:r>
      <w:r>
        <w:t xml:space="preserve"> these arguments establish the theoretical and practical foundation for a full-lifecycle RAG deployment within a T&amp;E enterprise. We ground the discussion in a case study of a production RAG system the authors deployed on </w:t>
      </w:r>
      <w:r w:rsidR="003F0EAB" w:rsidRPr="003F0EAB">
        <w:rPr>
          <w:lang w:val="en-AU"/>
        </w:rPr>
        <w:t>Amazon Web Services</w:t>
      </w:r>
      <w:r w:rsidR="003F0EAB">
        <w:rPr>
          <w:lang w:val="en-AU"/>
        </w:rPr>
        <w:t xml:space="preserve"> (</w:t>
      </w:r>
      <w:r>
        <w:t>AWS</w:t>
      </w:r>
      <w:r w:rsidR="003F0EAB">
        <w:t>)</w:t>
      </w:r>
      <w:r>
        <w:t xml:space="preserve"> </w:t>
      </w:r>
      <w:r w:rsidRPr="003F0EAB">
        <w:rPr>
          <w:i/>
          <w:iCs/>
        </w:rPr>
        <w:t>GovCloud</w:t>
      </w:r>
      <w:r>
        <w:t xml:space="preserve"> for a Navy warfare center, providing concrete evidence of the layered architecture in operational use.</w:t>
      </w:r>
    </w:p>
    <w:p w14:paraId="095AE7D3" w14:textId="454749A1" w:rsidR="00E33E41" w:rsidRDefault="00000000" w:rsidP="00E50205">
      <w:pPr>
        <w:pStyle w:val="FirstParagraph"/>
      </w:pPr>
      <w:r>
        <w:rPr>
          <w:b/>
          <w:bCs/>
        </w:rPr>
        <w:t>Keywords:</w:t>
      </w:r>
      <w:r>
        <w:t xml:space="preserve"> Retrieval-Augmented Generation, Large Language Models, Test and Evaluation, Few-Shot Prompting, Cloud Security</w:t>
      </w:r>
    </w:p>
    <w:p w14:paraId="7F7C3A6D" w14:textId="77777777" w:rsidR="00E33E41" w:rsidRDefault="00000000" w:rsidP="00E50205">
      <w:pPr>
        <w:pStyle w:val="Heading1"/>
      </w:pPr>
      <w:bookmarkStart w:id="0" w:name="introduction"/>
      <w:r>
        <w:t>Introduction</w:t>
      </w:r>
    </w:p>
    <w:p w14:paraId="65070235" w14:textId="77777777" w:rsidR="003F0EAB" w:rsidRDefault="00000000" w:rsidP="00E50205">
      <w:pPr>
        <w:pStyle w:val="FirstParagraph"/>
      </w:pPr>
      <w:r>
        <w:t xml:space="preserve">Large Language Models </w:t>
      </w:r>
      <w:r w:rsidR="003F0EAB">
        <w:t xml:space="preserve">(LLMs) </w:t>
      </w:r>
      <w:r>
        <w:t>have emerged as transformative tools across government</w:t>
      </w:r>
      <w:r w:rsidR="003F0EAB">
        <w:t>s</w:t>
      </w:r>
      <w:r>
        <w:t xml:space="preserve"> and industry, yet their application to Test and Evaluation programs presents acute challenges. LLMs store knowledge in fixed model weights trained on a static corpus; once training ends, the model cannot access updated information without retraining (Lewis et al. 2020; Gao et al. 2023). For T&amp;E environments, this creates three critical failure modes:</w:t>
      </w:r>
    </w:p>
    <w:p w14:paraId="57C4B102" w14:textId="4E02124B" w:rsidR="003F0EAB" w:rsidRDefault="00000000" w:rsidP="003F0EAB">
      <w:pPr>
        <w:pStyle w:val="FirstParagraph"/>
        <w:numPr>
          <w:ilvl w:val="0"/>
          <w:numId w:val="2"/>
        </w:numPr>
      </w:pPr>
      <w:r>
        <w:t xml:space="preserve">knowledge staleness, as test procedures, system specifications, and </w:t>
      </w:r>
      <w:r w:rsidR="00A83F97">
        <w:t>standards</w:t>
      </w:r>
      <w:r>
        <w:t xml:space="preserve"> evolve continuously; </w:t>
      </w:r>
    </w:p>
    <w:p w14:paraId="113378A7" w14:textId="7802B34B" w:rsidR="003F0EAB" w:rsidRDefault="00000000" w:rsidP="003F0EAB">
      <w:pPr>
        <w:pStyle w:val="FirstParagraph"/>
        <w:numPr>
          <w:ilvl w:val="0"/>
          <w:numId w:val="2"/>
        </w:numPr>
      </w:pPr>
      <w:r>
        <w:t>hallucination under domain sparsity, where models generate plausible but factually incorrect outputs in safety</w:t>
      </w:r>
      <w:r w:rsidR="00A83F97">
        <w:t xml:space="preserve"> and mission</w:t>
      </w:r>
      <w:r>
        <w:t xml:space="preserve">-critical reporting contexts; and </w:t>
      </w:r>
    </w:p>
    <w:p w14:paraId="5BDA7151" w14:textId="1AEC18B6" w:rsidR="00E33E41" w:rsidRDefault="00A83F97" w:rsidP="003F0EAB">
      <w:pPr>
        <w:pStyle w:val="FirstParagraph"/>
        <w:numPr>
          <w:ilvl w:val="0"/>
          <w:numId w:val="2"/>
        </w:numPr>
      </w:pPr>
      <w:r>
        <w:lastRenderedPageBreak/>
        <w:t xml:space="preserve">poor traceability, where outputs cannot be traced to specific authoritative sources, </w:t>
      </w:r>
      <w:r w:rsidR="003F0EAB">
        <w:t xml:space="preserve">likely </w:t>
      </w:r>
      <w:r>
        <w:t>violating</w:t>
      </w:r>
      <w:r w:rsidR="003F0EAB">
        <w:t xml:space="preserve"> departmental</w:t>
      </w:r>
      <w:r>
        <w:t xml:space="preserve"> documentation standards that require cited, auditable evidence.</w:t>
      </w:r>
    </w:p>
    <w:p w14:paraId="4D7EACE6" w14:textId="77777777" w:rsidR="003F0EAB" w:rsidRDefault="00000000" w:rsidP="00E50205">
      <w:pPr>
        <w:pStyle w:val="BodyText"/>
      </w:pPr>
      <w:r>
        <w:t>Retrieval-Augmented Generation</w:t>
      </w:r>
      <w:r w:rsidR="003F0EAB">
        <w:t xml:space="preserve"> (RAG)</w:t>
      </w:r>
      <w:r>
        <w:t xml:space="preserve">, first formally introduced by Lewis et al. (2020) at Facebook AI Research, addresses these limitations by combining pre-trained parametric memory (the LLM) with non-parametric memory (a dense vector index of documents) accessed through a pre-trained neural retriever. The original formulation proposed two architectures: </w:t>
      </w:r>
    </w:p>
    <w:p w14:paraId="4D32F820" w14:textId="77777777" w:rsidR="003F0EAB" w:rsidRDefault="00000000" w:rsidP="003F0EAB">
      <w:pPr>
        <w:pStyle w:val="BodyText"/>
        <w:numPr>
          <w:ilvl w:val="0"/>
          <w:numId w:val="3"/>
        </w:numPr>
      </w:pPr>
      <w:r>
        <w:t xml:space="preserve">RAG-Sequence, where the same retrieved document conditions the entire generated sequence, and </w:t>
      </w:r>
    </w:p>
    <w:p w14:paraId="351F1235" w14:textId="161C0D32" w:rsidR="003F0EAB" w:rsidRDefault="00000000" w:rsidP="003F0EAB">
      <w:pPr>
        <w:pStyle w:val="BodyText"/>
        <w:numPr>
          <w:ilvl w:val="0"/>
          <w:numId w:val="3"/>
        </w:numPr>
      </w:pPr>
      <w:r>
        <w:t xml:space="preserve">RAG-Token, where different documents can inform different output tokens. </w:t>
      </w:r>
    </w:p>
    <w:p w14:paraId="5E747A4C" w14:textId="77777777" w:rsidR="00A83F97" w:rsidRDefault="00000000" w:rsidP="00E50205">
      <w:pPr>
        <w:pStyle w:val="BodyText"/>
      </w:pPr>
      <w:r>
        <w:t xml:space="preserve">Both </w:t>
      </w:r>
      <w:r w:rsidR="003F0EAB">
        <w:t xml:space="preserve">approaches </w:t>
      </w:r>
      <w:r>
        <w:t>achieved state-of-the-art results on open-domain question answering, outperforming both parametric-only and extractive retrieval-based approaches (Lewis et al. 2020). RAG has since become the dominant approach for knowledge-grounding LLMs in enterprise and government contexts</w:t>
      </w:r>
      <w:r w:rsidR="0028070B">
        <w:t xml:space="preserve"> (</w:t>
      </w:r>
      <w:r w:rsidR="0028070B" w:rsidRPr="0028070B">
        <w:rPr>
          <w:lang w:val="en-AU"/>
        </w:rPr>
        <w:t>Kaddour et al.</w:t>
      </w:r>
      <w:r w:rsidR="0028070B">
        <w:rPr>
          <w:lang w:val="en-AU"/>
        </w:rPr>
        <w:t>,</w:t>
      </w:r>
      <w:r w:rsidR="0028070B" w:rsidRPr="0028070B">
        <w:rPr>
          <w:lang w:val="en-AU"/>
        </w:rPr>
        <w:t xml:space="preserve"> 2023</w:t>
      </w:r>
      <w:r w:rsidR="0028070B">
        <w:rPr>
          <w:lang w:val="en-AU"/>
        </w:rPr>
        <w:t>;</w:t>
      </w:r>
      <w:r w:rsidR="00A83F97">
        <w:rPr>
          <w:lang w:val="en-AU"/>
        </w:rPr>
        <w:t xml:space="preserve"> </w:t>
      </w:r>
      <w:r w:rsidR="0028070B" w:rsidRPr="0028070B">
        <w:rPr>
          <w:lang w:val="en-AU"/>
        </w:rPr>
        <w:t>Karakurt &amp; Akbulut</w:t>
      </w:r>
      <w:r w:rsidR="0028070B">
        <w:rPr>
          <w:lang w:val="en-AU"/>
        </w:rPr>
        <w:t xml:space="preserve">, </w:t>
      </w:r>
      <w:r w:rsidR="0028070B" w:rsidRPr="0028070B">
        <w:rPr>
          <w:lang w:val="en-AU"/>
        </w:rPr>
        <w:t>2026</w:t>
      </w:r>
      <w:r w:rsidR="0028070B">
        <w:t>)</w:t>
      </w:r>
      <w:r w:rsidR="00A83F97">
        <w:t>. Advantages claimed include:</w:t>
      </w:r>
    </w:p>
    <w:p w14:paraId="05CC24EA" w14:textId="77777777" w:rsidR="00A83F97" w:rsidRPr="00A83F97" w:rsidRDefault="00000000" w:rsidP="00A83F97">
      <w:pPr>
        <w:pStyle w:val="BodyText"/>
        <w:numPr>
          <w:ilvl w:val="0"/>
          <w:numId w:val="4"/>
        </w:numPr>
        <w:rPr>
          <w:lang w:val="en-AU"/>
        </w:rPr>
      </w:pPr>
      <w:r>
        <w:t xml:space="preserve">enabling dynamic knowledge updates without retraining, </w:t>
      </w:r>
    </w:p>
    <w:p w14:paraId="348D2647" w14:textId="3A9D3233" w:rsidR="00A83F97" w:rsidRPr="00A83F97" w:rsidRDefault="00000000" w:rsidP="00A83F97">
      <w:pPr>
        <w:pStyle w:val="BodyText"/>
        <w:numPr>
          <w:ilvl w:val="0"/>
          <w:numId w:val="4"/>
        </w:numPr>
        <w:rPr>
          <w:lang w:val="en-AU"/>
        </w:rPr>
      </w:pPr>
      <w:r>
        <w:t xml:space="preserve">source attribution that </w:t>
      </w:r>
      <w:r w:rsidR="00A83F97">
        <w:t xml:space="preserve">better </w:t>
      </w:r>
      <w:r>
        <w:t xml:space="preserve">satisfies </w:t>
      </w:r>
      <w:r w:rsidR="00A83F97">
        <w:t>Government</w:t>
      </w:r>
      <w:r>
        <w:t xml:space="preserve"> traceability requirements, </w:t>
      </w:r>
    </w:p>
    <w:p w14:paraId="5C327FDB" w14:textId="77777777" w:rsidR="00A83F97" w:rsidRPr="00A83F97" w:rsidRDefault="00000000" w:rsidP="00A83F97">
      <w:pPr>
        <w:pStyle w:val="BodyText"/>
        <w:numPr>
          <w:ilvl w:val="0"/>
          <w:numId w:val="4"/>
        </w:numPr>
        <w:rPr>
          <w:lang w:val="en-AU"/>
        </w:rPr>
      </w:pPr>
      <w:r>
        <w:t xml:space="preserve">cost-efficient knowledge base maintenance, </w:t>
      </w:r>
    </w:p>
    <w:p w14:paraId="6CC622EA" w14:textId="77777777" w:rsidR="00A83F97" w:rsidRPr="00A83F97" w:rsidRDefault="00000000" w:rsidP="00A83F97">
      <w:pPr>
        <w:pStyle w:val="BodyText"/>
        <w:numPr>
          <w:ilvl w:val="0"/>
          <w:numId w:val="4"/>
        </w:numPr>
        <w:rPr>
          <w:lang w:val="en-AU"/>
        </w:rPr>
      </w:pPr>
      <w:r>
        <w:t xml:space="preserve">substantial </w:t>
      </w:r>
      <w:r w:rsidR="00A83F97">
        <w:t xml:space="preserve">reduction in </w:t>
      </w:r>
      <w:proofErr w:type="gramStart"/>
      <w:r>
        <w:t xml:space="preserve">hallucination </w:t>
      </w:r>
      <w:r w:rsidR="0028070B">
        <w:t xml:space="preserve"> </w:t>
      </w:r>
      <w:r w:rsidR="0028070B" w:rsidRPr="0028070B">
        <w:rPr>
          <w:lang w:val="en-AU"/>
        </w:rPr>
        <w:t>(</w:t>
      </w:r>
      <w:proofErr w:type="gramEnd"/>
      <w:r w:rsidR="0028070B" w:rsidRPr="0028070B">
        <w:rPr>
          <w:lang w:val="en-AU"/>
        </w:rPr>
        <w:t>Gao et al. 2023)</w:t>
      </w:r>
      <w:r>
        <w:t xml:space="preserve">, and </w:t>
      </w:r>
    </w:p>
    <w:p w14:paraId="663A04DE" w14:textId="43B408E5" w:rsidR="00E33E41" w:rsidRPr="0028070B" w:rsidRDefault="00000000" w:rsidP="00A83F97">
      <w:pPr>
        <w:pStyle w:val="BodyText"/>
        <w:numPr>
          <w:ilvl w:val="0"/>
          <w:numId w:val="4"/>
        </w:numPr>
        <w:rPr>
          <w:lang w:val="en-AU"/>
        </w:rPr>
      </w:pPr>
      <w:r>
        <w:t>regulatory alignment through classification-aware metadata (Amazon Web Services 2025; IBM 2025).</w:t>
      </w:r>
    </w:p>
    <w:p w14:paraId="7CC05722" w14:textId="77777777" w:rsidR="000E26AC" w:rsidRDefault="000E26AC" w:rsidP="00E50205">
      <w:pPr>
        <w:pStyle w:val="BodyText"/>
      </w:pPr>
      <w:r>
        <w:t>U.S. Defense</w:t>
      </w:r>
      <w:r w:rsidRPr="000E26AC">
        <w:t xml:space="preserve"> Cloud Impact Levels (IL4–IL6) define progressively stricter security environments for handling defense data, ranging from Controlled Unclassified Information (CUI) at IL4, through sensitive mission-critical unclassified systems at IL5, to classified SECRET workloads at IL6. These levels dictate the required controls for data storage, access, and processing, and shape how RAG systems must be architected and deployed across unclassified and classified environments.</w:t>
      </w:r>
      <w:r>
        <w:t xml:space="preserve"> </w:t>
      </w:r>
    </w:p>
    <w:p w14:paraId="5AD9ADAF" w14:textId="5F0FD08B" w:rsidR="00E33E41" w:rsidRDefault="00000000" w:rsidP="00E50205">
      <w:pPr>
        <w:pStyle w:val="BodyText"/>
      </w:pPr>
      <w:r>
        <w:t xml:space="preserve">The </w:t>
      </w:r>
      <w:proofErr w:type="spellStart"/>
      <w:r>
        <w:t>DoW</w:t>
      </w:r>
      <w:proofErr w:type="spellEnd"/>
      <w:r>
        <w:t xml:space="preserve"> has </w:t>
      </w:r>
      <w:r w:rsidR="000E26AC">
        <w:t xml:space="preserve">recently </w:t>
      </w:r>
      <w:r>
        <w:t xml:space="preserve">signaled that RAG is not merely a research interest but an operational mandate. In January 2026, the Department of the Navy </w:t>
      </w:r>
      <w:r w:rsidR="00A83F97">
        <w:t>(</w:t>
      </w:r>
      <w:proofErr w:type="spellStart"/>
      <w:r w:rsidR="00A83F97">
        <w:t>DoN</w:t>
      </w:r>
      <w:proofErr w:type="spellEnd"/>
      <w:r w:rsidR="00A83F97">
        <w:t xml:space="preserve">) </w:t>
      </w:r>
      <w:r>
        <w:t xml:space="preserve">formally designated </w:t>
      </w:r>
      <w:r w:rsidR="00A83F97">
        <w:t>its main provider of</w:t>
      </w:r>
      <w:r>
        <w:t xml:space="preserve"> RAG</w:t>
      </w:r>
      <w:r w:rsidR="00A83F97">
        <w:t xml:space="preserve">, </w:t>
      </w:r>
      <w:r w:rsidR="00A83F97" w:rsidRPr="00A83F97">
        <w:rPr>
          <w:i/>
          <w:iCs/>
        </w:rPr>
        <w:t>GenAI.mil</w:t>
      </w:r>
      <w:r w:rsidR="00A83F97">
        <w:rPr>
          <w:i/>
          <w:iCs/>
        </w:rPr>
        <w:t xml:space="preserve">, </w:t>
      </w:r>
      <w:r w:rsidR="00A83F97">
        <w:t>as</w:t>
      </w:r>
      <w:r>
        <w:t xml:space="preserve"> the mandated CUI and IL5 generative AI platform for all </w:t>
      </w:r>
      <w:r w:rsidR="00A83F97">
        <w:t>its</w:t>
      </w:r>
      <w:r>
        <w:t xml:space="preserve"> users</w:t>
      </w:r>
      <w:r w:rsidR="00A83F97">
        <w:t>. A</w:t>
      </w:r>
      <w:r>
        <w:t xml:space="preserve">ll </w:t>
      </w:r>
      <w:proofErr w:type="spellStart"/>
      <w:r w:rsidR="00A83F97">
        <w:t>DoN</w:t>
      </w:r>
      <w:proofErr w:type="spellEnd"/>
      <w:r w:rsidR="00A83F97">
        <w:t xml:space="preserve"> </w:t>
      </w:r>
      <w:r>
        <w:t xml:space="preserve">organizations and commands </w:t>
      </w:r>
      <w:r w:rsidR="00A83F97">
        <w:t xml:space="preserve">are </w:t>
      </w:r>
      <w:r>
        <w:t>to transition no later than April 30, 2026 (Department of the Navy 2026). This enterprise-level mandate, issued jointly by the Assistant Secretary of the Navy for Research, Development, and Acquisition and the DON Chief Information Officer, confirms that RAG-enabled AI</w:t>
      </w:r>
      <w:r w:rsidR="00A83F97">
        <w:t xml:space="preserve"> for sourcing answers from uploaded documents, secure web grounding, and deep research capabilities</w:t>
      </w:r>
      <w:r>
        <w:t xml:space="preserve"> is now an institutional requirement rather than an optional capability.</w:t>
      </w:r>
    </w:p>
    <w:p w14:paraId="6BE90822" w14:textId="30AEE40C" w:rsidR="00E33E41" w:rsidRDefault="00000000" w:rsidP="00E50205">
      <w:pPr>
        <w:pStyle w:val="BodyText"/>
      </w:pPr>
      <w:r>
        <w:lastRenderedPageBreak/>
        <w:t>This paper presents a comprehensive examination of RAG as a production-deployable capability for T&amp;E programs. We argue that RAG architecturally outperforms general-purpose LLMs for domain-specific T&amp;E tasks</w:t>
      </w:r>
      <w:r w:rsidR="000E26AC">
        <w:t xml:space="preserve"> and</w:t>
      </w:r>
      <w:r>
        <w:t xml:space="preserve"> that production deployment </w:t>
      </w:r>
      <w:r w:rsidR="000E26AC">
        <w:t xml:space="preserve">for T&amp;E </w:t>
      </w:r>
      <w:r>
        <w:t>requires a specific layered architecture deployable across cloud impact levels IL4 through IL6</w:t>
      </w:r>
      <w:r w:rsidR="000E26AC">
        <w:t>. Further, our research found that o</w:t>
      </w:r>
      <w:r>
        <w:t xml:space="preserve">perating with CUI and classified data demands a rigorous security control regime, and that few-shot prompting transforms RAG from a question-answering tool into a structured automated </w:t>
      </w:r>
      <w:r w:rsidR="005C08FD">
        <w:t xml:space="preserve">T&amp;E </w:t>
      </w:r>
      <w:r>
        <w:t xml:space="preserve">report generation capability. We illustrate these arguments with a case study of a production deployment </w:t>
      </w:r>
      <w:r w:rsidR="005C08FD">
        <w:t xml:space="preserve">that </w:t>
      </w:r>
      <w:r>
        <w:t>the authors built on AWS GovCloud for a Navy warfare center. Together</w:t>
      </w:r>
      <w:r w:rsidR="005C08FD">
        <w:t>,</w:t>
      </w:r>
      <w:r>
        <w:t xml:space="preserve"> these arguments establish the foundation for full-lifecycle RAG deployment within a </w:t>
      </w:r>
      <w:r w:rsidR="005C08FD">
        <w:t>departmental</w:t>
      </w:r>
      <w:r>
        <w:t xml:space="preserve"> T&amp;E enterprise.</w:t>
      </w:r>
    </w:p>
    <w:p w14:paraId="5D1B79A5" w14:textId="01D26C6C" w:rsidR="00E33E41" w:rsidRDefault="005C08FD" w:rsidP="00E50205">
      <w:pPr>
        <w:pStyle w:val="FirstParagraph"/>
      </w:pPr>
      <w:bookmarkStart w:id="1" w:name="a-note-on-terminology-and-applicability."/>
      <w:r>
        <w:t xml:space="preserve">Our case study also examined the “NIPRNet” and “SIPRNet” for the unclassified and secret government networks, “Authorization to Operate (ATO)” for system accreditation, “CMMC” for supplier cyber-maturity certification, and “CDAO” for the central defense AI office. Equivalent constructs exist in most allied </w:t>
      </w:r>
      <w:proofErr w:type="spellStart"/>
      <w:r>
        <w:t>defence</w:t>
      </w:r>
      <w:proofErr w:type="spellEnd"/>
      <w:r>
        <w:t xml:space="preserve"> establishments and in many regulated civilian sectors like health, finance, and critical infrastructure. Where a </w:t>
      </w:r>
      <w:proofErr w:type="spellStart"/>
      <w:r>
        <w:t>DoW</w:t>
      </w:r>
      <w:proofErr w:type="spellEnd"/>
      <w:r>
        <w:t>-specific term first appears, we have tried to expand the acronym and (where useful) note the generic concept it instantiates so readers in other ministries, agencies, or industries can map the discussion onto their own equivalents.</w:t>
      </w:r>
    </w:p>
    <w:p w14:paraId="021694B3" w14:textId="77777777" w:rsidR="00E33E41" w:rsidRDefault="00000000" w:rsidP="00E50205">
      <w:pPr>
        <w:pStyle w:val="Heading1"/>
      </w:pPr>
      <w:bookmarkStart w:id="2" w:name="X5e46a7121fd6672d2cb1398ad18f0b04cac338c"/>
      <w:bookmarkEnd w:id="0"/>
      <w:bookmarkEnd w:id="1"/>
      <w:r>
        <w:t>How RAG works and why it outperforms general-purpose LLMs for T&amp;E</w:t>
      </w:r>
    </w:p>
    <w:p w14:paraId="37533DC4" w14:textId="77777777" w:rsidR="00E33E41" w:rsidRDefault="00000000" w:rsidP="00E50205">
      <w:pPr>
        <w:pStyle w:val="Heading2"/>
      </w:pPr>
      <w:bookmarkStart w:id="3" w:name="X98ebcde47065f04bab53695fab3bf505d35f4f9"/>
      <w:r>
        <w:t>Fundamental Limitations of Parametric-Only LLMs</w:t>
      </w:r>
    </w:p>
    <w:p w14:paraId="0F755E87" w14:textId="191279D8" w:rsidR="00E33E41" w:rsidRPr="0028070B" w:rsidRDefault="005C08FD" w:rsidP="00E50205">
      <w:pPr>
        <w:pStyle w:val="FirstParagraph"/>
        <w:rPr>
          <w:lang w:val="en-AU"/>
        </w:rPr>
      </w:pPr>
      <w:r w:rsidRPr="005C08FD">
        <w:t xml:space="preserve">Fine-tuning refers to retraining a pre-trained language model on task-specific data so that domain knowledge is internalized within the model’s parameters and performance improves on downstream tasks (Lewis et al. 2020; </w:t>
      </w:r>
      <w:r w:rsidR="005A6F77" w:rsidRPr="005A6F77">
        <w:rPr>
          <w:lang w:val="en-AU"/>
        </w:rPr>
        <w:t>Gao et al.</w:t>
      </w:r>
      <w:r w:rsidR="005A6F77">
        <w:rPr>
          <w:lang w:val="en-AU"/>
        </w:rPr>
        <w:t xml:space="preserve">, </w:t>
      </w:r>
      <w:r w:rsidR="005A6F77" w:rsidRPr="005A6F77">
        <w:rPr>
          <w:lang w:val="en-AU"/>
        </w:rPr>
        <w:t>2023</w:t>
      </w:r>
      <w:r w:rsidRPr="005C08FD">
        <w:t>; IBM 2025).</w:t>
      </w:r>
      <w:r w:rsidR="005A6F77">
        <w:t xml:space="preserve"> </w:t>
      </w:r>
      <w:r>
        <w:t>Fine-tuning as an alternative to RAG incurs high retraining compute costs, degrades performance on tasks outside the fine-tuned domain, and still cannot access information created after training (</w:t>
      </w:r>
      <w:r w:rsidR="00277653" w:rsidRPr="00277653">
        <w:t>Kirkpatrick et al. 2017</w:t>
      </w:r>
      <w:r w:rsidR="00277653">
        <w:t xml:space="preserve">; </w:t>
      </w:r>
      <w:r>
        <w:t>Stack Overflow 2023; F22 Labs 2024). In T&amp;E contexts, where test procedures, system specifications, and military standards evolve continuously, a static LLM cannot track updates without costly fine-tuning cycles. When a model lacks sufficient domain-specific training data, it generates plausible-sounding but factually incorrect outputs</w:t>
      </w:r>
      <w:r w:rsidR="0028070B">
        <w:t xml:space="preserve"> </w:t>
      </w:r>
      <w:r w:rsidR="0028070B" w:rsidRPr="0028070B">
        <w:rPr>
          <w:lang w:val="en-AU"/>
        </w:rPr>
        <w:t>(Gao et al. 2023)</w:t>
      </w:r>
      <w:r w:rsidR="0028070B">
        <w:t>: a</w:t>
      </w:r>
      <w:r>
        <w:t xml:space="preserve"> critical risk in safety</w:t>
      </w:r>
      <w:r w:rsidR="005A6F77">
        <w:t xml:space="preserve"> and mission</w:t>
      </w:r>
      <w:r>
        <w:t>-critical T&amp;E reporting.</w:t>
      </w:r>
    </w:p>
    <w:p w14:paraId="24B80EC0" w14:textId="77777777" w:rsidR="00E33E41" w:rsidRDefault="00000000" w:rsidP="00E50205">
      <w:pPr>
        <w:pStyle w:val="Heading2"/>
      </w:pPr>
      <w:bookmarkStart w:id="4" w:name="Xf75545d5aae0cf594ca7b16af165c7b24292240"/>
      <w:bookmarkEnd w:id="3"/>
      <w:r>
        <w:t>The RAG Paradigm: Architecture and Mechanism</w:t>
      </w:r>
    </w:p>
    <w:p w14:paraId="441AADF2" w14:textId="0100531F" w:rsidR="00E33E41" w:rsidRPr="00277653" w:rsidRDefault="00000000" w:rsidP="00E50205">
      <w:pPr>
        <w:pStyle w:val="FirstParagraph"/>
        <w:rPr>
          <w:lang w:val="en-AU"/>
        </w:rPr>
      </w:pPr>
      <w:r>
        <w:t>The core RAG pipeline consists of four stages (Figure </w:t>
      </w:r>
      <w:hyperlink w:anchor="fig:rag-pipeline">
        <w:r w:rsidR="00E33E41">
          <w:rPr>
            <w:rStyle w:val="Hyperlink"/>
          </w:rPr>
          <w:t>1</w:t>
        </w:r>
      </w:hyperlink>
      <w:r>
        <w:t>). First, document ingestion and preprocessing</w:t>
      </w:r>
      <w:r w:rsidR="005A6F77">
        <w:t>, where</w:t>
      </w:r>
      <w:r>
        <w:t xml:space="preserve"> raw T&amp;E artifacts</w:t>
      </w:r>
      <w:r w:rsidR="005A6F77">
        <w:t xml:space="preserve"> such as </w:t>
      </w:r>
      <w:r>
        <w:t xml:space="preserve">test plans, test reports, specifications, </w:t>
      </w:r>
      <w:r w:rsidR="005A6F77">
        <w:t xml:space="preserve">concepts of operation and standards </w:t>
      </w:r>
      <w:r>
        <w:t>are parsed, normalized, and segmented into chunks. Second, embedding and indexing</w:t>
      </w:r>
      <w:r w:rsidR="005A6F77">
        <w:t>, where</w:t>
      </w:r>
      <w:r>
        <w:t xml:space="preserve"> each chunk is encoded into a dense vector representation by an embedding model and stored in a vector database alongside </w:t>
      </w:r>
      <w:r>
        <w:lastRenderedPageBreak/>
        <w:t xml:space="preserve">metadata </w:t>
      </w:r>
      <w:r w:rsidR="005A6F77">
        <w:t>like</w:t>
      </w:r>
      <w:r>
        <w:t xml:space="preserve"> document title, classification marking, date, and system identifier. The key insight is that embeddings encode semantic meaning, not keywords</w:t>
      </w:r>
      <w:r w:rsidR="005A6F77">
        <w:t>, whereby</w:t>
      </w:r>
      <w:r>
        <w:t xml:space="preserve"> sentences with entirely different words but similar meaning (e.g., “the dog chased the ball” and “a puppy ran after a sphere”) are mapped to nearby points in vector space</w:t>
      </w:r>
      <w:r w:rsidR="00277653">
        <w:t xml:space="preserve"> (</w:t>
      </w:r>
      <w:r w:rsidR="00277653" w:rsidRPr="00277653">
        <w:rPr>
          <w:lang w:val="en-AU"/>
        </w:rPr>
        <w:t xml:space="preserve">Reimers &amp; </w:t>
      </w:r>
      <w:proofErr w:type="spellStart"/>
      <w:r w:rsidR="00277653" w:rsidRPr="00277653">
        <w:rPr>
          <w:lang w:val="en-AU"/>
        </w:rPr>
        <w:t>Gurevych</w:t>
      </w:r>
      <w:proofErr w:type="spellEnd"/>
      <w:r w:rsidR="00277653">
        <w:rPr>
          <w:lang w:val="en-AU"/>
        </w:rPr>
        <w:t>,</w:t>
      </w:r>
      <w:r w:rsidR="00277653" w:rsidRPr="00277653">
        <w:rPr>
          <w:lang w:val="en-AU"/>
        </w:rPr>
        <w:t xml:space="preserve"> 2019</w:t>
      </w:r>
      <w:r w:rsidR="00277653">
        <w:t>)</w:t>
      </w:r>
      <w:r>
        <w:t>, enabling semantic retrieval that keyword search cannot achieve. Third, query-time retrieval</w:t>
      </w:r>
      <w:r w:rsidR="005A6F77">
        <w:t>, where</w:t>
      </w:r>
      <w:r>
        <w:t xml:space="preserve"> a user submits a query, the query is embedded using the same embedding model, and cosine similarity or approximate nearest-neighbor search retrieves the top-</w:t>
      </w:r>
      <m:oMath>
        <m:r>
          <w:rPr>
            <w:rFonts w:ascii="Cambria Math" w:hAnsi="Cambria Math"/>
          </w:rPr>
          <m:t>k</m:t>
        </m:r>
      </m:oMath>
      <w:r>
        <w:t xml:space="preserve"> most relevant chunks from the vector store. Fourth, augmented generation</w:t>
      </w:r>
      <w:r w:rsidR="005A6F77">
        <w:t>, where</w:t>
      </w:r>
      <w:r>
        <w:t xml:space="preserve"> retrieved chunks are injected into the LLM’s context window as grounding evidence, and the LLM synthesizes a response anchored to that evidence rather than relying solely on parametric memory (Amazon Web Services 2025; IBM 2025).</w:t>
      </w:r>
    </w:p>
    <w:p w14:paraId="4E9000B8" w14:textId="77777777" w:rsidR="00E33E41" w:rsidRDefault="00000000" w:rsidP="00E50205">
      <w:pPr>
        <w:pStyle w:val="CaptionedFigure"/>
        <w:jc w:val="center"/>
      </w:pPr>
      <w:bookmarkStart w:id="5" w:name="fig:rag-pipeline"/>
      <w:r>
        <w:rPr>
          <w:noProof/>
        </w:rPr>
        <w:drawing>
          <wp:inline distT="0" distB="0" distL="0" distR="0" wp14:anchorId="3AF53D12" wp14:editId="6D34C0EA">
            <wp:extent cx="2977543" cy="106603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rag-pipeline.png"/>
                    <pic:cNvPicPr>
                      <a:picLocks noChangeAspect="1" noChangeArrowheads="1"/>
                    </pic:cNvPicPr>
                  </pic:nvPicPr>
                  <pic:blipFill>
                    <a:blip r:embed="rId6"/>
                    <a:stretch>
                      <a:fillRect/>
                    </a:stretch>
                  </pic:blipFill>
                  <pic:spPr bwMode="auto">
                    <a:xfrm>
                      <a:off x="0" y="0"/>
                      <a:ext cx="2977543" cy="1066034"/>
                    </a:xfrm>
                    <a:prstGeom prst="rect">
                      <a:avLst/>
                    </a:prstGeom>
                    <a:noFill/>
                    <a:ln w="9525">
                      <a:noFill/>
                      <a:headEnd/>
                      <a:tailEnd/>
                    </a:ln>
                  </pic:spPr>
                </pic:pic>
              </a:graphicData>
            </a:graphic>
          </wp:inline>
        </w:drawing>
      </w:r>
    </w:p>
    <w:p w14:paraId="05786A97" w14:textId="59230A1D" w:rsidR="00E33E41" w:rsidRDefault="00277653" w:rsidP="00E50205">
      <w:pPr>
        <w:pStyle w:val="ImageCaption"/>
      </w:pPr>
      <w:r>
        <w:t>Figure 1: Core RAG pipeline showing the query-time retrieval flow (top) and document ingestion path (bottom). The embedding model creates dense vector representations that enable semantic matching between queries and document chunks.</w:t>
      </w:r>
    </w:p>
    <w:bookmarkEnd w:id="5"/>
    <w:p w14:paraId="779DCADD" w14:textId="6F1E8785" w:rsidR="00E33E41" w:rsidRPr="00277653" w:rsidRDefault="005A6F77" w:rsidP="00E50205">
      <w:pPr>
        <w:pStyle w:val="BodyText"/>
        <w:rPr>
          <w:lang w:val="en-AU"/>
        </w:rPr>
      </w:pPr>
      <w:r>
        <w:t>The chunking strategy critically affects retrieval quality</w:t>
      </w:r>
      <w:r w:rsidR="00277653">
        <w:t xml:space="preserve"> (</w:t>
      </w:r>
      <w:r w:rsidR="00277653" w:rsidRPr="00277653">
        <w:rPr>
          <w:lang w:val="en-AU"/>
        </w:rPr>
        <w:t>Wang et al.</w:t>
      </w:r>
      <w:r w:rsidR="00277653">
        <w:rPr>
          <w:lang w:val="en-AU"/>
        </w:rPr>
        <w:t>,</w:t>
      </w:r>
      <w:r w:rsidR="00277653" w:rsidRPr="00277653">
        <w:rPr>
          <w:lang w:val="en-AU"/>
        </w:rPr>
        <w:t xml:space="preserve"> 2024</w:t>
      </w:r>
      <w:r w:rsidR="00277653">
        <w:rPr>
          <w:lang w:val="en-AU"/>
        </w:rPr>
        <w:t>)</w:t>
      </w:r>
      <w:r>
        <w:t xml:space="preserve">. Chunks that are too small fragment context and lose coherence, while chunks that are too large waste the LLM’s context window and dilute focus. Wang et al. (2024) conducted systematic experiments comparing chunk sizes of 128, 256, 512, 1024, and 2048 tokens, finding that 512-token chunks achieved the highest average faithfulness score (97.59%) while 256-token chunks achieved the highest relevancy (97.78%), with both substantially outperforming the 2048-token baseline (80.37% faithfulness, 91.11% relevancy). Among chunking techniques, the sliding window approach, which uses overlapping chunks to prevent boundary information loss, outperformed both original chunking and the small-to-big method, achieving 97.41% faithfulness and 96.85% relevancy (Wang et al. 2024). </w:t>
      </w:r>
      <w:r w:rsidR="00FA0E84">
        <w:t>Therefore, s</w:t>
      </w:r>
      <w:r>
        <w:t>emantic-boundary chunking at paragraph or section boundaries is preferred over fixed-token chunking for structured T&amp;E documents.</w:t>
      </w:r>
    </w:p>
    <w:p w14:paraId="1CA89562" w14:textId="77777777" w:rsidR="00B21A12" w:rsidRDefault="00000000" w:rsidP="00E50205">
      <w:pPr>
        <w:pStyle w:val="BodyText"/>
      </w:pPr>
      <w:r>
        <w:t>RAG implementations have evolved through several generations (Figure </w:t>
      </w:r>
      <w:hyperlink w:anchor="fig:naive-vs-advanced">
        <w:r w:rsidR="00E33E41">
          <w:rPr>
            <w:rStyle w:val="Hyperlink"/>
          </w:rPr>
          <w:t>2</w:t>
        </w:r>
      </w:hyperlink>
      <w:r>
        <w:t>)</w:t>
      </w:r>
      <w:r w:rsidR="00FA0E84">
        <w:t xml:space="preserve"> as outlined by Gao et al. (2023)</w:t>
      </w:r>
      <w:r>
        <w:t xml:space="preserve">. Naive RAG performs simple single-pass retrieve-then-generate operations but is prone to low-precision retrieval and context misalignment. Advanced RAG incorporates pre-retrieval query expansion, re-ranking, post-retrieval compression, and relevance filtering to improve chunk quality (Gao et al. 2023; </w:t>
      </w:r>
      <w:r w:rsidRPr="00FA0E84">
        <w:rPr>
          <w:i/>
          <w:iCs/>
        </w:rPr>
        <w:t>Promptingguide.ai</w:t>
      </w:r>
      <w:r>
        <w:t xml:space="preserve"> 2024b). Re-ranking</w:t>
      </w:r>
      <w:r w:rsidR="00FA0E84">
        <w:t>, where</w:t>
      </w:r>
      <w:r>
        <w:t xml:space="preserve"> deep language models </w:t>
      </w:r>
      <w:r w:rsidR="00FA0E84">
        <w:t xml:space="preserve">are used </w:t>
      </w:r>
      <w:r>
        <w:t>to re-score retrieved chunks by relevance</w:t>
      </w:r>
      <w:r w:rsidR="00FA0E84">
        <w:t xml:space="preserve">, can </w:t>
      </w:r>
      <w:r>
        <w:t xml:space="preserve">dramatically </w:t>
      </w:r>
      <w:r w:rsidR="00FA0E84">
        <w:t>improve</w:t>
      </w:r>
      <w:r>
        <w:t xml:space="preserve"> retrieval precision. </w:t>
      </w:r>
      <w:r w:rsidR="009B61AF" w:rsidRPr="009B61AF">
        <w:t xml:space="preserve">For example, Wang et al. (2024) report that on the </w:t>
      </w:r>
      <w:r w:rsidR="00B21A12" w:rsidRPr="00B21A12">
        <w:rPr>
          <w:lang w:val="en-AU"/>
        </w:rPr>
        <w:t xml:space="preserve">Microsoft </w:t>
      </w:r>
      <w:proofErr w:type="spellStart"/>
      <w:r w:rsidR="00B21A12" w:rsidRPr="00B21A12">
        <w:rPr>
          <w:lang w:val="en-AU"/>
        </w:rPr>
        <w:t>MAchine</w:t>
      </w:r>
      <w:proofErr w:type="spellEnd"/>
      <w:r w:rsidR="00B21A12" w:rsidRPr="00B21A12">
        <w:rPr>
          <w:lang w:val="en-AU"/>
        </w:rPr>
        <w:t xml:space="preserve"> Reading Comprehension</w:t>
      </w:r>
      <w:r w:rsidR="00B21A12">
        <w:rPr>
          <w:lang w:val="en-AU"/>
        </w:rPr>
        <w:t xml:space="preserve"> (</w:t>
      </w:r>
      <w:r w:rsidR="009B61AF" w:rsidRPr="009B61AF">
        <w:t>MS MARCO</w:t>
      </w:r>
      <w:r w:rsidR="00B21A12">
        <w:t>)</w:t>
      </w:r>
      <w:r w:rsidR="009B61AF" w:rsidRPr="009B61AF">
        <w:t xml:space="preserve"> passage ranking benchmark, LLM-based re-rankers such as </w:t>
      </w:r>
      <w:proofErr w:type="spellStart"/>
      <w:r w:rsidR="009B61AF" w:rsidRPr="00B21A12">
        <w:rPr>
          <w:i/>
          <w:iCs/>
        </w:rPr>
        <w:t>RankLLaMA</w:t>
      </w:r>
      <w:proofErr w:type="spellEnd"/>
      <w:r w:rsidR="009B61AF" w:rsidRPr="00B21A12">
        <w:rPr>
          <w:i/>
          <w:iCs/>
        </w:rPr>
        <w:t xml:space="preserve"> </w:t>
      </w:r>
      <w:r w:rsidR="009B61AF" w:rsidRPr="009B61AF">
        <w:t xml:space="preserve">substantially outperform </w:t>
      </w:r>
      <w:r w:rsidR="009B61AF" w:rsidRPr="009B61AF">
        <w:lastRenderedPageBreak/>
        <w:t xml:space="preserve">lexical baselines. Specifically, </w:t>
      </w:r>
      <w:proofErr w:type="spellStart"/>
      <w:r w:rsidR="009B61AF" w:rsidRPr="00B21A12">
        <w:rPr>
          <w:i/>
          <w:iCs/>
        </w:rPr>
        <w:t>RankLLaMA</w:t>
      </w:r>
      <w:proofErr w:type="spellEnd"/>
      <w:r w:rsidR="009B61AF" w:rsidRPr="009B61AF">
        <w:t xml:space="preserve"> achieves an MRR@10 of approximately 22.1%, compared to 6.5% for </w:t>
      </w:r>
      <w:r w:rsidR="00B21A12" w:rsidRPr="00B21A12">
        <w:rPr>
          <w:lang w:val="en-AU"/>
        </w:rPr>
        <w:t>Best Matching 25</w:t>
      </w:r>
      <w:r w:rsidR="00B21A12">
        <w:rPr>
          <w:lang w:val="en-AU"/>
        </w:rPr>
        <w:t xml:space="preserve"> (</w:t>
      </w:r>
      <w:r w:rsidR="009B61AF" w:rsidRPr="009B61AF">
        <w:t>BM25</w:t>
      </w:r>
      <w:r w:rsidR="00B21A12">
        <w:t>)</w:t>
      </w:r>
      <w:r w:rsidR="009B61AF" w:rsidRPr="009B61AF">
        <w:t>, representing a 3.4-fold improvement. Similarly, Hit@10 increases from 24.6% to 54.5%</w:t>
      </w:r>
      <w:r w:rsidR="00B21A12">
        <w:t>.</w:t>
      </w:r>
    </w:p>
    <w:p w14:paraId="7B7C8056" w14:textId="0A779AA2" w:rsidR="00E33E41" w:rsidRPr="00FA0E84" w:rsidRDefault="00000000" w:rsidP="00E50205">
      <w:pPr>
        <w:pStyle w:val="BodyText"/>
        <w:rPr>
          <w:lang w:val="en-AU"/>
        </w:rPr>
      </w:pPr>
      <w:r>
        <w:t>Modular RAG introduces composable pipeline nodes</w:t>
      </w:r>
      <w:r w:rsidR="00FA0E84">
        <w:t>,</w:t>
      </w:r>
      <w:r>
        <w:t xml:space="preserve"> including specialized retrievers, memory modules, adaptive retrieval triggers, and iterative retrieval for complex multi-hop queries. Agentic RAG represents the emerging frontier, where an LLM orchestrator autonomously decides when retrieval is needed, formulates sub-queries, and integrates multiple retrieval rounds</w:t>
      </w:r>
      <w:r w:rsidR="00FA0E84">
        <w:t xml:space="preserve"> </w:t>
      </w:r>
      <w:r w:rsidR="00FA0E84" w:rsidRPr="00FA0E84">
        <w:rPr>
          <w:lang w:val="en-AU"/>
        </w:rPr>
        <w:t>Singh et al. (2025)</w:t>
      </w:r>
      <w:r w:rsidR="00FA0E84">
        <w:rPr>
          <w:lang w:val="en-AU"/>
        </w:rPr>
        <w:t xml:space="preserve">. </w:t>
      </w:r>
      <w:r w:rsidR="004F76AF">
        <w:rPr>
          <w:lang w:val="en-AU"/>
        </w:rPr>
        <w:t>Agentic RAG</w:t>
      </w:r>
      <w:r>
        <w:t xml:space="preserve"> pattern</w:t>
      </w:r>
      <w:r w:rsidR="004F76AF">
        <w:t>s are</w:t>
      </w:r>
      <w:r>
        <w:t xml:space="preserve"> already appearing in Chief Digital and Artificial Intelligence Office (CDAO) AI Rapid Capabilities Cell pilots (GDIT 2024).</w:t>
      </w:r>
    </w:p>
    <w:p w14:paraId="72544D6A" w14:textId="77777777" w:rsidR="00E33E41" w:rsidRDefault="00000000" w:rsidP="004F76AF">
      <w:pPr>
        <w:pStyle w:val="CaptionedFigure"/>
        <w:jc w:val="center"/>
      </w:pPr>
      <w:bookmarkStart w:id="6" w:name="fig:naive-vs-advanced"/>
      <w:r>
        <w:rPr>
          <w:noProof/>
        </w:rPr>
        <w:drawing>
          <wp:inline distT="0" distB="0" distL="0" distR="0" wp14:anchorId="1BD9C7FF" wp14:editId="0CDA4633">
            <wp:extent cx="4493885" cy="2311272"/>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naive-vs-advanced-rag.png"/>
                    <pic:cNvPicPr>
                      <a:picLocks noChangeAspect="1" noChangeArrowheads="1"/>
                    </pic:cNvPicPr>
                  </pic:nvPicPr>
                  <pic:blipFill>
                    <a:blip r:embed="rId7"/>
                    <a:stretch>
                      <a:fillRect/>
                    </a:stretch>
                  </pic:blipFill>
                  <pic:spPr bwMode="auto">
                    <a:xfrm>
                      <a:off x="0" y="0"/>
                      <a:ext cx="4493885" cy="2311272"/>
                    </a:xfrm>
                    <a:prstGeom prst="rect">
                      <a:avLst/>
                    </a:prstGeom>
                    <a:noFill/>
                    <a:ln w="9525">
                      <a:noFill/>
                      <a:headEnd/>
                      <a:tailEnd/>
                    </a:ln>
                  </pic:spPr>
                </pic:pic>
              </a:graphicData>
            </a:graphic>
          </wp:inline>
        </w:drawing>
      </w:r>
    </w:p>
    <w:p w14:paraId="272AC42F" w14:textId="23F0D77F" w:rsidR="00E33E41" w:rsidRDefault="004F76AF" w:rsidP="00E50205">
      <w:pPr>
        <w:pStyle w:val="ImageCaption"/>
      </w:pPr>
      <w:r>
        <w:t>Figure 2: Naive RAG versus Advanced RAG. Naive RAG performs a single retrieve-then-generate pass. Advanced RAG adds query rewriting, re-ranking, and self-critique stages that substantially improve accuracy for production deployments.</w:t>
      </w:r>
    </w:p>
    <w:bookmarkEnd w:id="6"/>
    <w:p w14:paraId="2EB50F79" w14:textId="17B6E850" w:rsidR="00E33E41" w:rsidRDefault="00000000" w:rsidP="00E50205">
      <w:pPr>
        <w:pStyle w:val="BodyText"/>
      </w:pPr>
      <w:r>
        <w:t xml:space="preserve">Three common failure modes must be addressed in production RAG systems. First, retrieval </w:t>
      </w:r>
      <w:r w:rsidR="004F76AF">
        <w:t xml:space="preserve">can </w:t>
      </w:r>
      <w:r>
        <w:t>miss relevant chunks</w:t>
      </w:r>
      <w:r w:rsidR="004F76AF">
        <w:t xml:space="preserve">, usually </w:t>
      </w:r>
      <w:r>
        <w:t xml:space="preserve">mitigated through better chunking strategies, query rewriting, higher </w:t>
      </w:r>
      <m:oMath>
        <m:r>
          <w:rPr>
            <w:rFonts w:ascii="Cambria Math" w:hAnsi="Cambria Math"/>
          </w:rPr>
          <m:t>k</m:t>
        </m:r>
      </m:oMath>
      <w:r>
        <w:t xml:space="preserve"> values, and re-ranking. Second, the model </w:t>
      </w:r>
      <w:r w:rsidR="004F76AF">
        <w:t xml:space="preserve">can </w:t>
      </w:r>
      <w:r>
        <w:t>ignore good context</w:t>
      </w:r>
      <w:r w:rsidR="004F76AF">
        <w:t xml:space="preserve">, usually </w:t>
      </w:r>
      <w:r>
        <w:t xml:space="preserve">mitigated through explicit prompt instructions such as “Answer ONLY from provided context; if the information is not there, say so.” Third, hallucinations </w:t>
      </w:r>
      <w:r w:rsidR="004F76AF">
        <w:t xml:space="preserve">can </w:t>
      </w:r>
      <w:r>
        <w:t>persist despite retrieved context</w:t>
      </w:r>
      <w:r w:rsidR="004F76AF">
        <w:t xml:space="preserve">, usually </w:t>
      </w:r>
      <w:r>
        <w:t>mitigated by requiring the model to quote source passages before generating answers, forcing citation-grounded output.</w:t>
      </w:r>
    </w:p>
    <w:p w14:paraId="731F6AF9" w14:textId="77777777" w:rsidR="00E33E41" w:rsidRDefault="00000000" w:rsidP="00E50205">
      <w:pPr>
        <w:pStyle w:val="Heading2"/>
      </w:pPr>
      <w:bookmarkStart w:id="7" w:name="X8bfe809c7a7e6545b294dfc905c1abd25e2b64d"/>
      <w:bookmarkEnd w:id="4"/>
      <w:r>
        <w:t>Why RAG Dominates Fine-Tuning for T&amp;E Domains</w:t>
      </w:r>
    </w:p>
    <w:p w14:paraId="1757C061" w14:textId="3DB88E84" w:rsidR="00E33E41" w:rsidRPr="002D6BEF" w:rsidRDefault="00000000" w:rsidP="00E50205">
      <w:pPr>
        <w:pStyle w:val="FirstParagraph"/>
        <w:rPr>
          <w:lang w:val="en-AU"/>
        </w:rPr>
      </w:pPr>
      <w:r>
        <w:t>RAG offers decisive advantages over fine-tuning for T&amp;E applications. RAG knowledge bases can be updated asynchronously</w:t>
      </w:r>
      <w:r w:rsidR="004F76AF">
        <w:t xml:space="preserve">, such as </w:t>
      </w:r>
      <w:r>
        <w:t>new test results</w:t>
      </w:r>
      <w:r w:rsidR="004F76AF">
        <w:t xml:space="preserve"> or</w:t>
      </w:r>
      <w:r>
        <w:t xml:space="preserve"> updated specifications</w:t>
      </w:r>
      <w:r w:rsidR="004F76AF">
        <w:t xml:space="preserve">, </w:t>
      </w:r>
      <w:r>
        <w:t xml:space="preserve">without retraining the LLM, whereas fine-tuned models require full retraining cycles (Stack Overflow 2023; IBM 2025). RAG returns the retrieved document chunks alongside the generated answer, enabling analysts to verify outputs against primary sources and satisfying </w:t>
      </w:r>
      <w:proofErr w:type="spellStart"/>
      <w:r>
        <w:t>DoW</w:t>
      </w:r>
      <w:proofErr w:type="spellEnd"/>
      <w:r>
        <w:t xml:space="preserve"> documentation traceability requirements (Amazon Web Services 2025). </w:t>
      </w:r>
      <w:r>
        <w:lastRenderedPageBreak/>
        <w:t>Updating a vector index is orders of magnitude cheaper than re-running a fine-tuning run on GPU clusters (F22 Labs 2024</w:t>
      </w:r>
      <w:r w:rsidR="0028070B">
        <w:t xml:space="preserve">; </w:t>
      </w:r>
      <w:r w:rsidR="002D6BEF" w:rsidRPr="002D6BEF">
        <w:rPr>
          <w:lang w:val="en-AU"/>
        </w:rPr>
        <w:t>Shao et al.</w:t>
      </w:r>
      <w:r w:rsidR="002D6BEF">
        <w:rPr>
          <w:lang w:val="en-AU"/>
        </w:rPr>
        <w:t>,</w:t>
      </w:r>
      <w:r w:rsidR="002D6BEF" w:rsidRPr="002D6BEF">
        <w:rPr>
          <w:lang w:val="en-AU"/>
        </w:rPr>
        <w:t xml:space="preserve"> 2023</w:t>
      </w:r>
      <w:r>
        <w:t>). Studies show accuracy and usefulness improvements of 107</w:t>
      </w:r>
      <w:r w:rsidR="006D6004">
        <w:t xml:space="preserve">% to </w:t>
      </w:r>
      <w:r>
        <w:t>177% on domain question-answering tasks when RAG is applied versus zero-shot LLM baselines (</w:t>
      </w:r>
      <w:proofErr w:type="spellStart"/>
      <w:r>
        <w:t>Dayarathne</w:t>
      </w:r>
      <w:proofErr w:type="spellEnd"/>
      <w:r>
        <w:t xml:space="preserve"> et al.</w:t>
      </w:r>
      <w:r w:rsidR="004F76AF">
        <w:t>,</w:t>
      </w:r>
      <w:r>
        <w:t xml:space="preserve"> 2025). Retrieved documents carry classification markings and provenance metadata, enabling access-controlled generation consistent with </w:t>
      </w:r>
      <w:r w:rsidR="004F76AF">
        <w:t xml:space="preserve">compartmentalized security </w:t>
      </w:r>
      <w:r>
        <w:t>handling requirements.</w:t>
      </w:r>
    </w:p>
    <w:p w14:paraId="1C7C0EB3" w14:textId="3FC0CA5B" w:rsidR="00E33E41" w:rsidRDefault="004F76AF" w:rsidP="00E50205">
      <w:pPr>
        <w:pStyle w:val="BodyText"/>
      </w:pPr>
      <w:r>
        <w:t xml:space="preserve">In the simplest mental model, RAG combines </w:t>
      </w:r>
      <w:r w:rsidR="00A85B44">
        <w:t>its metaphorical</w:t>
      </w:r>
      <w:r>
        <w:t xml:space="preserve"> </w:t>
      </w:r>
      <w:r w:rsidR="00A85B44">
        <w:t>‘</w:t>
      </w:r>
      <w:r>
        <w:t>librarian</w:t>
      </w:r>
      <w:r w:rsidR="00A85B44">
        <w:t>’</w:t>
      </w:r>
      <w:r>
        <w:t xml:space="preserve"> with a language model. The </w:t>
      </w:r>
      <w:r w:rsidR="00A85B44">
        <w:t>‘</w:t>
      </w:r>
      <w:r>
        <w:t>librarian</w:t>
      </w:r>
      <w:r w:rsidR="00A85B44">
        <w:t>’</w:t>
      </w:r>
      <w:r>
        <w:t xml:space="preserve"> searches the knowledge base and hands over relevant pages</w:t>
      </w:r>
      <w:r w:rsidR="00A85B44">
        <w:t>, then</w:t>
      </w:r>
      <w:r>
        <w:t xml:space="preserve"> the model reads those pages and writes the answer. Most RAG failures trace to one of two causes: the wrong documents were retrieved, or the model failed to use the documents it was given. This framing clarifies that RAG quality depends as much on retrieval engineering as on the generative model.</w:t>
      </w:r>
    </w:p>
    <w:p w14:paraId="5E4CAB1D" w14:textId="672732CC" w:rsidR="00E33E41" w:rsidRPr="00A85B44" w:rsidRDefault="00A85B44" w:rsidP="00E50205">
      <w:pPr>
        <w:pStyle w:val="BodyText"/>
        <w:rPr>
          <w:lang w:val="en-AU"/>
        </w:rPr>
      </w:pPr>
      <w:r>
        <w:t xml:space="preserve">It is important to note that RAG is not always universally appropriate. When the entire knowledge base fits within a single LLM context window, direct context injection, colloquially known as “stuffing”, is simpler and avoids retrieval latency. When the task requires holistic reasoning over an entire corpus rather than targeted retrieval, RAG’s chunk-based approach may fragment necessary context. When latency is critical, and retrieval adds unacceptable delay, or when the underlying data changes every few seconds faster than embeddings can be refreshed, an alternative architecture may be preferred. For deeply internalized, static domain knowledge, fine-tuning remains appropriate, </w:t>
      </w:r>
      <w:r w:rsidRPr="00A85B44">
        <w:t>as domain-adapted models consistently outperform general-purpose models on tasks within that domain (</w:t>
      </w:r>
      <w:proofErr w:type="spellStart"/>
      <w:r w:rsidRPr="00A85B44">
        <w:rPr>
          <w:lang w:val="en-AU"/>
        </w:rPr>
        <w:t>Anisuzzaman</w:t>
      </w:r>
      <w:proofErr w:type="spellEnd"/>
      <w:r w:rsidRPr="00A85B44">
        <w:rPr>
          <w:lang w:val="en-AU"/>
        </w:rPr>
        <w:t xml:space="preserve"> et al.</w:t>
      </w:r>
      <w:r>
        <w:rPr>
          <w:lang w:val="en-AU"/>
        </w:rPr>
        <w:t>,</w:t>
      </w:r>
      <w:r w:rsidRPr="00A85B44">
        <w:rPr>
          <w:lang w:val="en-AU"/>
        </w:rPr>
        <w:t xml:space="preserve"> 2024</w:t>
      </w:r>
      <w:r w:rsidRPr="00A85B44">
        <w:t>)</w:t>
      </w:r>
      <w:r>
        <w:t>. T&amp;E applications, however, are characterized by large, evolving document corpora and strict traceability requirements</w:t>
      </w:r>
      <w:r w:rsidR="00AF3C91">
        <w:t xml:space="preserve"> (</w:t>
      </w:r>
      <w:r w:rsidR="00AF3C91" w:rsidRPr="00AF3C91">
        <w:t>Kurzhals et al.</w:t>
      </w:r>
      <w:r w:rsidR="00AF3C91">
        <w:t xml:space="preserve">, </w:t>
      </w:r>
      <w:r w:rsidR="00AF3C91" w:rsidRPr="00AF3C91">
        <w:t>2025)</w:t>
      </w:r>
      <w:r w:rsidR="00AF3C91">
        <w:t xml:space="preserve">; </w:t>
      </w:r>
      <w:r>
        <w:t>precisely the conditions where RAG excels.</w:t>
      </w:r>
    </w:p>
    <w:p w14:paraId="3E4D5951" w14:textId="77777777" w:rsidR="00E33E41" w:rsidRDefault="00000000" w:rsidP="00E50205">
      <w:pPr>
        <w:pStyle w:val="Heading2"/>
      </w:pPr>
      <w:bookmarkStart w:id="8" w:name="te-specific-advantages"/>
      <w:bookmarkEnd w:id="7"/>
      <w:r>
        <w:t>T&amp;E-Specific Advantages</w:t>
      </w:r>
    </w:p>
    <w:p w14:paraId="386853D7" w14:textId="10981DDF" w:rsidR="00E33E41" w:rsidRDefault="00000000" w:rsidP="00E50205">
      <w:pPr>
        <w:pStyle w:val="FirstParagraph"/>
      </w:pPr>
      <w:r>
        <w:t xml:space="preserve">T&amp;E knowledge bases include </w:t>
      </w:r>
      <w:r w:rsidR="006D6004">
        <w:t>standards</w:t>
      </w:r>
      <w:r>
        <w:t>, test procedures, previous test reports, systems engineering documents, specification trees, and operator manuals</w:t>
      </w:r>
      <w:r w:rsidR="006D6004">
        <w:t xml:space="preserve">. These bases are </w:t>
      </w:r>
      <w:r>
        <w:t>all ideal RAG corpus material. RAG can retrieve and synthesize across hundreds of T&amp;E artifacts simultaneously, a task no single analyst can perform manually</w:t>
      </w:r>
      <w:r w:rsidR="006D6004">
        <w:t>, certainly</w:t>
      </w:r>
      <w:r>
        <w:t xml:space="preserve"> at scale. The knowledge base ingestion pipeline can be triggered on a </w:t>
      </w:r>
      <w:r w:rsidR="006D6004">
        <w:t xml:space="preserve">regular </w:t>
      </w:r>
      <w:r>
        <w:t>schedule to capture new test data as it is generated, keeping the system current with ongoing test programs. Because retrieved context is logged alongside the generated answer, each output can be reproduced and audited</w:t>
      </w:r>
      <w:r w:rsidR="006D6004">
        <w:t xml:space="preserve">, an </w:t>
      </w:r>
      <w:r>
        <w:t xml:space="preserve">essential </w:t>
      </w:r>
      <w:r w:rsidR="006D6004">
        <w:t xml:space="preserve">criterion </w:t>
      </w:r>
      <w:r>
        <w:t>for test record integrity.</w:t>
      </w:r>
    </w:p>
    <w:p w14:paraId="156529A9" w14:textId="77777777" w:rsidR="00E33E41" w:rsidRDefault="00000000" w:rsidP="00E50205">
      <w:pPr>
        <w:pStyle w:val="Heading2"/>
      </w:pPr>
      <w:bookmarkStart w:id="9" w:name="quantitative-performance-benchmarks"/>
      <w:bookmarkEnd w:id="8"/>
      <w:r>
        <w:t>Quantitative Performance Benchmarks</w:t>
      </w:r>
    </w:p>
    <w:p w14:paraId="64FC07F7" w14:textId="798AC630" w:rsidR="00E33E41" w:rsidRPr="008474F3" w:rsidRDefault="006D6004" w:rsidP="00E50205">
      <w:pPr>
        <w:pStyle w:val="FirstParagraph"/>
        <w:rPr>
          <w:lang w:val="en-AU"/>
        </w:rPr>
      </w:pPr>
      <w:r>
        <w:t xml:space="preserve">Saad-Falcon et al. (2024) </w:t>
      </w:r>
      <w:r w:rsidR="008474F3">
        <w:t>evaluate frameworks for assessing RAG, including one known as the</w:t>
      </w:r>
      <w:r>
        <w:t xml:space="preserve"> </w:t>
      </w:r>
      <w:r w:rsidRPr="006D6004">
        <w:rPr>
          <w:lang w:val="en-AU"/>
        </w:rPr>
        <w:t>Retrieval Augmented Generation Assessment</w:t>
      </w:r>
      <w:r w:rsidR="008474F3">
        <w:rPr>
          <w:lang w:val="en-AU"/>
        </w:rPr>
        <w:t xml:space="preserve"> (RAGAS). The framework</w:t>
      </w:r>
      <w:r>
        <w:t xml:space="preserve"> evaluates RAG systems on context relevance, answer faithfulness, and answer relevance, outperforming hand-written heuristic baselines. </w:t>
      </w:r>
      <w:r w:rsidR="008474F3" w:rsidRPr="008474F3">
        <w:rPr>
          <w:lang w:val="en-AU"/>
        </w:rPr>
        <w:t xml:space="preserve">Karakurt and Akbulut (2026) report that enterprise RAG implementations are dominated by standard retrieval frameworks such as FAISS and </w:t>
      </w:r>
      <w:r w:rsidR="008474F3" w:rsidRPr="008474F3">
        <w:rPr>
          <w:lang w:val="en-AU"/>
        </w:rPr>
        <w:lastRenderedPageBreak/>
        <w:t xml:space="preserve">Elasticsearch, with GPT-based models comprising </w:t>
      </w:r>
      <w:proofErr w:type="gramStart"/>
      <w:r w:rsidR="008474F3" w:rsidRPr="008474F3">
        <w:rPr>
          <w:lang w:val="en-AU"/>
        </w:rPr>
        <w:t>the majority of</w:t>
      </w:r>
      <w:proofErr w:type="gramEnd"/>
      <w:r w:rsidR="008474F3" w:rsidRPr="008474F3">
        <w:rPr>
          <w:lang w:val="en-AU"/>
        </w:rPr>
        <w:t xml:space="preserve"> deployed systems. Their systematic review further indicates that domain-specific corpora significantly improve performance in knowledge-intensive tasks, consistent with evidence from retrieval benchmarks such as </w:t>
      </w:r>
      <w:r w:rsidR="00505B24" w:rsidRPr="00505B24">
        <w:rPr>
          <w:lang w:val="en-AU"/>
        </w:rPr>
        <w:t>Benchmarking Information Retrieval (BEIR)</w:t>
      </w:r>
      <w:r w:rsidR="008474F3" w:rsidRPr="008474F3">
        <w:rPr>
          <w:lang w:val="en-AU"/>
        </w:rPr>
        <w:t xml:space="preserve"> (Thakur et al. 2021), which highlight the importance of robust cross-domain retrieval.</w:t>
      </w:r>
      <w:r>
        <w:t xml:space="preserve"> Readers seeking a more comprehensive treatment of the broader RAG evaluation landscape are referred to the recent PRISMA-aligned systematic review of Brown et al. (2025), which catalogues the field’s evolution from </w:t>
      </w:r>
      <w:r w:rsidR="00505B24" w:rsidRPr="00505B24">
        <w:rPr>
          <w:lang w:val="en-AU"/>
        </w:rPr>
        <w:t>Dense Passage Retrieval</w:t>
      </w:r>
      <w:r w:rsidR="00505B24">
        <w:rPr>
          <w:lang w:val="en-AU"/>
        </w:rPr>
        <w:t xml:space="preserve"> (</w:t>
      </w:r>
      <w:r>
        <w:t>DPR</w:t>
      </w:r>
      <w:r w:rsidR="00505B24">
        <w:t>)</w:t>
      </w:r>
      <w:r>
        <w:t>-based baselines toward modular, policy-driven architectures with hybrid retrieval and uncertainty-aware control, and to Yu et al. (2025), who propose a unified evaluation framework distinguishing retrieval, generation, and end-to-end metrics.</w:t>
      </w:r>
    </w:p>
    <w:p w14:paraId="33CA8B30" w14:textId="77777777" w:rsidR="00E33E41" w:rsidRDefault="00000000" w:rsidP="00E50205">
      <w:pPr>
        <w:pStyle w:val="Heading1"/>
      </w:pPr>
      <w:bookmarkStart w:id="10" w:name="X196edc564189e00dd64fbe9f6137cc1aefb1609"/>
      <w:bookmarkEnd w:id="2"/>
      <w:bookmarkEnd w:id="9"/>
      <w:r>
        <w:t xml:space="preserve">Architecture and technology stack for production </w:t>
      </w:r>
      <w:proofErr w:type="spellStart"/>
      <w:r>
        <w:t>DoW</w:t>
      </w:r>
      <w:proofErr w:type="spellEnd"/>
      <w:r>
        <w:t xml:space="preserve"> RAG deployment</w:t>
      </w:r>
    </w:p>
    <w:p w14:paraId="7C4A7EF6" w14:textId="5BE22110" w:rsidR="00E33E41" w:rsidRDefault="00000000" w:rsidP="00E50205">
      <w:pPr>
        <w:pStyle w:val="FirstParagraph"/>
      </w:pPr>
      <w:r>
        <w:t xml:space="preserve">A production </w:t>
      </w:r>
      <w:proofErr w:type="spellStart"/>
      <w:r>
        <w:t>DoW</w:t>
      </w:r>
      <w:proofErr w:type="spellEnd"/>
      <w:r>
        <w:t xml:space="preserve"> RAG system is not a single application but a multi-layer data and AI platform. Treating it as an ad hoc chatbot feature is the primary cause of failed deployments (DEV Community 2025). Recent surveys of the RAG stack synthesize academic and industrial deployment experience into a unified taxonomy with explicit attention to trust, alignment, and domain adaptation (Wampler et al.</w:t>
      </w:r>
      <w:r w:rsidR="00505B24">
        <w:t>,</w:t>
      </w:r>
      <w:r>
        <w:t xml:space="preserve"> 2026), mirroring the layered, policy-driven approach we adopt below. The architecture comprises five production layers.</w:t>
      </w:r>
    </w:p>
    <w:p w14:paraId="50F58AFE" w14:textId="77777777" w:rsidR="00E33E41" w:rsidRDefault="00000000" w:rsidP="00E50205">
      <w:pPr>
        <w:pStyle w:val="Heading2"/>
      </w:pPr>
      <w:bookmarkStart w:id="11" w:name="Xbcf7f6e75559ada2f5f53e2027a37b43a954d93"/>
      <w:r>
        <w:t>Layer 1: Document Ingestion and Preprocessing</w:t>
      </w:r>
    </w:p>
    <w:p w14:paraId="76E21434" w14:textId="2CA21EAB" w:rsidR="00E33E41" w:rsidRDefault="00000000" w:rsidP="00E50205">
      <w:pPr>
        <w:pStyle w:val="FirstParagraph"/>
      </w:pPr>
      <w:r>
        <w:t xml:space="preserve">Source connectors interface with SharePoint on NIPRNet and SIPRNet, SIPR file shares, PDFs, Word documents, technical data packages, and structured databases. Content extraction employs Optical Character Recognition (OCR) for scanned documents, table extraction, and image captioning, with normalization to plain text or structured </w:t>
      </w:r>
      <w:r w:rsidR="00505B24" w:rsidRPr="00505B24">
        <w:rPr>
          <w:lang w:val="en-AU"/>
        </w:rPr>
        <w:t>JavaScript Object Notation</w:t>
      </w:r>
      <w:r w:rsidR="00505B24">
        <w:rPr>
          <w:lang w:val="en-AU"/>
        </w:rPr>
        <w:t xml:space="preserve"> (</w:t>
      </w:r>
      <w:r>
        <w:t>JSON</w:t>
      </w:r>
      <w:r w:rsidR="00505B24">
        <w:t>)</w:t>
      </w:r>
      <w:r>
        <w:t>. Metadata enrichment captures classification marking, originating organization, system program, document type, version, and date as filterable fields. Deduplication and version control detect superseded documents to prevent stale context injection.</w:t>
      </w:r>
    </w:p>
    <w:p w14:paraId="5A2DF83D" w14:textId="77777777" w:rsidR="00E33E41" w:rsidRDefault="00000000" w:rsidP="00E50205">
      <w:pPr>
        <w:pStyle w:val="Heading2"/>
      </w:pPr>
      <w:bookmarkStart w:id="12" w:name="layer-2-embedding-and-indexing"/>
      <w:bookmarkEnd w:id="11"/>
      <w:r>
        <w:t>Layer 2: Embedding and Indexing</w:t>
      </w:r>
    </w:p>
    <w:p w14:paraId="309924FC" w14:textId="3356FE94" w:rsidR="00E33E41" w:rsidRPr="009A532F" w:rsidRDefault="00000000" w:rsidP="00E50205">
      <w:pPr>
        <w:pStyle w:val="FirstParagraph"/>
        <w:rPr>
          <w:lang w:val="en-AU"/>
        </w:rPr>
      </w:pPr>
      <w:r>
        <w:t>Chunking strategy is critical</w:t>
      </w:r>
      <w:r w:rsidR="00505B24">
        <w:t>, whereby</w:t>
      </w:r>
      <w:r>
        <w:t xml:space="preserve"> semantic-boundary chunking at paragraph and section boundaries is preferred over fixed-token chunking, with typical chunk sizes of 256–1024 tokens depending on document structure (IJONIS 2026). For cloud and NIPRNet environments, embedding models such as </w:t>
      </w:r>
      <w:r w:rsidRPr="00505B24">
        <w:rPr>
          <w:i/>
          <w:iCs/>
        </w:rPr>
        <w:t>OpenAI text-embedding-3-large</w:t>
      </w:r>
      <w:r>
        <w:t xml:space="preserve"> and </w:t>
      </w:r>
      <w:r w:rsidRPr="00505B24">
        <w:rPr>
          <w:i/>
          <w:iCs/>
        </w:rPr>
        <w:t>Google text-embedding-004</w:t>
      </w:r>
      <w:r>
        <w:t xml:space="preserve"> </w:t>
      </w:r>
      <w:r w:rsidR="009A532F">
        <w:t>(</w:t>
      </w:r>
      <w:r w:rsidR="009A532F" w:rsidRPr="009A532F">
        <w:rPr>
          <w:lang w:val="en-AU"/>
        </w:rPr>
        <w:t>Zhao et al.</w:t>
      </w:r>
      <w:r w:rsidR="009A532F">
        <w:rPr>
          <w:lang w:val="en-AU"/>
        </w:rPr>
        <w:t>,</w:t>
      </w:r>
      <w:r w:rsidR="009A532F" w:rsidRPr="009A532F">
        <w:rPr>
          <w:lang w:val="en-AU"/>
        </w:rPr>
        <w:t xml:space="preserve"> 2024</w:t>
      </w:r>
      <w:r w:rsidR="009A532F">
        <w:t xml:space="preserve">) </w:t>
      </w:r>
      <w:r>
        <w:t xml:space="preserve">are available on </w:t>
      </w:r>
      <w:r w:rsidRPr="00505B24">
        <w:rPr>
          <w:i/>
          <w:iCs/>
        </w:rPr>
        <w:t>GenAI.mil</w:t>
      </w:r>
      <w:r>
        <w:t xml:space="preserve">. For air-gapped and SIPRNet environments, open-source models such as </w:t>
      </w:r>
      <w:r w:rsidRPr="009A532F">
        <w:rPr>
          <w:i/>
          <w:iCs/>
        </w:rPr>
        <w:t>BGE-M3</w:t>
      </w:r>
      <w:r>
        <w:t xml:space="preserve">, </w:t>
      </w:r>
      <w:r w:rsidRPr="00505B24">
        <w:rPr>
          <w:i/>
          <w:iCs/>
        </w:rPr>
        <w:t>multilingual-e5-large</w:t>
      </w:r>
      <w:r>
        <w:t xml:space="preserve">, or </w:t>
      </w:r>
      <w:r w:rsidRPr="009A532F">
        <w:rPr>
          <w:i/>
          <w:iCs/>
        </w:rPr>
        <w:t>Nomic Embed</w:t>
      </w:r>
      <w:r>
        <w:t xml:space="preserve"> </w:t>
      </w:r>
      <w:r w:rsidR="009A532F">
        <w:t>(</w:t>
      </w:r>
      <w:r w:rsidR="009A532F" w:rsidRPr="009A532F">
        <w:rPr>
          <w:lang w:val="en-AU"/>
        </w:rPr>
        <w:t>Zhao et al.</w:t>
      </w:r>
      <w:r w:rsidR="009A532F">
        <w:rPr>
          <w:lang w:val="en-AU"/>
        </w:rPr>
        <w:t xml:space="preserve">, </w:t>
      </w:r>
      <w:r w:rsidR="009A532F" w:rsidRPr="009A532F">
        <w:rPr>
          <w:lang w:val="en-AU"/>
        </w:rPr>
        <w:t>2024)</w:t>
      </w:r>
      <w:r w:rsidR="009A532F">
        <w:rPr>
          <w:lang w:val="en-AU"/>
        </w:rPr>
        <w:t xml:space="preserve"> </w:t>
      </w:r>
      <w:r>
        <w:t>can be deployed on self-hosted GPU nodes.</w:t>
      </w:r>
    </w:p>
    <w:p w14:paraId="7E2CB5CE" w14:textId="669CCD41" w:rsidR="00E33E41" w:rsidRDefault="00000000" w:rsidP="00E50205">
      <w:pPr>
        <w:pStyle w:val="BodyText"/>
      </w:pPr>
      <w:r>
        <w:lastRenderedPageBreak/>
        <w:t xml:space="preserve">Vector databases suitable for IL5/IL6 environments include </w:t>
      </w:r>
      <w:r w:rsidRPr="009A532F">
        <w:rPr>
          <w:i/>
          <w:iCs/>
        </w:rPr>
        <w:t>Milvus</w:t>
      </w:r>
      <w:r>
        <w:t xml:space="preserve">, </w:t>
      </w:r>
      <w:proofErr w:type="spellStart"/>
      <w:r w:rsidRPr="009A532F">
        <w:rPr>
          <w:i/>
          <w:iCs/>
        </w:rPr>
        <w:t>Weaviate</w:t>
      </w:r>
      <w:proofErr w:type="spellEnd"/>
      <w:r>
        <w:t xml:space="preserve">, </w:t>
      </w:r>
      <w:proofErr w:type="spellStart"/>
      <w:r w:rsidRPr="009A532F">
        <w:rPr>
          <w:i/>
          <w:iCs/>
        </w:rPr>
        <w:t>Qdrant</w:t>
      </w:r>
      <w:proofErr w:type="spellEnd"/>
      <w:r>
        <w:t xml:space="preserve">, and </w:t>
      </w:r>
      <w:proofErr w:type="spellStart"/>
      <w:r w:rsidRPr="009A532F">
        <w:rPr>
          <w:i/>
          <w:iCs/>
        </w:rPr>
        <w:t>pgvector</w:t>
      </w:r>
      <w:proofErr w:type="spellEnd"/>
      <w:r>
        <w:t>. A systematic comparison of five open-source vector databases against four key criteria</w:t>
      </w:r>
      <w:r w:rsidR="009B61AF">
        <w:t xml:space="preserve"> of </w:t>
      </w:r>
      <w:r>
        <w:t>multiple index types, billion-scale vector support, hybrid search, and cloud-native deployment</w:t>
      </w:r>
      <w:r w:rsidR="009B61AF">
        <w:t xml:space="preserve">, </w:t>
      </w:r>
      <w:r>
        <w:t xml:space="preserve">found that </w:t>
      </w:r>
      <w:r w:rsidRPr="009B61AF">
        <w:rPr>
          <w:i/>
          <w:iCs/>
        </w:rPr>
        <w:t>Milvus</w:t>
      </w:r>
      <w:r>
        <w:t xml:space="preserve"> was the only database satisfying all four criteria, making it the most comprehensive solution for enterprise RAG deployments (Wang et al. 2024; </w:t>
      </w:r>
      <w:proofErr w:type="spellStart"/>
      <w:r>
        <w:t>GigaSpaces</w:t>
      </w:r>
      <w:proofErr w:type="spellEnd"/>
      <w:r>
        <w:t xml:space="preserve"> 2025; </w:t>
      </w:r>
      <w:proofErr w:type="spellStart"/>
      <w:r>
        <w:t>ZenML</w:t>
      </w:r>
      <w:proofErr w:type="spellEnd"/>
      <w:r>
        <w:t xml:space="preserve"> 2025). Hybrid search combining dense vector search with sparse BM25 keyword search (Figure </w:t>
      </w:r>
      <w:hyperlink w:anchor="fig:hybrid-search">
        <w:r w:rsidR="00E33E41">
          <w:rPr>
            <w:rStyle w:val="Hyperlink"/>
          </w:rPr>
          <w:t>3</w:t>
        </w:r>
      </w:hyperlink>
      <w:r>
        <w:t xml:space="preserve">) consistently outperforms either method alone on T&amp;E terminology-heavy corpora. Pure vector search excels at semantic matching but misses exact terminology; BM25 keyword search captures precise terms but lacks semantic understanding. Systematic experiments </w:t>
      </w:r>
      <w:r w:rsidR="009B61AF">
        <w:t xml:space="preserve">documented by Wang et al. (2024) </w:t>
      </w:r>
      <w:r>
        <w:t xml:space="preserve">demonstrate that hybrid search, computed as </w:t>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are normalized sparse and dense retrieval scores respectively, achieves optimal performance </w:t>
      </w:r>
      <w:r w:rsidR="009B61AF">
        <w:t>[</w:t>
      </w:r>
      <w:r>
        <w:t xml:space="preserve">at </w:t>
      </w:r>
      <m:oMath>
        <m:r>
          <w:rPr>
            <w:rFonts w:ascii="Cambria Math" w:hAnsi="Cambria Math"/>
          </w:rPr>
          <m:t>α</m:t>
        </m:r>
        <m:r>
          <m:rPr>
            <m:sty m:val="p"/>
          </m:rPr>
          <w:rPr>
            <w:rFonts w:ascii="Cambria Math" w:hAnsi="Cambria Math"/>
          </w:rPr>
          <m:t>=</m:t>
        </m:r>
        <m:r>
          <w:rPr>
            <w:rFonts w:ascii="Cambria Math" w:hAnsi="Cambria Math"/>
          </w:rPr>
          <m:t>0.3</m:t>
        </m:r>
      </m:oMath>
      <w:r>
        <w:t>, yielding mAP of 47.14 and nDCG@10 of 72.50 on TREC DL19</w:t>
      </w:r>
      <w:r w:rsidR="009B61AF">
        <w:t xml:space="preserve">] </w:t>
      </w:r>
      <w:r>
        <w:t>substantially outperforming either BM25 (</w:t>
      </w:r>
      <w:proofErr w:type="spellStart"/>
      <w:r>
        <w:t>mAP</w:t>
      </w:r>
      <w:proofErr w:type="spellEnd"/>
      <w:r>
        <w:t xml:space="preserve"> 30.13) or dense retrieval alone. This makes hybrid search essential for mission-critical RAG deployments where T&amp;E-specific terminology such as </w:t>
      </w:r>
      <w:r w:rsidR="00B21A12">
        <w:t>standards</w:t>
      </w:r>
      <w:r>
        <w:t xml:space="preserve"> designators, system nomenclature, and test procedure identifiers must be matched exactly.</w:t>
      </w:r>
    </w:p>
    <w:p w14:paraId="14478D02" w14:textId="77777777" w:rsidR="00E33E41" w:rsidRDefault="00000000" w:rsidP="00B21A12">
      <w:pPr>
        <w:pStyle w:val="CaptionedFigure"/>
        <w:jc w:val="center"/>
      </w:pPr>
      <w:bookmarkStart w:id="13" w:name="fig:hybrid-search"/>
      <w:r>
        <w:rPr>
          <w:noProof/>
        </w:rPr>
        <w:drawing>
          <wp:inline distT="0" distB="0" distL="0" distR="0" wp14:anchorId="2CC3CDB9" wp14:editId="6EB7F8B6">
            <wp:extent cx="3733800" cy="168824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hybrid-search.png"/>
                    <pic:cNvPicPr>
                      <a:picLocks noChangeAspect="1" noChangeArrowheads="1"/>
                    </pic:cNvPicPr>
                  </pic:nvPicPr>
                  <pic:blipFill>
                    <a:blip r:embed="rId8"/>
                    <a:stretch>
                      <a:fillRect/>
                    </a:stretch>
                  </pic:blipFill>
                  <pic:spPr bwMode="auto">
                    <a:xfrm>
                      <a:off x="0" y="0"/>
                      <a:ext cx="3733800" cy="1688249"/>
                    </a:xfrm>
                    <a:prstGeom prst="rect">
                      <a:avLst/>
                    </a:prstGeom>
                    <a:noFill/>
                    <a:ln w="9525">
                      <a:noFill/>
                      <a:headEnd/>
                      <a:tailEnd/>
                    </a:ln>
                  </pic:spPr>
                </pic:pic>
              </a:graphicData>
            </a:graphic>
          </wp:inline>
        </w:drawing>
      </w:r>
    </w:p>
    <w:p w14:paraId="17F9523B" w14:textId="4FB15407" w:rsidR="00E33E41" w:rsidRDefault="00B21A12" w:rsidP="00E50205">
      <w:pPr>
        <w:pStyle w:val="ImageCaption"/>
      </w:pPr>
      <w:r>
        <w:t>Figure 3: Hybrid search architecture combining dense vector search (semantic similarity) with sparse BM25 keyword search (exact match) for improved retrieval quality.</w:t>
      </w:r>
    </w:p>
    <w:p w14:paraId="52D4665E" w14:textId="77777777" w:rsidR="00E33E41" w:rsidRDefault="00000000" w:rsidP="00E50205">
      <w:pPr>
        <w:pStyle w:val="Heading2"/>
      </w:pPr>
      <w:bookmarkStart w:id="14" w:name="layer-3-retrieval-orchestration"/>
      <w:bookmarkEnd w:id="12"/>
      <w:bookmarkEnd w:id="13"/>
      <w:r>
        <w:t>Layer 3: Retrieval Orchestration</w:t>
      </w:r>
    </w:p>
    <w:p w14:paraId="7699251E" w14:textId="77777777" w:rsidR="00B21A12" w:rsidRDefault="00000000" w:rsidP="00E50205">
      <w:pPr>
        <w:pStyle w:val="FirstParagraph"/>
      </w:pPr>
      <w:r>
        <w:t>A production retrieval orchestration layer implements multiple processing stages</w:t>
      </w:r>
      <w:r w:rsidR="00B21A12">
        <w:t>.</w:t>
      </w:r>
      <w:r>
        <w:t xml:space="preserve"> Wang et al. (2024) </w:t>
      </w:r>
      <w:r w:rsidR="00B21A12">
        <w:t xml:space="preserve">identifies this feature </w:t>
      </w:r>
      <w:r>
        <w:t>as critical to RAG performance</w:t>
      </w:r>
      <w:r w:rsidR="00B21A12">
        <w:t>, especially</w:t>
      </w:r>
      <w:r>
        <w:t xml:space="preserve"> query classification (determining whether retrieval is necessary), retrieval itself, reranking, document repacking, and summarization. Query analysis and expansion techniques include</w:t>
      </w:r>
      <w:r w:rsidR="00B21A12">
        <w:t>:</w:t>
      </w:r>
    </w:p>
    <w:p w14:paraId="7EF5819E" w14:textId="0391541C" w:rsidR="00B21A12" w:rsidRDefault="00000000" w:rsidP="00B21A12">
      <w:pPr>
        <w:pStyle w:val="FirstParagraph"/>
        <w:numPr>
          <w:ilvl w:val="0"/>
          <w:numId w:val="5"/>
        </w:numPr>
      </w:pPr>
      <w:r>
        <w:t>query rewriting</w:t>
      </w:r>
      <w:r w:rsidR="00B21A12">
        <w:t>;</w:t>
      </w:r>
    </w:p>
    <w:p w14:paraId="0E1B73F7" w14:textId="77777777" w:rsidR="00B21A12" w:rsidRDefault="00000000" w:rsidP="00B21A12">
      <w:pPr>
        <w:pStyle w:val="FirstParagraph"/>
        <w:numPr>
          <w:ilvl w:val="0"/>
          <w:numId w:val="5"/>
        </w:numPr>
      </w:pPr>
      <w:r>
        <w:t>hypothetical document expansion (</w:t>
      </w:r>
      <w:proofErr w:type="spellStart"/>
      <w:r>
        <w:t>HyDE</w:t>
      </w:r>
      <w:proofErr w:type="spellEnd"/>
      <w:r>
        <w:t>)</w:t>
      </w:r>
      <w:r w:rsidR="00B21A12">
        <w:t xml:space="preserve">, </w:t>
      </w:r>
      <w:r>
        <w:t>which generates pseudo-documents from the query and retrieves based on their embeddings</w:t>
      </w:r>
      <w:r w:rsidR="00B21A12">
        <w:t xml:space="preserve">; </w:t>
      </w:r>
      <w:r>
        <w:t xml:space="preserve">and </w:t>
      </w:r>
    </w:p>
    <w:p w14:paraId="4F7C4DBB" w14:textId="50815EB7" w:rsidR="00B21A12" w:rsidRDefault="00000000" w:rsidP="00B21A12">
      <w:pPr>
        <w:pStyle w:val="FirstParagraph"/>
        <w:numPr>
          <w:ilvl w:val="0"/>
          <w:numId w:val="5"/>
        </w:numPr>
      </w:pPr>
      <w:r>
        <w:t xml:space="preserve">multi-query generation to improve recall. </w:t>
      </w:r>
    </w:p>
    <w:p w14:paraId="3968022F" w14:textId="404140F2" w:rsidR="00E33E41" w:rsidRDefault="00000000" w:rsidP="00E50205">
      <w:pPr>
        <w:pStyle w:val="FirstParagraph"/>
      </w:pPr>
      <w:r>
        <w:lastRenderedPageBreak/>
        <w:t xml:space="preserve">Wang et al. (2024) found that combining </w:t>
      </w:r>
      <w:proofErr w:type="spellStart"/>
      <w:r>
        <w:t>HyDE</w:t>
      </w:r>
      <w:proofErr w:type="spellEnd"/>
      <w:r>
        <w:t xml:space="preserve"> with hybrid search achieved the best retrieval performance across benchmarks. </w:t>
      </w:r>
      <w:r w:rsidR="00B21A12">
        <w:t>Also, c</w:t>
      </w:r>
      <w:r>
        <w:t>ross-encoder re-rankers improve precision post-retrieval, with the “sides” repacking method</w:t>
      </w:r>
      <w:r w:rsidR="00B21A12">
        <w:t>, where</w:t>
      </w:r>
      <w:r>
        <w:t xml:space="preserve"> the most relevant documents </w:t>
      </w:r>
      <w:r w:rsidR="00B21A12">
        <w:t xml:space="preserve">are placed </w:t>
      </w:r>
      <w:r>
        <w:t>at both the beginning and end of the context window</w:t>
      </w:r>
      <w:r w:rsidR="00B21A12">
        <w:t>, achieving</w:t>
      </w:r>
      <w:r>
        <w:t xml:space="preserve"> optimal generation performance. Metadata filtering based on access controls ensures users only retrieve documents at or below their classification and clearance level. Retrieved chunks are de</w:t>
      </w:r>
      <w:r w:rsidR="00B21A12">
        <w:t>-</w:t>
      </w:r>
      <w:r>
        <w:t>duplicated, ordered by relevance, and formatted into a structured context window prompt.</w:t>
      </w:r>
    </w:p>
    <w:p w14:paraId="66289D56" w14:textId="77777777" w:rsidR="00E33E41" w:rsidRDefault="00000000" w:rsidP="00E50205">
      <w:pPr>
        <w:pStyle w:val="Heading2"/>
      </w:pPr>
      <w:bookmarkStart w:id="15" w:name="layer-4-llm-generation"/>
      <w:bookmarkEnd w:id="14"/>
      <w:r>
        <w:t>Layer 4: LLM Generation</w:t>
      </w:r>
    </w:p>
    <w:p w14:paraId="3F28EB65" w14:textId="50748486" w:rsidR="00E33E41" w:rsidRDefault="00000000" w:rsidP="00E50205">
      <w:pPr>
        <w:pStyle w:val="FirstParagraph"/>
      </w:pPr>
      <w:r>
        <w:t xml:space="preserve">Model selection varies by classification level. At IL4 on NIPRNet, options include </w:t>
      </w:r>
      <w:r w:rsidRPr="00B21A12">
        <w:rPr>
          <w:i/>
          <w:iCs/>
        </w:rPr>
        <w:t>GPT-4o</w:t>
      </w:r>
      <w:r>
        <w:t xml:space="preserve"> via Azure Government and Gemini for Government on </w:t>
      </w:r>
      <w:r w:rsidRPr="00B21A12">
        <w:rPr>
          <w:i/>
          <w:iCs/>
        </w:rPr>
        <w:t>GenAI.mil</w:t>
      </w:r>
      <w:r>
        <w:t xml:space="preserve">; Anthropic Claude was previously available under a DoD contract but is no longer authorized following the supply chain risk designation discussed below. At IL5 for sensitive CUI, </w:t>
      </w:r>
      <w:r w:rsidRPr="003D5C99">
        <w:rPr>
          <w:i/>
          <w:iCs/>
        </w:rPr>
        <w:t>Ask Sage</w:t>
      </w:r>
      <w:r>
        <w:t xml:space="preserve"> on Azure Government IL5 provides dedicated instances with </w:t>
      </w:r>
      <w:r w:rsidR="003D5C99">
        <w:t xml:space="preserve">the </w:t>
      </w:r>
      <w:r>
        <w:t>Federal Risk and Authorization Management Program</w:t>
      </w:r>
      <w:r w:rsidR="00B21A12">
        <w:t xml:space="preserve"> (FedRAMP</w:t>
      </w:r>
      <w:r>
        <w:t xml:space="preserve">). At IL6 on SIPRNet, dedicated cloud enclaves on SIPRNet-connected infrastructure with U.S.-citizen-only personnel are required (Ask Sage 2025a; </w:t>
      </w:r>
      <w:proofErr w:type="spellStart"/>
      <w:r>
        <w:t>GRSee</w:t>
      </w:r>
      <w:proofErr w:type="spellEnd"/>
      <w:r>
        <w:t xml:space="preserve"> Consulting 2025).</w:t>
      </w:r>
    </w:p>
    <w:p w14:paraId="1FDB64E6" w14:textId="1F242E36" w:rsidR="00E33E41" w:rsidRDefault="00000000" w:rsidP="00E50205">
      <w:pPr>
        <w:pStyle w:val="BodyText"/>
      </w:pPr>
      <w:r>
        <w:t xml:space="preserve">Prompt engineering specifies output format, citation requirements, classification handling instructions, and role definition. </w:t>
      </w:r>
      <w:r w:rsidR="0099261F" w:rsidRPr="0099261F">
        <w:t>By demonstrating the target report format, few-shot examples guide the model toward producing structured, citation-grounded output suitable for T&amp;E deliverables (Liu et al., 2022; Brown et al., 2020).</w:t>
      </w:r>
    </w:p>
    <w:p w14:paraId="3EBA91EA" w14:textId="77777777" w:rsidR="00E33E41" w:rsidRDefault="00000000" w:rsidP="00E50205">
      <w:pPr>
        <w:pStyle w:val="Heading2"/>
      </w:pPr>
      <w:bookmarkStart w:id="16" w:name="Xc74d8cd77517cf90bdb9f67bfb2138274ea503d"/>
      <w:bookmarkEnd w:id="15"/>
      <w:r>
        <w:t>Layer 5: Observability, CI/CD, and Governance</w:t>
      </w:r>
    </w:p>
    <w:p w14:paraId="167C86FE" w14:textId="443A65CE" w:rsidR="00E33E41" w:rsidRDefault="00000000" w:rsidP="00E50205">
      <w:pPr>
        <w:pStyle w:val="FirstParagraph"/>
      </w:pPr>
      <w:r>
        <w:t>Every query, retrieved chunk set, and generated response is logged to an immutable audit trail, mandatory for Authorization to Operate (ATO) and Security Technical Implementation Guide (STIG) compliance (DoD CIO 2024). Monitoring tracks retrieval quality metrics (</w:t>
      </w:r>
      <w:proofErr w:type="spellStart"/>
      <w:r w:rsidRPr="003D5C99">
        <w:rPr>
          <w:i/>
          <w:iCs/>
        </w:rPr>
        <w:t>nDCG</w:t>
      </w:r>
      <w:proofErr w:type="spellEnd"/>
      <w:r>
        <w:t xml:space="preserve">, Hit Rate), generation quality metrics (faithfulness, relevance), latency, and cost. AI </w:t>
      </w:r>
      <w:r w:rsidR="00736570" w:rsidRPr="00736570">
        <w:rPr>
          <w:lang w:val="en-AU"/>
        </w:rPr>
        <w:t>Continuous Delivery / Continuous Deployment</w:t>
      </w:r>
      <w:r w:rsidR="00736570">
        <w:rPr>
          <w:lang w:val="en-AU"/>
        </w:rPr>
        <w:t xml:space="preserve"> (</w:t>
      </w:r>
      <w:r>
        <w:t>CI/CD</w:t>
      </w:r>
      <w:r w:rsidR="00736570">
        <w:t>)</w:t>
      </w:r>
      <w:r>
        <w:t xml:space="preserve"> encompasses version-controlled prompt templates, chunking logic, embedding models, and re-ranker configurations, with regression tests on representative T&amp;E queries before any pipeline update. Human-in-the-loop review is mandatory</w:t>
      </w:r>
      <w:r w:rsidR="003D5C99">
        <w:t xml:space="preserve"> where</w:t>
      </w:r>
      <w:r>
        <w:t xml:space="preserve"> all generated T&amp;E deliverables are flagged for analyst review before distribution.</w:t>
      </w:r>
    </w:p>
    <w:p w14:paraId="42536E9A" w14:textId="77777777" w:rsidR="00E33E41" w:rsidRDefault="00000000" w:rsidP="00E50205">
      <w:pPr>
        <w:pStyle w:val="Heading2"/>
      </w:pPr>
      <w:bookmarkStart w:id="17" w:name="dow-specific-deployment-topology"/>
      <w:bookmarkEnd w:id="16"/>
      <w:proofErr w:type="spellStart"/>
      <w:r>
        <w:t>DoW</w:t>
      </w:r>
      <w:proofErr w:type="spellEnd"/>
      <w:r>
        <w:t>-Specific Deployment Topology</w:t>
      </w:r>
    </w:p>
    <w:p w14:paraId="15C6E9DB" w14:textId="45A44BC9" w:rsidR="00E33E41" w:rsidRDefault="00000000" w:rsidP="00E50205">
      <w:pPr>
        <w:pStyle w:val="FirstParagraph"/>
      </w:pPr>
      <w:r>
        <w:t xml:space="preserve">The Joint Warfighting Cloud Capability (JWCC), the </w:t>
      </w:r>
      <w:proofErr w:type="spellStart"/>
      <w:r>
        <w:t>DoW’s</w:t>
      </w:r>
      <w:proofErr w:type="spellEnd"/>
      <w:r>
        <w:t xml:space="preserve"> enterprise multi-vendor cloud contracting vehicle, provides four enterprise cloud </w:t>
      </w:r>
      <w:proofErr w:type="gramStart"/>
      <w:r>
        <w:t>on-ramps</w:t>
      </w:r>
      <w:proofErr w:type="gramEnd"/>
      <w:r w:rsidR="003D5C99">
        <w:t xml:space="preserve">: </w:t>
      </w:r>
      <w:r>
        <w:t>AWS, Microsoft Azure, Google Cloud, and Oracle</w:t>
      </w:r>
      <w:r w:rsidR="003D5C99">
        <w:t xml:space="preserve">. These onramps </w:t>
      </w:r>
      <w:r>
        <w:t>enabl</w:t>
      </w:r>
      <w:r w:rsidR="003D5C99">
        <w:t>e</w:t>
      </w:r>
      <w:r>
        <w:t xml:space="preserve"> RAG infrastructure deployment at IL2 through IL6 (</w:t>
      </w:r>
      <w:proofErr w:type="spellStart"/>
      <w:r>
        <w:t>DefenseScoop</w:t>
      </w:r>
      <w:proofErr w:type="spellEnd"/>
      <w:r>
        <w:t xml:space="preserve"> 2024). CDAO AI Rapid Capabilities Cell sandboxes, launched in January 2025, provide cloud-hosted development and test environments at multiple impact levels for rapid prototyping.</w:t>
      </w:r>
    </w:p>
    <w:p w14:paraId="0B063D38" w14:textId="77777777" w:rsidR="00E33E41" w:rsidRDefault="00000000" w:rsidP="00E50205">
      <w:pPr>
        <w:pStyle w:val="BodyText"/>
      </w:pPr>
      <w:r>
        <w:lastRenderedPageBreak/>
        <w:t>Reference deployment architectures span multiple classification levels. NIPRNet at IL4 employs multi-tenant cloud RAG with Common Access Card (CAC) authenticated API gateway, Azure AD/Entra integration, and Federal Information Processing Standards (FIPS) 140-2 encryption. NIPRNet sensitive at IL5 requires a dedicated, physically isolated cloud enclave with U.S.-citizen personnel and 421+ NIST 800-53 controls. SIPRNet at IL6 requires SECRET enclaves connected to SIPRNet with active SECRET clearances, TEMPEST-shielded data centers, and disconnected-from-internet inference nodes. Tactical and denied, degraded, intermittent, or limited (DDIL) edge environments can leverage containerized RAG stacks deployable on forward operating bases, naval vessels, or disconnected operational environments (Ask Sage 2025b).</w:t>
      </w:r>
    </w:p>
    <w:p w14:paraId="09674BD6" w14:textId="77777777" w:rsidR="00E33E41" w:rsidRDefault="00000000" w:rsidP="00E50205">
      <w:pPr>
        <w:pStyle w:val="Heading2"/>
      </w:pPr>
      <w:bookmarkStart w:id="18" w:name="real-world-dow-rag-deployments"/>
      <w:bookmarkEnd w:id="17"/>
      <w:r>
        <w:t xml:space="preserve">Real-World </w:t>
      </w:r>
      <w:proofErr w:type="spellStart"/>
      <w:r>
        <w:t>DoW</w:t>
      </w:r>
      <w:proofErr w:type="spellEnd"/>
      <w:r>
        <w:t xml:space="preserve"> RAG Deployments</w:t>
      </w:r>
    </w:p>
    <w:p w14:paraId="5AD516F3" w14:textId="2503DDCD" w:rsidR="00E33E41" w:rsidRDefault="00000000" w:rsidP="00E50205">
      <w:pPr>
        <w:pStyle w:val="FirstParagraph"/>
      </w:pPr>
      <w:r w:rsidRPr="003D5C99">
        <w:rPr>
          <w:i/>
          <w:iCs/>
        </w:rPr>
        <w:t>GenAI.mil</w:t>
      </w:r>
      <w:r>
        <w:t xml:space="preserve">, launched in December 2025, provides Google Gemini with multimodal RAG and web-grounded search to 3 million </w:t>
      </w:r>
      <w:proofErr w:type="spellStart"/>
      <w:r>
        <w:t>DoW</w:t>
      </w:r>
      <w:proofErr w:type="spellEnd"/>
      <w:r>
        <w:t xml:space="preserve"> employees, built on Google Cloud with </w:t>
      </w:r>
      <w:r w:rsidRPr="003D5C99">
        <w:rPr>
          <w:i/>
          <w:iCs/>
        </w:rPr>
        <w:t>Anthropic</w:t>
      </w:r>
      <w:r>
        <w:t xml:space="preserve">, </w:t>
      </w:r>
      <w:r w:rsidRPr="003D5C99">
        <w:rPr>
          <w:i/>
          <w:iCs/>
        </w:rPr>
        <w:t>OpenAI</w:t>
      </w:r>
      <w:r>
        <w:t xml:space="preserve">, and </w:t>
      </w:r>
      <w:proofErr w:type="spellStart"/>
      <w:r w:rsidRPr="003D5C99">
        <w:rPr>
          <w:i/>
          <w:iCs/>
        </w:rPr>
        <w:t>xAI</w:t>
      </w:r>
      <w:proofErr w:type="spellEnd"/>
      <w:r>
        <w:t xml:space="preserve"> contracts each valued up to $200 million at the time of award (</w:t>
      </w:r>
      <w:proofErr w:type="spellStart"/>
      <w:r>
        <w:t>DefenseScoop</w:t>
      </w:r>
      <w:proofErr w:type="spellEnd"/>
      <w:r>
        <w:t xml:space="preserve"> 2025)</w:t>
      </w:r>
      <w:r w:rsidR="003D5C99">
        <w:t>, noting</w:t>
      </w:r>
      <w:r>
        <w:t xml:space="preserve"> the Anthropic component was subsequently removed following the February–March 2026 supply chain risk designation discussed below. Multiple service-specific generative AI platforms have been developed and fielded on NIPRNet at IL4 with CAC authentication, with some reaching over 100,000 users within three months of launch (Van Roo 2025). Army, Combatant Command, and CDAO enterprise platforms each incorporate RAG at varying classification levels, demonstrating broad adoption across the </w:t>
      </w:r>
      <w:proofErr w:type="spellStart"/>
      <w:r>
        <w:t>DoW</w:t>
      </w:r>
      <w:proofErr w:type="spellEnd"/>
      <w:r>
        <w:t xml:space="preserve"> (Van Roo 2025; Ask Sage 2025a).</w:t>
      </w:r>
    </w:p>
    <w:p w14:paraId="3BDE49AF" w14:textId="77777777" w:rsidR="00E33E41" w:rsidRDefault="00000000" w:rsidP="00E50205">
      <w:pPr>
        <w:pStyle w:val="Heading2"/>
      </w:pPr>
      <w:bookmarkStart w:id="19" w:name="orchestration-frameworks"/>
      <w:bookmarkEnd w:id="18"/>
      <w:r>
        <w:t>Orchestration Frameworks</w:t>
      </w:r>
    </w:p>
    <w:p w14:paraId="59BD9D82" w14:textId="3B8DCCE8" w:rsidR="00E33E41" w:rsidRDefault="00231B0E" w:rsidP="00E50205">
      <w:pPr>
        <w:pStyle w:val="FirstParagraph"/>
      </w:pPr>
      <w:r w:rsidRPr="00231B0E">
        <w:rPr>
          <w:lang w:val="en-AU"/>
        </w:rPr>
        <w:t>The IBM RAG Orchestration Guide (2024)</w:t>
      </w:r>
      <w:r>
        <w:rPr>
          <w:lang w:val="en-AU"/>
        </w:rPr>
        <w:t xml:space="preserve"> covers different frameworks. </w:t>
      </w:r>
      <w:proofErr w:type="spellStart"/>
      <w:r w:rsidRPr="003D5C99">
        <w:rPr>
          <w:i/>
          <w:iCs/>
        </w:rPr>
        <w:t>LangChain</w:t>
      </w:r>
      <w:proofErr w:type="spellEnd"/>
      <w:r w:rsidRPr="003D5C99">
        <w:rPr>
          <w:i/>
          <w:iCs/>
        </w:rPr>
        <w:t xml:space="preserve"> </w:t>
      </w:r>
      <w:r>
        <w:t xml:space="preserve">provides modular pipeline construction for chaining retrieval, re-ranking, and generation steps, with integrations across all major vector databases and LLM APIs. </w:t>
      </w:r>
      <w:proofErr w:type="spellStart"/>
      <w:r w:rsidRPr="003D5C99">
        <w:rPr>
          <w:i/>
          <w:iCs/>
        </w:rPr>
        <w:t>LlamaIndex</w:t>
      </w:r>
      <w:proofErr w:type="spellEnd"/>
      <w:r>
        <w:t xml:space="preserve"> is optimized for performant retrieval with strong support for structured document indexing, multi-document routing, and sub-question decomposition (Paragon 2024). Haystack, originally developed by </w:t>
      </w:r>
      <w:proofErr w:type="spellStart"/>
      <w:r w:rsidRPr="00D8771C">
        <w:rPr>
          <w:i/>
          <w:iCs/>
        </w:rPr>
        <w:t>deepset</w:t>
      </w:r>
      <w:proofErr w:type="spellEnd"/>
      <w:r>
        <w:t>, offers a component-based pipeline architecture in which retrievers, embedders, rankers, and generators are composed as connected nodes, with first-class support for hybrid retrieval, prompt templating, and pluggable LLM backends</w:t>
      </w:r>
      <w:r w:rsidR="00D8771C">
        <w:t xml:space="preserve">. These features make it </w:t>
      </w:r>
      <w:r>
        <w:t>well suited to vendor-agnostic designs that must tolerate inference-endpoint substitution. All three frameworks support FIPS-compliant configurations and air-gapped deployment when combined with self-hosted models.</w:t>
      </w:r>
    </w:p>
    <w:p w14:paraId="5A506362" w14:textId="77777777" w:rsidR="00E33E41" w:rsidRDefault="00000000" w:rsidP="00E50205">
      <w:pPr>
        <w:pStyle w:val="Heading1"/>
      </w:pPr>
      <w:bookmarkStart w:id="20" w:name="Xc6fb1069d1f309854d878df95e4ee2e8b05088c"/>
      <w:bookmarkEnd w:id="10"/>
      <w:bookmarkEnd w:id="19"/>
      <w:r>
        <w:lastRenderedPageBreak/>
        <w:t>Security controls for RAG systems handling CUI and classified data</w:t>
      </w:r>
    </w:p>
    <w:p w14:paraId="59019AAA" w14:textId="77777777" w:rsidR="00E33E41" w:rsidRDefault="00000000" w:rsidP="00E50205">
      <w:pPr>
        <w:pStyle w:val="Heading2"/>
      </w:pPr>
      <w:bookmarkStart w:id="21" w:name="regulatory-and-policy-framework"/>
      <w:r>
        <w:t>Regulatory and Policy Framework</w:t>
      </w:r>
    </w:p>
    <w:p w14:paraId="2D975376" w14:textId="420C0F43" w:rsidR="00E33E41" w:rsidRDefault="00000000" w:rsidP="00E50205">
      <w:pPr>
        <w:pStyle w:val="FirstParagraph"/>
      </w:pPr>
      <w:r>
        <w:t xml:space="preserve">DoD Instruction 8510.01 mandates the Risk Management Framework (comparable to ISO/IEC 27001-based frameworks used elsewhere) for all </w:t>
      </w:r>
      <w:proofErr w:type="spellStart"/>
      <w:r>
        <w:t>DoW</w:t>
      </w:r>
      <w:proofErr w:type="spellEnd"/>
      <w:r>
        <w:t xml:space="preserve"> IT; AI systems including RAG pipelines are subject to full RMF authorization before operational deployment (DoD CIO 2024). NIST SP 800-53 Rev 5 provides the authoritative control catalog, requiring RAG systems to implement controls from Access Control, Audit and Accountability, System and Communications Protection, System and Information Integrity, and Risk Assessment families. NIST SP 800-171 Rev 3 and Cybersecurity Maturity Model Certification (CMMC) Level 2–3 apply to contractors processing CUI</w:t>
      </w:r>
      <w:r w:rsidR="00D8771C">
        <w:t>. A</w:t>
      </w:r>
      <w:r>
        <w:t xml:space="preserve">s of November 2025, CMMC is in effect for </w:t>
      </w:r>
      <w:proofErr w:type="spellStart"/>
      <w:r>
        <w:t>DoW</w:t>
      </w:r>
      <w:proofErr w:type="spellEnd"/>
      <w:r>
        <w:t xml:space="preserve"> contracts, and RAG systems storing CUI must meet CMMC Level 2 minimum (Wiley Law 2025).</w:t>
      </w:r>
    </w:p>
    <w:p w14:paraId="21699855" w14:textId="49ED06B9" w:rsidR="00E33E41" w:rsidRDefault="00000000" w:rsidP="00E50205">
      <w:pPr>
        <w:pStyle w:val="BodyText"/>
      </w:pPr>
      <w:r>
        <w:t xml:space="preserve">The NIST AI Risk Management Framework 1.0 with its GOVERN, MAP, MEASURE, and MANAGE functions, along with the Generative AI Profile (NIST AI 600-1), provides voluntary but strongly recommended guidance; CDAO’s Responsible AI Toolkit is built on these frameworks (NIST 2025). The DoD Zero Trust Strategy and Execution Roadmap </w:t>
      </w:r>
      <w:r w:rsidR="00D8771C">
        <w:t>specify</w:t>
      </w:r>
      <w:r>
        <w:t xml:space="preserve"> 152 ZT activities across five phases; RAG systems must implement identity, device, network, application, and data pillars (DoD CIO 2026). Executive Orders 13556 and 13526 govern marking, handling, and transmission rules directly applicable to RAG knowledge base content.</w:t>
      </w:r>
    </w:p>
    <w:p w14:paraId="6B05ACC6" w14:textId="77777777" w:rsidR="00E33E41" w:rsidRDefault="00000000" w:rsidP="00E50205">
      <w:pPr>
        <w:pStyle w:val="Heading2"/>
      </w:pPr>
      <w:bookmarkStart w:id="22" w:name="X0d56d15fa5b8fcbfc9ab9015f29e6b044f485cb"/>
      <w:bookmarkEnd w:id="21"/>
      <w:r>
        <w:t>Data Security Controls for the RAG Knowledge Base</w:t>
      </w:r>
    </w:p>
    <w:p w14:paraId="53C21519" w14:textId="77777777" w:rsidR="00E33E41" w:rsidRDefault="00000000" w:rsidP="00E50205">
      <w:pPr>
        <w:pStyle w:val="Heading3"/>
      </w:pPr>
      <w:bookmarkStart w:id="23" w:name="classification-aware-ingestion."/>
      <w:r>
        <w:t>Classification-Aware Ingestion.</w:t>
      </w:r>
    </w:p>
    <w:p w14:paraId="57B052F2" w14:textId="11A1EA61" w:rsidR="00E33E41" w:rsidRDefault="00000000" w:rsidP="00E50205">
      <w:pPr>
        <w:pStyle w:val="FirstParagraph"/>
      </w:pPr>
      <w:r>
        <w:t xml:space="preserve">Every document ingested must have its classification marking parsed and stored as a vector metadata field. Automated classification recognition using natural language processing (NLP) classifiers trained on </w:t>
      </w:r>
      <w:proofErr w:type="spellStart"/>
      <w:r>
        <w:t>DoW</w:t>
      </w:r>
      <w:proofErr w:type="spellEnd"/>
      <w:r>
        <w:t xml:space="preserve"> marking conventions detects and enforces markings, rejecting malformed or unclassified documents submitted to classified stores. Separate vector indexes by classification level</w:t>
      </w:r>
      <w:r w:rsidR="00D8771C">
        <w:t xml:space="preserve"> (</w:t>
      </w:r>
      <w:r>
        <w:t xml:space="preserve">UNCLASSIFIED, CUI, SECRET, </w:t>
      </w:r>
      <w:r w:rsidR="00D8771C">
        <w:t>&amp;</w:t>
      </w:r>
      <w:r>
        <w:t xml:space="preserve"> TOP SECRET</w:t>
      </w:r>
      <w:r w:rsidR="00D8771C">
        <w:t xml:space="preserve">) </w:t>
      </w:r>
      <w:r>
        <w:t>must reside in logically or physically isolated index namespaces.</w:t>
      </w:r>
    </w:p>
    <w:p w14:paraId="226AF937" w14:textId="77777777" w:rsidR="00E33E41" w:rsidRDefault="00000000" w:rsidP="00E50205">
      <w:pPr>
        <w:pStyle w:val="Heading3"/>
      </w:pPr>
      <w:bookmarkStart w:id="24" w:name="access-control-and-least-privilege."/>
      <w:bookmarkEnd w:id="23"/>
      <w:r>
        <w:t>Access Control and Least Privilege.</w:t>
      </w:r>
    </w:p>
    <w:p w14:paraId="7CE76AA6" w14:textId="59C99765" w:rsidR="00E33E41" w:rsidRDefault="00000000" w:rsidP="00E50205">
      <w:pPr>
        <w:pStyle w:val="FirstParagraph"/>
      </w:pPr>
      <w:r>
        <w:t>Attribute-Based Access Control (ABAC) enforces query-time metadata filters ensuring users only retrieve chunks at or below their clearance and need-to-know</w:t>
      </w:r>
      <w:r w:rsidR="00D8771C">
        <w:t>, such that</w:t>
      </w:r>
      <w:r>
        <w:t xml:space="preserve"> queries from IL4-cleared users cannot traverse IL6 vector indexes. All </w:t>
      </w:r>
      <w:proofErr w:type="spellStart"/>
      <w:r>
        <w:t>DoW</w:t>
      </w:r>
      <w:proofErr w:type="spellEnd"/>
      <w:r>
        <w:t xml:space="preserve"> RAG endpoints must be gated by CAC or Personal Identity Verification (PIV) authentication. Role-Based Access Control (RBAC) provides differentiated permissions for query, ingest, delete, and model configuration operations.</w:t>
      </w:r>
    </w:p>
    <w:p w14:paraId="54F360EF" w14:textId="77777777" w:rsidR="00E33E41" w:rsidRDefault="00000000" w:rsidP="00E50205">
      <w:pPr>
        <w:pStyle w:val="Heading3"/>
      </w:pPr>
      <w:bookmarkStart w:id="25" w:name="encryption-requirements."/>
      <w:bookmarkEnd w:id="24"/>
      <w:r>
        <w:lastRenderedPageBreak/>
        <w:t>Encryption Requirements.</w:t>
      </w:r>
    </w:p>
    <w:p w14:paraId="17DA89C4" w14:textId="1B7F144E" w:rsidR="00E33E41" w:rsidRPr="00277653" w:rsidRDefault="00000000" w:rsidP="00E50205">
      <w:pPr>
        <w:pStyle w:val="FirstParagraph"/>
        <w:rPr>
          <w:lang w:val="en-AU"/>
        </w:rPr>
      </w:pPr>
      <w:r>
        <w:t xml:space="preserve">Data at rest requires AES-256 encryption on all vector database storage volumes with FIPS 140-2/140-3 validated cryptographic modules. Data in transit requires </w:t>
      </w:r>
      <w:r w:rsidR="00D8771C">
        <w:t>Transport Security Layer (</w:t>
      </w:r>
      <w:r>
        <w:t>TLS</w:t>
      </w:r>
      <w:r w:rsidR="00D8771C">
        <w:t>)</w:t>
      </w:r>
      <w:r>
        <w:t xml:space="preserve"> 1.2 minimum with TLS 1.3 preferred for all API calls between RAG components, and mutual TLS for service-to-service communication. Embedding vector confidentiality must be maintained through dedicated inference nodes and secure enclaves, as embedding models can leak information via vector similarity attacks</w:t>
      </w:r>
      <w:r w:rsidR="00277653">
        <w:t xml:space="preserve"> (</w:t>
      </w:r>
      <w:r w:rsidR="00277653" w:rsidRPr="00277653">
        <w:rPr>
          <w:lang w:val="en-AU"/>
        </w:rPr>
        <w:t>Carlini et al.</w:t>
      </w:r>
      <w:r w:rsidR="00277653">
        <w:rPr>
          <w:lang w:val="en-AU"/>
        </w:rPr>
        <w:t>,</w:t>
      </w:r>
      <w:r w:rsidR="00277653" w:rsidRPr="00277653">
        <w:rPr>
          <w:lang w:val="en-AU"/>
        </w:rPr>
        <w:t xml:space="preserve"> 2021</w:t>
      </w:r>
      <w:r w:rsidR="00277653">
        <w:rPr>
          <w:lang w:val="en-AU"/>
        </w:rPr>
        <w:t>)</w:t>
      </w:r>
      <w:r>
        <w:t>.</w:t>
      </w:r>
    </w:p>
    <w:p w14:paraId="35E3EEFC" w14:textId="77777777" w:rsidR="00E33E41" w:rsidRDefault="00000000" w:rsidP="00E50205">
      <w:pPr>
        <w:pStyle w:val="Heading2"/>
      </w:pPr>
      <w:bookmarkStart w:id="26" w:name="ai-specific-threats-and-mitigations"/>
      <w:bookmarkEnd w:id="22"/>
      <w:bookmarkEnd w:id="25"/>
      <w:r>
        <w:t>AI-Specific Threats and Mitigations</w:t>
      </w:r>
    </w:p>
    <w:p w14:paraId="0453F7AB" w14:textId="77777777" w:rsidR="00E33E41" w:rsidRDefault="00000000" w:rsidP="00E50205">
      <w:pPr>
        <w:pStyle w:val="FirstParagraph"/>
      </w:pPr>
      <w:r>
        <w:t>Prompt injection and indirect prompt injection occur when adversarial input in retrieved documents instructs the LLM to override system prompt instructions. Mitigations include input sanitization at ingestion, prompt shields, and output validation to detect instruction-following anomalies (Microsoft 2026).</w:t>
      </w:r>
    </w:p>
    <w:p w14:paraId="2450FE7D" w14:textId="4EF67AB1" w:rsidR="00E33E41" w:rsidRDefault="00000000" w:rsidP="00E50205">
      <w:pPr>
        <w:pStyle w:val="BodyText"/>
      </w:pPr>
      <w:r>
        <w:t xml:space="preserve">Knowledge base poisoning represents a particularly acute threat. Zou et al. (2025) demonstrated with </w:t>
      </w:r>
      <w:proofErr w:type="spellStart"/>
      <w:r w:rsidRPr="00D8771C">
        <w:rPr>
          <w:i/>
          <w:iCs/>
        </w:rPr>
        <w:t>PoisonedRAG</w:t>
      </w:r>
      <w:proofErr w:type="spellEnd"/>
      <w:r>
        <w:t xml:space="preserve"> that injecting just five malicious texts into a knowledge base containing 2.68 million documents could achieve a 97% attack success rate</w:t>
      </w:r>
      <w:r w:rsidR="00D8771C">
        <w:t xml:space="preserve">, </w:t>
      </w:r>
      <w:r>
        <w:t>inducing the LLM to generate attacker-chosen target answers for attacker-chosen target questions. The attack exploits the knowledge database as a new attack surface, formulating poisoning as an optimization problem that simultaneously satisfies retrieval conditions (ensuring malicious texts are retrieved) and generation conditions (ensuring the LLM produces the target answer). Critically, existing defenses</w:t>
      </w:r>
      <w:r w:rsidR="00D8771C">
        <w:t>,</w:t>
      </w:r>
      <w:r>
        <w:t xml:space="preserve"> including paraphrasing and perplexity-based detection</w:t>
      </w:r>
      <w:r w:rsidR="00D8771C">
        <w:t>.</w:t>
      </w:r>
      <w:r>
        <w:t xml:space="preserve"> proved insufficient against </w:t>
      </w:r>
      <w:proofErr w:type="spellStart"/>
      <w:r w:rsidRPr="00D8771C">
        <w:rPr>
          <w:i/>
          <w:iCs/>
        </w:rPr>
        <w:t>PoisonedRAG</w:t>
      </w:r>
      <w:proofErr w:type="spellEnd"/>
      <w:r>
        <w:t xml:space="preserve"> (Zou et al. 2025). Mitigations must therefore be layered: document provenance verification, integrity hashing of all ingested content, access-controlled ingest pipelines, and periodic adversarial audits of retrieval behavior.</w:t>
      </w:r>
    </w:p>
    <w:p w14:paraId="523FD10F" w14:textId="77777777" w:rsidR="00E33E41" w:rsidRDefault="00000000" w:rsidP="00E50205">
      <w:pPr>
        <w:pStyle w:val="BodyText"/>
      </w:pPr>
      <w:r>
        <w:t xml:space="preserve">Model inversion and embedding leakage are mitigated by restricting API access to authorized users, maintaining audit logs on all embedding queries, and prohibiting external embedding service calls for classified data. Hallucination in safety-critical outputs is mitigated through </w:t>
      </w:r>
      <w:proofErr w:type="spellStart"/>
      <w:r>
        <w:t>groundedness</w:t>
      </w:r>
      <w:proofErr w:type="spellEnd"/>
      <w:r>
        <w:t xml:space="preserve"> scoring, mandatory human-in-the-loop review for all T&amp;E deliverables, and citation requirements for every factual claim.</w:t>
      </w:r>
    </w:p>
    <w:p w14:paraId="75440982" w14:textId="77777777" w:rsidR="00E33E41" w:rsidRDefault="00000000" w:rsidP="00E50205">
      <w:pPr>
        <w:pStyle w:val="Heading2"/>
      </w:pPr>
      <w:bookmarkStart w:id="27" w:name="X1065d13efd83b901875aeb5e27ac45f94169bb2"/>
      <w:bookmarkEnd w:id="26"/>
      <w:r>
        <w:t>Authorization to Operate and Continuous ATO</w:t>
      </w:r>
    </w:p>
    <w:p w14:paraId="4E2DB0FE" w14:textId="3BEAAC50" w:rsidR="00E33E41" w:rsidRDefault="00000000" w:rsidP="00E50205">
      <w:pPr>
        <w:pStyle w:val="FirstParagraph"/>
      </w:pPr>
      <w:r>
        <w:t xml:space="preserve">The DoD AI Cybersecurity RMF Tailoring Guide provides AI-specific RMF tailoring, requiring authorizing officials to validate cybersecurity evidence at each model lifecycle phase (DoD CIO 2024). RAG pipelines must be embedded in </w:t>
      </w:r>
      <w:proofErr w:type="spellStart"/>
      <w:r>
        <w:t>DevSecOps</w:t>
      </w:r>
      <w:proofErr w:type="spellEnd"/>
      <w:r>
        <w:t xml:space="preserve"> platforms such as </w:t>
      </w:r>
      <w:r w:rsidRPr="00D8771C">
        <w:rPr>
          <w:i/>
          <w:iCs/>
        </w:rPr>
        <w:t>Platform One</w:t>
      </w:r>
      <w:r>
        <w:t xml:space="preserve">, with container images scanned against </w:t>
      </w:r>
      <w:proofErr w:type="spellStart"/>
      <w:r w:rsidR="00D8771C" w:rsidRPr="00D8771C">
        <w:rPr>
          <w:lang w:val="en-AU"/>
        </w:rPr>
        <w:t>Defense</w:t>
      </w:r>
      <w:proofErr w:type="spellEnd"/>
      <w:r w:rsidR="00D8771C" w:rsidRPr="00D8771C">
        <w:rPr>
          <w:lang w:val="en-AU"/>
        </w:rPr>
        <w:t xml:space="preserve"> Information Systems Agency</w:t>
      </w:r>
      <w:r w:rsidR="00D8771C">
        <w:rPr>
          <w:lang w:val="en-AU"/>
        </w:rPr>
        <w:t xml:space="preserve"> (DISA)</w:t>
      </w:r>
      <w:r w:rsidR="00D8771C" w:rsidRPr="00D8771C">
        <w:rPr>
          <w:lang w:val="en-AU"/>
        </w:rPr>
        <w:t xml:space="preserve"> Security Technical Implementation Guides</w:t>
      </w:r>
      <w:r w:rsidR="00D8771C">
        <w:rPr>
          <w:lang w:val="en-AU"/>
        </w:rPr>
        <w:t xml:space="preserve"> (</w:t>
      </w:r>
      <w:r>
        <w:t>STIGs</w:t>
      </w:r>
      <w:r w:rsidR="00D8771C">
        <w:t>)</w:t>
      </w:r>
      <w:r>
        <w:t xml:space="preserve"> and automated </w:t>
      </w:r>
      <w:r w:rsidR="00D8771C">
        <w:t>Static and Dynamic Automated Security Testing (</w:t>
      </w:r>
      <w:r>
        <w:t>SAST/DAST</w:t>
      </w:r>
      <w:r w:rsidR="00D8771C">
        <w:t>)</w:t>
      </w:r>
      <w:r>
        <w:t xml:space="preserve"> in CI/CD pipelines. The continuous ATO pathway enables provisional ATO to be sustained without full re-authorization at each update through continuous monitoring with automated control assessment. CMMC Level 3 applies to RAG systems handling acquisition-sensitive or weapons-system CUI, requiring </w:t>
      </w:r>
      <w:r>
        <w:lastRenderedPageBreak/>
        <w:t>24 enhanced controls from NIST SP 800-172 and Defense Industrial Base Cybersecurity Assessment Center (DIBCAC) assessment (Wiley Law 2025).</w:t>
      </w:r>
    </w:p>
    <w:p w14:paraId="49EBE859" w14:textId="77777777" w:rsidR="00E33E41" w:rsidRDefault="00000000" w:rsidP="00E50205">
      <w:pPr>
        <w:pStyle w:val="Heading2"/>
      </w:pPr>
      <w:bookmarkStart w:id="28" w:name="zero-trust-architecture-integration"/>
      <w:bookmarkEnd w:id="27"/>
      <w:r>
        <w:t>Zero Trust Architecture Integration</w:t>
      </w:r>
    </w:p>
    <w:p w14:paraId="7A3D83A2" w14:textId="0F606495" w:rsidR="00E33E41" w:rsidRDefault="00000000" w:rsidP="00E50205">
      <w:pPr>
        <w:pStyle w:val="FirstParagraph"/>
      </w:pPr>
      <w:r>
        <w:t xml:space="preserve">The identity pillar requires every human and non-human identity to be continuously verified with no implicit trust for in-network components. The data pillar enforces classification-boundary enforcement through the RAG query router per the Federal Zero Trust Data Security Guide (CISO Council 2025). The device pillar permits only </w:t>
      </w:r>
      <w:proofErr w:type="spellStart"/>
      <w:r>
        <w:t>DoW</w:t>
      </w:r>
      <w:proofErr w:type="spellEnd"/>
      <w:r>
        <w:t xml:space="preserve">-managed, STIG-compliant endpoints to access RAG interfaces with continuous device posture assessment. The network pillar mandates micro-segmented virtual networks isolating </w:t>
      </w:r>
      <w:r w:rsidR="00736570">
        <w:t xml:space="preserve">the </w:t>
      </w:r>
      <w:r>
        <w:t>vector database, embedding service, and LLM inference from each other, with east-west traffic logged and anomaly-detected.</w:t>
      </w:r>
    </w:p>
    <w:p w14:paraId="24EFCDDF" w14:textId="77777777" w:rsidR="00E33E41" w:rsidRDefault="00000000" w:rsidP="00E50205">
      <w:pPr>
        <w:pStyle w:val="Heading2"/>
      </w:pPr>
      <w:bookmarkStart w:id="29" w:name="X9ed5cdf02d5210ce50541358ee5978fcf5f0912"/>
      <w:bookmarkEnd w:id="28"/>
      <w:r>
        <w:t>Vendor Supply Chain Risk: The Anthropic Designation</w:t>
      </w:r>
    </w:p>
    <w:p w14:paraId="1EB9ACC5" w14:textId="77777777" w:rsidR="00E33E41" w:rsidRDefault="00000000" w:rsidP="00E50205">
      <w:pPr>
        <w:pStyle w:val="FirstParagraph"/>
      </w:pPr>
      <w:r>
        <w:t xml:space="preserve">The February–March 2026 Anthropic supply chain risk designation provides a stark illustration of why vendor-independent RAG architectures are not merely a best practice but an operational necessity. In July 2025, Anthropic and the Pentagon entered a contract making </w:t>
      </w:r>
      <w:r w:rsidRPr="00736570">
        <w:rPr>
          <w:i/>
          <w:iCs/>
        </w:rPr>
        <w:t>Claude</w:t>
      </w:r>
      <w:r>
        <w:t xml:space="preserve"> the first frontier model approved for use on classified networks, with the Pentagon agreeing to abide by </w:t>
      </w:r>
      <w:proofErr w:type="spellStart"/>
      <w:r>
        <w:t>Anthropic’s</w:t>
      </w:r>
      <w:proofErr w:type="spellEnd"/>
      <w:r>
        <w:t xml:space="preserve"> acceptable use policy (AUP) prohibiting use for mass domestic surveillance and fully autonomous weapons systems (Frazee et al. 2026). When the Pentagon subsequently sought to renegotiate those terms to allow unrestricted military use “for all lawful purposes,” Anthropic refused. On February 27, 2026, President Trump directed all federal agencies to cease using Anthropic technology, and Defense Secretary Hegseth designated Anthropic a supply chain risk. By March 5, 2026, the </w:t>
      </w:r>
      <w:proofErr w:type="spellStart"/>
      <w:r>
        <w:t>DoW</w:t>
      </w:r>
      <w:proofErr w:type="spellEnd"/>
      <w:r>
        <w:t xml:space="preserve"> formally issued the designation, the General Services Administration (GSA) removed Anthropic from </w:t>
      </w:r>
      <w:r w:rsidRPr="00736570">
        <w:rPr>
          <w:i/>
          <w:iCs/>
        </w:rPr>
        <w:t>USAi.gov</w:t>
      </w:r>
      <w:r>
        <w:t xml:space="preserve">, and Navy commands began removing </w:t>
      </w:r>
      <w:r w:rsidRPr="00736570">
        <w:rPr>
          <w:i/>
          <w:iCs/>
        </w:rPr>
        <w:t>Claude</w:t>
      </w:r>
      <w:r>
        <w:t xml:space="preserve"> models from their generative AI platforms (Frazee et al. 2026).</w:t>
      </w:r>
    </w:p>
    <w:p w14:paraId="5425C35A" w14:textId="6F669B7B" w:rsidR="00E33E41" w:rsidRDefault="00000000" w:rsidP="00E50205">
      <w:pPr>
        <w:pStyle w:val="BodyText"/>
      </w:pPr>
      <w:r>
        <w:t>The legal mechanisms available to enforce this designation</w:t>
      </w:r>
      <w:r w:rsidR="00736570">
        <w:t xml:space="preserve">, </w:t>
      </w:r>
      <w:r>
        <w:t>including Federal Acquisition Supply Chain Security Act (FASCSA) exclusion orders under Federal Acquisition Regulation (FAR) 52.204-29 and 52.204-30, DoD-specific authority under 10 U.S.C. § 3252, and potential suspension and debarment</w:t>
      </w:r>
      <w:r w:rsidR="00736570">
        <w:t xml:space="preserve">, collectively </w:t>
      </w:r>
      <w:r>
        <w:t xml:space="preserve">impose significant obligations on contractors. Under FASCSA, contractors must review </w:t>
      </w:r>
      <w:r w:rsidRPr="00736570">
        <w:rPr>
          <w:i/>
          <w:iCs/>
        </w:rPr>
        <w:t>SAM.gov</w:t>
      </w:r>
      <w:r>
        <w:t xml:space="preserve"> at least quarterly for new orders, conduct reasonable inquiries into their supply chains, report covered use within three business days, and submit mitigation plans within ten business days, with obligations flowing down to subcontractors at all tiers (Frazee et al. 2026).</w:t>
      </w:r>
    </w:p>
    <w:p w14:paraId="47C43FF7" w14:textId="0294DA9D" w:rsidR="00E33E41" w:rsidRDefault="00000000" w:rsidP="00E50205">
      <w:pPr>
        <w:pStyle w:val="BodyText"/>
      </w:pPr>
      <w:r>
        <w:t>For RAG system architects, this event validates the multi-model, multi-vendor approach advocated throughout this paper. Organizations that had architected their RAG pipelines around a single LLM provider</w:t>
      </w:r>
      <w:r w:rsidR="00736570">
        <w:t xml:space="preserve">, </w:t>
      </w:r>
      <w:r>
        <w:t xml:space="preserve">particularly </w:t>
      </w:r>
      <w:proofErr w:type="spellStart"/>
      <w:r>
        <w:t>Anthropic</w:t>
      </w:r>
      <w:r w:rsidR="00736570">
        <w:t>’s</w:t>
      </w:r>
      <w:proofErr w:type="spellEnd"/>
      <w:r>
        <w:t xml:space="preserve"> </w:t>
      </w:r>
      <w:r w:rsidRPr="00736570">
        <w:rPr>
          <w:i/>
          <w:iCs/>
        </w:rPr>
        <w:t>Claude</w:t>
      </w:r>
      <w:r w:rsidR="00736570">
        <w:t xml:space="preserve">, </w:t>
      </w:r>
      <w:r>
        <w:t>faced immediate operational disruption. By contrast, systems designed with abstraction layers between the RAG orchestration logic and the LLM inference endpoint could transition to alternative models (</w:t>
      </w:r>
      <w:r w:rsidRPr="00736570">
        <w:rPr>
          <w:i/>
          <w:iCs/>
        </w:rPr>
        <w:t>GPT-4o</w:t>
      </w:r>
      <w:r>
        <w:t xml:space="preserve">, </w:t>
      </w:r>
      <w:r w:rsidRPr="00736570">
        <w:rPr>
          <w:i/>
          <w:iCs/>
        </w:rPr>
        <w:t>Gemini</w:t>
      </w:r>
      <w:r>
        <w:t xml:space="preserve">, or open-source alternatives) with minimal architectural changes. </w:t>
      </w:r>
      <w:r>
        <w:lastRenderedPageBreak/>
        <w:t xml:space="preserve">The </w:t>
      </w:r>
      <w:r w:rsidRPr="00736570">
        <w:rPr>
          <w:i/>
          <w:iCs/>
        </w:rPr>
        <w:t>Haystack</w:t>
      </w:r>
      <w:r>
        <w:t xml:space="preserve"> and </w:t>
      </w:r>
      <w:proofErr w:type="spellStart"/>
      <w:r w:rsidRPr="00736570">
        <w:rPr>
          <w:i/>
          <w:iCs/>
        </w:rPr>
        <w:t>LangChain</w:t>
      </w:r>
      <w:proofErr w:type="spellEnd"/>
      <w:r>
        <w:t xml:space="preserve"> frameworks described earlier in this paper facilitate exactly this kind of vendor-agnostic design, where swapping the LLM component requires changing a model identifier rather than rewriting the pipeline. The lesson is clear</w:t>
      </w:r>
      <w:r w:rsidR="00736570">
        <w:t>:</w:t>
      </w:r>
      <w:r>
        <w:t xml:space="preserve"> RAG architectures must treat the LLM as a replaceable component behind a standardized interface, not as a foundational dependency.</w:t>
      </w:r>
    </w:p>
    <w:p w14:paraId="4ED6D2A0" w14:textId="77777777" w:rsidR="00E33E41" w:rsidRDefault="00000000" w:rsidP="00E50205">
      <w:pPr>
        <w:pStyle w:val="Heading2"/>
      </w:pPr>
      <w:bookmarkStart w:id="30" w:name="X2f61af27215e9204c593115200612ee0451c939"/>
      <w:bookmarkEnd w:id="29"/>
      <w:r>
        <w:t>CUI Compliance for Cloud-Based RAG Infrastructure</w:t>
      </w:r>
    </w:p>
    <w:p w14:paraId="225B338C" w14:textId="6800633D" w:rsidR="00E33E41" w:rsidRDefault="00000000" w:rsidP="00E50205">
      <w:pPr>
        <w:pStyle w:val="FirstParagraph"/>
      </w:pPr>
      <w:r>
        <w:t xml:space="preserve">Deploying RAG systems that handle CUI on cloud infrastructure requires careful attention to encryption, network isolation, and the shared responsibility model. Using Amazon </w:t>
      </w:r>
      <w:r w:rsidRPr="00736570">
        <w:rPr>
          <w:i/>
          <w:iCs/>
        </w:rPr>
        <w:t>Bedrock</w:t>
      </w:r>
      <w:r>
        <w:t xml:space="preserve"> as an illustrative example, the service can be accessed either over the public internet via HTTPS/TLS 1.2+ or through a </w:t>
      </w:r>
      <w:r w:rsidR="00736570" w:rsidRPr="00736570">
        <w:rPr>
          <w:lang w:val="en-AU"/>
        </w:rPr>
        <w:t>Virtual Private Cloud</w:t>
      </w:r>
      <w:r w:rsidR="00736570">
        <w:rPr>
          <w:lang w:val="en-AU"/>
        </w:rPr>
        <w:t xml:space="preserve"> (</w:t>
      </w:r>
      <w:r>
        <w:t>VPC</w:t>
      </w:r>
      <w:r w:rsidR="00736570">
        <w:t>)</w:t>
      </w:r>
      <w:r>
        <w:t xml:space="preserve"> endpoint using AWS </w:t>
      </w:r>
      <w:proofErr w:type="spellStart"/>
      <w:r w:rsidRPr="00736570">
        <w:rPr>
          <w:i/>
          <w:iCs/>
        </w:rPr>
        <w:t>PrivateLink</w:t>
      </w:r>
      <w:proofErr w:type="spellEnd"/>
      <w:r>
        <w:t>. Both methods satisfy NIST 800-171 Rev 2 control 3.13.8</w:t>
      </w:r>
      <w:r w:rsidR="00736570">
        <w:t>,</w:t>
      </w:r>
      <w:r>
        <w:t xml:space="preserve"> requiring cryptographic protection of CUI during transmission. However, VPC endpoints provide stronger network isolation as a defense-in-depth measure, keep traffic off the public internet, provide network-level audit trails, and simplify the security narrative for CMMC assessors.</w:t>
      </w:r>
    </w:p>
    <w:p w14:paraId="1FD53929" w14:textId="6701B79E" w:rsidR="00E33E41" w:rsidRPr="00F13F64" w:rsidRDefault="00000000" w:rsidP="00E50205">
      <w:pPr>
        <w:pStyle w:val="BodyText"/>
        <w:rPr>
          <w:lang w:val="en-AU"/>
        </w:rPr>
      </w:pPr>
      <w:r>
        <w:t xml:space="preserve">For data at rest, </w:t>
      </w:r>
      <w:r w:rsidRPr="00736570">
        <w:rPr>
          <w:i/>
          <w:iCs/>
        </w:rPr>
        <w:t>Bedrock</w:t>
      </w:r>
      <w:r>
        <w:t xml:space="preserve"> encrypts all data by default using AWS-owned keys with FIPS 140-2 validated cryptographic modules. While NIST 800-171 does not specify key ownership, customer-managed </w:t>
      </w:r>
      <w:r w:rsidR="00F13F64" w:rsidRPr="00F13F64">
        <w:rPr>
          <w:lang w:val="en-AU"/>
        </w:rPr>
        <w:t>Key Management Service</w:t>
      </w:r>
      <w:r w:rsidR="00F13F64">
        <w:rPr>
          <w:lang w:val="en-AU"/>
        </w:rPr>
        <w:t xml:space="preserve"> (</w:t>
      </w:r>
      <w:r>
        <w:t>KMS</w:t>
      </w:r>
      <w:r w:rsidR="00F13F64">
        <w:t>)</w:t>
      </w:r>
      <w:r>
        <w:t xml:space="preserve"> keys are strongly recommended for CUI workloads because AWS-owned keys cannot be audited via </w:t>
      </w:r>
      <w:r w:rsidRPr="00F13F64">
        <w:rPr>
          <w:i/>
          <w:iCs/>
        </w:rPr>
        <w:t>CloudTrail</w:t>
      </w:r>
      <w:r>
        <w:t xml:space="preserve">, creating gaps in key management (control 3.13.10) and audit logging (control 3.3.1) controls. A CMMC assessor could reasonably interpret “establish and manage cryptographic keys” as requiring demonstrable key management. This operational consideration extends to all supporting infrastructure: when provisioning </w:t>
      </w:r>
      <w:r w:rsidR="00F13F64" w:rsidRPr="00F13F64">
        <w:rPr>
          <w:lang w:val="en-AU"/>
        </w:rPr>
        <w:t>Simple Storage Service</w:t>
      </w:r>
      <w:r w:rsidR="00F13F64">
        <w:rPr>
          <w:lang w:val="en-AU"/>
        </w:rPr>
        <w:t xml:space="preserve"> (</w:t>
      </w:r>
      <w:r>
        <w:t>S3</w:t>
      </w:r>
      <w:r w:rsidR="00F13F64">
        <w:t>)</w:t>
      </w:r>
      <w:r>
        <w:t xml:space="preserve"> buckets for document storage, </w:t>
      </w:r>
      <w:r w:rsidR="004251D0" w:rsidRPr="004251D0">
        <w:rPr>
          <w:lang w:val="en-AU"/>
        </w:rPr>
        <w:t>Elastic Block Store</w:t>
      </w:r>
      <w:r w:rsidR="004251D0">
        <w:rPr>
          <w:lang w:val="en-AU"/>
        </w:rPr>
        <w:t xml:space="preserve"> (</w:t>
      </w:r>
      <w:r>
        <w:t>EBS</w:t>
      </w:r>
      <w:r w:rsidR="004251D0">
        <w:t>)</w:t>
      </w:r>
      <w:r>
        <w:t xml:space="preserve"> volumes for vector databases, and </w:t>
      </w:r>
      <w:r w:rsidR="004251D0" w:rsidRPr="004251D0">
        <w:rPr>
          <w:lang w:val="en-AU"/>
        </w:rPr>
        <w:t>Elastic Compute Cloud</w:t>
      </w:r>
      <w:r w:rsidR="004251D0">
        <w:rPr>
          <w:lang w:val="en-AU"/>
        </w:rPr>
        <w:t xml:space="preserve"> (</w:t>
      </w:r>
      <w:r>
        <w:t>EC2</w:t>
      </w:r>
      <w:r w:rsidR="004251D0">
        <w:t>)</w:t>
      </w:r>
      <w:r>
        <w:t xml:space="preserve"> instances for RAG pipeline components, customer-managed KMS keys should be selected at creation time. Infrastructure-as-Code using </w:t>
      </w:r>
      <w:r w:rsidRPr="004251D0">
        <w:rPr>
          <w:i/>
          <w:iCs/>
        </w:rPr>
        <w:t>Terraform</w:t>
      </w:r>
      <w:r>
        <w:t xml:space="preserve"> with code reviews that check for proper KMS and VPC configuration before merging provides automated compliance enforcement.</w:t>
      </w:r>
    </w:p>
    <w:p w14:paraId="51FE8F51" w14:textId="77777777" w:rsidR="00E33E41" w:rsidRDefault="00000000" w:rsidP="00E50205">
      <w:pPr>
        <w:pStyle w:val="Heading1"/>
      </w:pPr>
      <w:bookmarkStart w:id="31" w:name="X7172d7e6a73300774eb92187efe1b0290e6210a"/>
      <w:bookmarkEnd w:id="20"/>
      <w:bookmarkEnd w:id="30"/>
      <w:r>
        <w:t>Case study: RAG deployment on AWS GovCloud for naval engineering</w:t>
      </w:r>
    </w:p>
    <w:p w14:paraId="2DCD03D3" w14:textId="4E3C527E" w:rsidR="00E33E41" w:rsidRDefault="00000000" w:rsidP="00E50205">
      <w:pPr>
        <w:pStyle w:val="FirstParagraph"/>
      </w:pPr>
      <w:r>
        <w:t xml:space="preserve">The authors developed and deployed a production RAG system on AWS </w:t>
      </w:r>
      <w:r w:rsidRPr="004251D0">
        <w:rPr>
          <w:i/>
          <w:iCs/>
        </w:rPr>
        <w:t>GovCloud</w:t>
      </w:r>
      <w:r>
        <w:t xml:space="preserve"> (us-gov-west-1) for a Navy warfare center, providing domain-specific AI assistance for corrosion engineering analysis. This implementation demonstrates the practical feasibility of the layered architecture described in the preceding sections and illustrates concrete design decisions required for </w:t>
      </w:r>
      <w:proofErr w:type="spellStart"/>
      <w:r>
        <w:t>DoW</w:t>
      </w:r>
      <w:proofErr w:type="spellEnd"/>
      <w:r>
        <w:t xml:space="preserve"> RAG deployments. The system described here was deployed prior to the February–March 2026 Anthropic supply chain risk designation discussed in the security controls section above</w:t>
      </w:r>
      <w:r w:rsidR="004251D0">
        <w:t>. That said,</w:t>
      </w:r>
      <w:r>
        <w:t xml:space="preserve"> the modular architecture described below </w:t>
      </w:r>
      <w:r>
        <w:lastRenderedPageBreak/>
        <w:t>allows the inference endpoint to be swapped to an alternative model without changes to the surrounding pipeline, exactly the vendor-independence pattern this paper advocates.</w:t>
      </w:r>
    </w:p>
    <w:p w14:paraId="2D18709F" w14:textId="77777777" w:rsidR="00E33E41" w:rsidRDefault="00000000" w:rsidP="00E50205">
      <w:pPr>
        <w:pStyle w:val="Heading2"/>
      </w:pPr>
      <w:bookmarkStart w:id="32" w:name="architecture-and-technology-stack"/>
      <w:r>
        <w:t>Architecture and Technology Stack</w:t>
      </w:r>
    </w:p>
    <w:p w14:paraId="1DA55BBB" w14:textId="1792DBF5" w:rsidR="00E33E41" w:rsidRDefault="00000000" w:rsidP="00E50205">
      <w:pPr>
        <w:pStyle w:val="FirstParagraph"/>
      </w:pPr>
      <w:r>
        <w:t xml:space="preserve">The </w:t>
      </w:r>
      <w:proofErr w:type="spellStart"/>
      <w:r w:rsidRPr="004251D0">
        <w:rPr>
          <w:i/>
          <w:iCs/>
        </w:rPr>
        <w:t>RustyAI</w:t>
      </w:r>
      <w:proofErr w:type="spellEnd"/>
      <w:r>
        <w:t xml:space="preserve"> system implements a four-tier architecture on AWS </w:t>
      </w:r>
      <w:r w:rsidRPr="004251D0">
        <w:rPr>
          <w:i/>
          <w:iCs/>
        </w:rPr>
        <w:t>GovCloud</w:t>
      </w:r>
      <w:r>
        <w:t xml:space="preserve"> EC2 instances. The frontend tier runs a </w:t>
      </w:r>
      <w:proofErr w:type="spellStart"/>
      <w:r w:rsidRPr="004251D0">
        <w:rPr>
          <w:i/>
          <w:iCs/>
        </w:rPr>
        <w:t>Streamlit</w:t>
      </w:r>
      <w:proofErr w:type="spellEnd"/>
      <w:r>
        <w:t xml:space="preserve"> web application behind </w:t>
      </w:r>
      <w:proofErr w:type="gramStart"/>
      <w:r>
        <w:t>an</w:t>
      </w:r>
      <w:proofErr w:type="gramEnd"/>
      <w:r>
        <w:t xml:space="preserve"> </w:t>
      </w:r>
      <w:r w:rsidRPr="004251D0">
        <w:rPr>
          <w:i/>
          <w:iCs/>
        </w:rPr>
        <w:t>Nginx</w:t>
      </w:r>
      <w:r>
        <w:t xml:space="preserve"> reverse proxy configured with TLS 1.3, strong </w:t>
      </w:r>
      <w:r w:rsidRPr="004251D0">
        <w:rPr>
          <w:i/>
          <w:iCs/>
        </w:rPr>
        <w:t>Diffie-Hellman</w:t>
      </w:r>
      <w:r>
        <w:t xml:space="preserve"> key exchange, and security headers including </w:t>
      </w:r>
      <w:r w:rsidRPr="004251D0">
        <w:rPr>
          <w:i/>
          <w:iCs/>
        </w:rPr>
        <w:t>X-Frame-Options</w:t>
      </w:r>
      <w:r>
        <w:t xml:space="preserve">, </w:t>
      </w:r>
      <w:r w:rsidRPr="004251D0">
        <w:rPr>
          <w:i/>
          <w:iCs/>
        </w:rPr>
        <w:t>X-Content-Type-Options</w:t>
      </w:r>
      <w:r>
        <w:t xml:space="preserve">, and </w:t>
      </w:r>
      <w:r w:rsidRPr="004251D0">
        <w:rPr>
          <w:i/>
          <w:iCs/>
        </w:rPr>
        <w:t>X-XSS-Protection</w:t>
      </w:r>
      <w:r w:rsidR="004251D0">
        <w:t>. These collectively provide</w:t>
      </w:r>
      <w:r>
        <w:t xml:space="preserve"> encrypted, hardened access to the RAG interface. The application tier hosts the RAG pipeline built on the </w:t>
      </w:r>
      <w:r w:rsidRPr="004251D0">
        <w:rPr>
          <w:i/>
          <w:iCs/>
        </w:rPr>
        <w:t>Haystack</w:t>
      </w:r>
      <w:r>
        <w:t xml:space="preserve"> framework, which orchestrates the retrieval and generation workflow. The data tier employs </w:t>
      </w:r>
      <w:r w:rsidRPr="004251D0">
        <w:rPr>
          <w:i/>
          <w:iCs/>
        </w:rPr>
        <w:t>Milvus</w:t>
      </w:r>
      <w:r>
        <w:t xml:space="preserve"> as the vector database, deployed as a </w:t>
      </w:r>
      <w:r w:rsidRPr="004251D0">
        <w:rPr>
          <w:i/>
          <w:iCs/>
        </w:rPr>
        <w:t>Docker Compose</w:t>
      </w:r>
      <w:r>
        <w:t xml:space="preserve"> stack with separate containers for the </w:t>
      </w:r>
      <w:r w:rsidRPr="004251D0">
        <w:rPr>
          <w:i/>
          <w:iCs/>
        </w:rPr>
        <w:t>Milvus</w:t>
      </w:r>
      <w:r>
        <w:t xml:space="preserve"> server, </w:t>
      </w:r>
      <w:proofErr w:type="spellStart"/>
      <w:r w:rsidRPr="004251D0">
        <w:rPr>
          <w:i/>
          <w:iCs/>
        </w:rPr>
        <w:t>etcd</w:t>
      </w:r>
      <w:proofErr w:type="spellEnd"/>
      <w:r>
        <w:t xml:space="preserve"> for metadata management, and </w:t>
      </w:r>
      <w:proofErr w:type="spellStart"/>
      <w:r w:rsidRPr="004251D0">
        <w:rPr>
          <w:i/>
          <w:iCs/>
        </w:rPr>
        <w:t>MinIO</w:t>
      </w:r>
      <w:proofErr w:type="spellEnd"/>
      <w:r>
        <w:t xml:space="preserve"> for object storage, providing component isolation and enterprise-grade reliability. The inference tier leverages Amazon </w:t>
      </w:r>
      <w:r w:rsidRPr="004251D0">
        <w:rPr>
          <w:i/>
          <w:iCs/>
        </w:rPr>
        <w:t>Bedrock</w:t>
      </w:r>
      <w:r>
        <w:t xml:space="preserve"> for both embedding generation via Amazon </w:t>
      </w:r>
      <w:r w:rsidRPr="004251D0">
        <w:rPr>
          <w:i/>
          <w:iCs/>
        </w:rPr>
        <w:t>Titan</w:t>
      </w:r>
      <w:r>
        <w:t xml:space="preserve"> (</w:t>
      </w:r>
      <w:r w:rsidRPr="004251D0">
        <w:rPr>
          <w:i/>
          <w:iCs/>
        </w:rPr>
        <w:t>text-embedding-v2</w:t>
      </w:r>
      <w:r>
        <w:t xml:space="preserve">) and LLM inference via Anthropic </w:t>
      </w:r>
      <w:r w:rsidRPr="004251D0">
        <w:rPr>
          <w:i/>
          <w:iCs/>
        </w:rPr>
        <w:t>Claude</w:t>
      </w:r>
      <w:r>
        <w:t xml:space="preserve"> Sonnet 3.5.</w:t>
      </w:r>
    </w:p>
    <w:p w14:paraId="6BBCD1D9" w14:textId="181BA064" w:rsidR="00E33E41" w:rsidRDefault="00000000" w:rsidP="00E50205">
      <w:pPr>
        <w:pStyle w:val="BodyText"/>
      </w:pPr>
      <w:r>
        <w:t xml:space="preserve">The system supports two </w:t>
      </w:r>
      <w:r w:rsidRPr="004251D0">
        <w:rPr>
          <w:i/>
          <w:iCs/>
        </w:rPr>
        <w:t>Milvus</w:t>
      </w:r>
      <w:r>
        <w:t xml:space="preserve"> deployment modes to accommodate different operational scales. </w:t>
      </w:r>
      <w:r w:rsidRPr="004251D0">
        <w:rPr>
          <w:i/>
          <w:iCs/>
        </w:rPr>
        <w:t>Milvus Lite</w:t>
      </w:r>
      <w:r>
        <w:t xml:space="preserve"> operates as a Python library with a local database file, scaling to several million vectors on a </w:t>
      </w:r>
      <w:r w:rsidRPr="004251D0">
        <w:rPr>
          <w:i/>
          <w:iCs/>
        </w:rPr>
        <w:t>t</w:t>
      </w:r>
      <w:proofErr w:type="gramStart"/>
      <w:r w:rsidRPr="004251D0">
        <w:rPr>
          <w:i/>
          <w:iCs/>
        </w:rPr>
        <w:t>3.small</w:t>
      </w:r>
      <w:proofErr w:type="gramEnd"/>
      <w:r>
        <w:t xml:space="preserve"> instance</w:t>
      </w:r>
      <w:r w:rsidR="004251D0">
        <w:t xml:space="preserve">, </w:t>
      </w:r>
      <w:r>
        <w:t xml:space="preserve">suitable for prototyping and small user populations. </w:t>
      </w:r>
      <w:r w:rsidRPr="004251D0">
        <w:rPr>
          <w:i/>
          <w:iCs/>
        </w:rPr>
        <w:t>Milvus Standalone</w:t>
      </w:r>
      <w:r>
        <w:t xml:space="preserve"> runs as a containerized service on a </w:t>
      </w:r>
      <w:r w:rsidRPr="004251D0">
        <w:rPr>
          <w:i/>
          <w:iCs/>
        </w:rPr>
        <w:t>t</w:t>
      </w:r>
      <w:proofErr w:type="gramStart"/>
      <w:r w:rsidRPr="004251D0">
        <w:rPr>
          <w:i/>
          <w:iCs/>
        </w:rPr>
        <w:t>3.xlarge</w:t>
      </w:r>
      <w:proofErr w:type="gramEnd"/>
      <w:r>
        <w:t xml:space="preserve"> instance, scaling to 100 million vectors and supporting concurrent multi-user workloads appropriate for enterprise deployment.</w:t>
      </w:r>
    </w:p>
    <w:p w14:paraId="45CB6585" w14:textId="77777777" w:rsidR="00E33E41" w:rsidRDefault="00000000" w:rsidP="00E50205">
      <w:pPr>
        <w:pStyle w:val="Heading2"/>
      </w:pPr>
      <w:bookmarkStart w:id="33" w:name="document-ingestion-pipeline"/>
      <w:bookmarkEnd w:id="32"/>
      <w:r>
        <w:t>Document Ingestion Pipeline</w:t>
      </w:r>
    </w:p>
    <w:p w14:paraId="27028A8A" w14:textId="479B9B6A" w:rsidR="00E33E41" w:rsidRPr="004251D0" w:rsidRDefault="00000000" w:rsidP="00E50205">
      <w:pPr>
        <w:pStyle w:val="FirstParagraph"/>
        <w:rPr>
          <w:lang w:val="en-AU"/>
        </w:rPr>
      </w:pPr>
      <w:r>
        <w:t>The document ingestion pipeline converts unstructured T&amp;E artifacts into vector representations through a multi-stage process. Raw documents</w:t>
      </w:r>
      <w:r w:rsidR="004251D0">
        <w:t xml:space="preserve">, such as </w:t>
      </w:r>
      <w:r>
        <w:t>PDFs, technical data packages, handbooks, and specifications</w:t>
      </w:r>
      <w:r w:rsidR="004251D0">
        <w:t xml:space="preserve">, </w:t>
      </w:r>
      <w:r>
        <w:t xml:space="preserve">are first processed by </w:t>
      </w:r>
      <w:proofErr w:type="spellStart"/>
      <w:r w:rsidRPr="004251D0">
        <w:rPr>
          <w:i/>
          <w:iCs/>
        </w:rPr>
        <w:t>Docling</w:t>
      </w:r>
      <w:proofErr w:type="spellEnd"/>
      <w:r>
        <w:t xml:space="preserve">, an open-source library that employs </w:t>
      </w:r>
      <w:r w:rsidR="004251D0" w:rsidRPr="004251D0">
        <w:rPr>
          <w:lang w:val="en-AU"/>
        </w:rPr>
        <w:t>Optical Character Recognition</w:t>
      </w:r>
      <w:r w:rsidR="004251D0">
        <w:rPr>
          <w:lang w:val="en-AU"/>
        </w:rPr>
        <w:t xml:space="preserve"> (</w:t>
      </w:r>
      <w:r>
        <w:t>OCR</w:t>
      </w:r>
      <w:r w:rsidR="004251D0">
        <w:t>)</w:t>
      </w:r>
      <w:r>
        <w:t xml:space="preserve"> and vision-language models to convert unstructured documents into structured </w:t>
      </w:r>
      <w:r w:rsidRPr="004251D0">
        <w:rPr>
          <w:i/>
          <w:iCs/>
        </w:rPr>
        <w:t>Markdown</w:t>
      </w:r>
      <w:r>
        <w:t>. This conversion runs on GPU-accelerated EC2 instances (</w:t>
      </w:r>
      <w:r w:rsidRPr="004251D0">
        <w:rPr>
          <w:i/>
          <w:iCs/>
        </w:rPr>
        <w:t>g6.2xlarge</w:t>
      </w:r>
      <w:r>
        <w:t xml:space="preserve"> with NVIDIA L4 GPUs), reducing processing time from approximately two hours to twenty minutes for typical document batches. Converted </w:t>
      </w:r>
      <w:r w:rsidRPr="004251D0">
        <w:rPr>
          <w:i/>
          <w:iCs/>
        </w:rPr>
        <w:t>Markdown</w:t>
      </w:r>
      <w:r>
        <w:t xml:space="preserve"> files are staged in S3 buckets organized by project, with separate prefixes for unprocessed source documents and processed outputs.</w:t>
      </w:r>
    </w:p>
    <w:p w14:paraId="2789A734" w14:textId="77777777" w:rsidR="00E33E41" w:rsidRDefault="00000000" w:rsidP="00E50205">
      <w:pPr>
        <w:pStyle w:val="BodyText"/>
      </w:pPr>
      <w:r>
        <w:t xml:space="preserve">The </w:t>
      </w:r>
      <w:r w:rsidRPr="004251D0">
        <w:rPr>
          <w:i/>
          <w:iCs/>
        </w:rPr>
        <w:t>Haystack</w:t>
      </w:r>
      <w:r>
        <w:t xml:space="preserve"> embedding pipeline then ingests the </w:t>
      </w:r>
      <w:r w:rsidRPr="004251D0">
        <w:rPr>
          <w:i/>
          <w:iCs/>
        </w:rPr>
        <w:t>Markdown</w:t>
      </w:r>
      <w:r>
        <w:t xml:space="preserve"> files through four connected components: a </w:t>
      </w:r>
      <w:r w:rsidRPr="004251D0">
        <w:rPr>
          <w:i/>
          <w:iCs/>
        </w:rPr>
        <w:t>Markdown</w:t>
      </w:r>
      <w:r>
        <w:t xml:space="preserve">-to-document converter, a recursive document splitter that segments text at character boundaries into 5,000-character chunks, an Amazon </w:t>
      </w:r>
      <w:r w:rsidRPr="004251D0">
        <w:rPr>
          <w:i/>
          <w:iCs/>
        </w:rPr>
        <w:t>Bedrock</w:t>
      </w:r>
      <w:r>
        <w:t xml:space="preserve"> document embedder that generates dense vector representations using Amazon </w:t>
      </w:r>
      <w:r w:rsidRPr="004251D0">
        <w:rPr>
          <w:i/>
          <w:iCs/>
        </w:rPr>
        <w:t>Titan</w:t>
      </w:r>
      <w:r>
        <w:t xml:space="preserve">, and a document writer that stores the embedded chunks with metadata in </w:t>
      </w:r>
      <w:r w:rsidRPr="004251D0">
        <w:rPr>
          <w:i/>
          <w:iCs/>
        </w:rPr>
        <w:t>Milvus</w:t>
      </w:r>
      <w:r>
        <w:t xml:space="preserve">. This pipeline architecture enables complete corpus rebuilds from the S3-staged </w:t>
      </w:r>
      <w:r w:rsidRPr="004251D0">
        <w:rPr>
          <w:i/>
          <w:iCs/>
        </w:rPr>
        <w:t>Markdown</w:t>
      </w:r>
      <w:r>
        <w:t xml:space="preserve"> files, providing resilience against database corruption or migration requirements.</w:t>
      </w:r>
    </w:p>
    <w:p w14:paraId="66E02BE9" w14:textId="77777777" w:rsidR="00E33E41" w:rsidRDefault="00000000" w:rsidP="00E50205">
      <w:pPr>
        <w:pStyle w:val="Heading2"/>
      </w:pPr>
      <w:bookmarkStart w:id="34" w:name="rag-pipeline-and-prompt-engineering"/>
      <w:bookmarkEnd w:id="33"/>
      <w:r>
        <w:lastRenderedPageBreak/>
        <w:t>RAG Pipeline and Prompt Engineering</w:t>
      </w:r>
    </w:p>
    <w:p w14:paraId="4101886C" w14:textId="77777777" w:rsidR="00E33E41" w:rsidRDefault="00000000" w:rsidP="00E50205">
      <w:pPr>
        <w:pStyle w:val="FirstParagraph"/>
      </w:pPr>
      <w:r>
        <w:t xml:space="preserve">The query-time RAG pipeline chains four </w:t>
      </w:r>
      <w:r w:rsidRPr="004251D0">
        <w:rPr>
          <w:i/>
          <w:iCs/>
        </w:rPr>
        <w:t xml:space="preserve">Haystack </w:t>
      </w:r>
      <w:r>
        <w:t xml:space="preserve">components: a text embedder that encodes the user query using the same Amazon </w:t>
      </w:r>
      <w:r w:rsidRPr="004251D0">
        <w:rPr>
          <w:i/>
          <w:iCs/>
        </w:rPr>
        <w:t>Titan</w:t>
      </w:r>
      <w:r>
        <w:t xml:space="preserve"> model, an embedding retriever that performs approximate nearest-neighbor search against the </w:t>
      </w:r>
      <w:r w:rsidRPr="004251D0">
        <w:rPr>
          <w:i/>
          <w:iCs/>
        </w:rPr>
        <w:t>Milvus</w:t>
      </w:r>
      <w:r>
        <w:t xml:space="preserve"> collection returning the top-5 most relevant chunks, a chat prompt builder that assembles the system prompt, retrieved context, and user query into a structured message, and a chat generator that produces the response via Amazon </w:t>
      </w:r>
      <w:r w:rsidRPr="004251D0">
        <w:rPr>
          <w:i/>
          <w:iCs/>
        </w:rPr>
        <w:t>Bedrock Claude</w:t>
      </w:r>
      <w:r>
        <w:t>.</w:t>
      </w:r>
    </w:p>
    <w:p w14:paraId="72DB7DF5" w14:textId="1D90671B" w:rsidR="00E33E41" w:rsidRPr="00A84AB6" w:rsidRDefault="00000000" w:rsidP="00E50205">
      <w:pPr>
        <w:pStyle w:val="BodyText"/>
        <w:rPr>
          <w:lang w:val="en-AU"/>
        </w:rPr>
      </w:pPr>
      <w:r>
        <w:t xml:space="preserve">The prompt architecture employs a two-level design. The system prompt establishes the assistant’s role and domain scope. The user prompt template uses </w:t>
      </w:r>
      <w:r w:rsidR="00A84AB6" w:rsidRPr="00A84AB6">
        <w:rPr>
          <w:lang w:val="en-AU"/>
        </w:rPr>
        <w:t>Extensible Markup Language</w:t>
      </w:r>
      <w:r w:rsidR="00A84AB6">
        <w:rPr>
          <w:lang w:val="en-AU"/>
        </w:rPr>
        <w:t xml:space="preserve"> (</w:t>
      </w:r>
      <w:r>
        <w:t>XML</w:t>
      </w:r>
      <w:r w:rsidR="00A84AB6">
        <w:t>)</w:t>
      </w:r>
      <w:r>
        <w:t>-delimited sections to structure the retrieved documents, detailed behavioral instructions specifying citation requirements and response formatting, and the user’s query. This structured prompt design ensures that generated responses cite specific sources from the knowledge base, present information with appropriate technical depth, and acknowledge limitations when retrieved context is insufficient</w:t>
      </w:r>
      <w:r w:rsidR="00A84AB6">
        <w:t xml:space="preserve">, </w:t>
      </w:r>
      <w:r>
        <w:t xml:space="preserve">directly addressing the traceability and auditability requirements essential for </w:t>
      </w:r>
      <w:proofErr w:type="spellStart"/>
      <w:r>
        <w:t>DoW</w:t>
      </w:r>
      <w:proofErr w:type="spellEnd"/>
      <w:r>
        <w:t xml:space="preserve"> documentation standards.</w:t>
      </w:r>
    </w:p>
    <w:p w14:paraId="697C2154" w14:textId="77777777" w:rsidR="00E33E41" w:rsidRDefault="00000000" w:rsidP="00E50205">
      <w:pPr>
        <w:pStyle w:val="Heading2"/>
      </w:pPr>
      <w:bookmarkStart w:id="35" w:name="source-attribution-and-user-feedback"/>
      <w:bookmarkEnd w:id="34"/>
      <w:r>
        <w:t>Source Attribution and User Feedback</w:t>
      </w:r>
    </w:p>
    <w:p w14:paraId="5A178122" w14:textId="77777777" w:rsidR="00E33E41" w:rsidRDefault="00000000" w:rsidP="00E50205">
      <w:pPr>
        <w:pStyle w:val="FirstParagraph"/>
      </w:pPr>
      <w:r>
        <w:t xml:space="preserve">The application displays retrieved document file paths as references alongside each generated response, enabling users to verify AI-generated guidance against primary sources. This source attribution mechanism directly satisfies the </w:t>
      </w:r>
      <w:proofErr w:type="spellStart"/>
      <w:r>
        <w:t>DoW</w:t>
      </w:r>
      <w:proofErr w:type="spellEnd"/>
      <w:r>
        <w:t xml:space="preserve"> documentation traceability requirements discussed in the introduction. The system also implements a </w:t>
      </w:r>
      <w:proofErr w:type="gramStart"/>
      <w:r>
        <w:t>thumbs</w:t>
      </w:r>
      <w:proofErr w:type="gramEnd"/>
      <w:r>
        <w:t>-up/thumbs-down feedback mechanism that logs the user query, generated response, and feedback rating to a persistent file, providing data for continuous pipeline quality assessment and prompt engineering refinement.</w:t>
      </w:r>
    </w:p>
    <w:p w14:paraId="52C1EB96" w14:textId="77777777" w:rsidR="00E33E41" w:rsidRDefault="00000000" w:rsidP="00E50205">
      <w:pPr>
        <w:pStyle w:val="Heading2"/>
      </w:pPr>
      <w:bookmarkStart w:id="36" w:name="lessons-learned"/>
      <w:bookmarkEnd w:id="35"/>
      <w:r>
        <w:t>Lessons Learned</w:t>
      </w:r>
    </w:p>
    <w:p w14:paraId="7477CB75" w14:textId="0DC9AB33" w:rsidR="00E33E41" w:rsidRPr="00A84AB6" w:rsidRDefault="00000000" w:rsidP="00E50205">
      <w:pPr>
        <w:pStyle w:val="FirstParagraph"/>
        <w:rPr>
          <w:lang w:val="en-AU"/>
        </w:rPr>
      </w:pPr>
      <w:r>
        <w:t>Several practical lessons emerged from this deployment. First, GPU acceleration for document ingestion is not optional at scale</w:t>
      </w:r>
      <w:r w:rsidR="00A84AB6">
        <w:t xml:space="preserve">, where </w:t>
      </w:r>
      <w:r>
        <w:t xml:space="preserve">the order-of-magnitude speedup from CPU to GPU processing determines whether corpus updates can be completed within operationally acceptable windows. Second, the choice between </w:t>
      </w:r>
      <w:r w:rsidRPr="00A84AB6">
        <w:rPr>
          <w:i/>
          <w:iCs/>
        </w:rPr>
        <w:t>Milvus Lite</w:t>
      </w:r>
      <w:r>
        <w:t xml:space="preserve"> and </w:t>
      </w:r>
      <w:r w:rsidRPr="00A84AB6">
        <w:rPr>
          <w:i/>
          <w:iCs/>
        </w:rPr>
        <w:t>Standalone</w:t>
      </w:r>
      <w:r>
        <w:t xml:space="preserve"> should be driven by concurrent user count and corpus size rather than defaulting to the full deployment</w:t>
      </w:r>
      <w:r w:rsidR="00A84AB6">
        <w:t>, noting</w:t>
      </w:r>
      <w:r>
        <w:t xml:space="preserve"> </w:t>
      </w:r>
      <w:r w:rsidRPr="00A84AB6">
        <w:rPr>
          <w:i/>
          <w:iCs/>
        </w:rPr>
        <w:t>Milvus Lite</w:t>
      </w:r>
      <w:r>
        <w:t xml:space="preserve">’s simplicity reduces </w:t>
      </w:r>
      <w:r w:rsidR="00A84AB6">
        <w:t xml:space="preserve">the </w:t>
      </w:r>
      <w:r>
        <w:t xml:space="preserve">operational burden for smaller programs. Third, </w:t>
      </w:r>
      <w:r w:rsidR="00A84AB6">
        <w:t>I</w:t>
      </w:r>
      <w:proofErr w:type="spellStart"/>
      <w:r w:rsidR="00A84AB6" w:rsidRPr="00A84AB6">
        <w:rPr>
          <w:lang w:val="en-AU"/>
        </w:rPr>
        <w:t>dentity</w:t>
      </w:r>
      <w:proofErr w:type="spellEnd"/>
      <w:r w:rsidR="00A84AB6" w:rsidRPr="00A84AB6">
        <w:rPr>
          <w:lang w:val="en-AU"/>
        </w:rPr>
        <w:t xml:space="preserve"> and Access Management</w:t>
      </w:r>
      <w:r w:rsidR="00A84AB6">
        <w:rPr>
          <w:lang w:val="en-AU"/>
        </w:rPr>
        <w:t xml:space="preserve"> (</w:t>
      </w:r>
      <w:r>
        <w:t>IAM</w:t>
      </w:r>
      <w:r w:rsidR="00A84AB6">
        <w:t>)</w:t>
      </w:r>
      <w:r>
        <w:t xml:space="preserve"> credential management for </w:t>
      </w:r>
      <w:r w:rsidRPr="00A84AB6">
        <w:rPr>
          <w:i/>
          <w:iCs/>
        </w:rPr>
        <w:t>Bedrock</w:t>
      </w:r>
      <w:r>
        <w:t xml:space="preserve"> access requires careful attention in </w:t>
      </w:r>
      <w:r w:rsidRPr="00A84AB6">
        <w:rPr>
          <w:i/>
          <w:iCs/>
        </w:rPr>
        <w:t>GovCloud</w:t>
      </w:r>
      <w:r>
        <w:t xml:space="preserve"> environments where role-based implicit credentials may behave unreliably, necessitating explicit IAM user credentials with minimal </w:t>
      </w:r>
      <w:r w:rsidRPr="00A84AB6">
        <w:rPr>
          <w:i/>
          <w:iCs/>
        </w:rPr>
        <w:t>Bedrock</w:t>
      </w:r>
      <w:r>
        <w:t xml:space="preserve"> permissions. Fourth, </w:t>
      </w:r>
      <w:r w:rsidRPr="00A84AB6">
        <w:rPr>
          <w:i/>
          <w:iCs/>
        </w:rPr>
        <w:t>Nginx</w:t>
      </w:r>
      <w:r>
        <w:t xml:space="preserve"> reverse proxy configuration with proper TLS and security headers is essential even for internal deployments, as </w:t>
      </w:r>
      <w:r w:rsidRPr="00A84AB6">
        <w:rPr>
          <w:i/>
          <w:iCs/>
        </w:rPr>
        <w:t xml:space="preserve">GovCloud </w:t>
      </w:r>
      <w:r>
        <w:t xml:space="preserve">environments may block unencrypted traffic and non-standard ports. Finally, the </w:t>
      </w:r>
      <w:r w:rsidRPr="00A84AB6">
        <w:rPr>
          <w:i/>
          <w:iCs/>
        </w:rPr>
        <w:t>Haystack</w:t>
      </w:r>
      <w:r>
        <w:t xml:space="preserve"> framework’s modular component architecture proved valuable for iterative development, allowing individual pipeline stages to be modified or replaced </w:t>
      </w:r>
      <w:r>
        <w:lastRenderedPageBreak/>
        <w:t>without affecting the overall system</w:t>
      </w:r>
      <w:r w:rsidR="00A84AB6">
        <w:t xml:space="preserve">: </w:t>
      </w:r>
      <w:r>
        <w:t>a practical demonstration of the vendor independence principles advocated throughout this paper.</w:t>
      </w:r>
    </w:p>
    <w:p w14:paraId="32C52BE9" w14:textId="77777777" w:rsidR="00E33E41" w:rsidRDefault="00000000" w:rsidP="00E50205">
      <w:pPr>
        <w:pStyle w:val="Heading1"/>
      </w:pPr>
      <w:bookmarkStart w:id="37" w:name="Xf632db4b0fb5294cbc31867f0623ceede666986"/>
      <w:bookmarkEnd w:id="31"/>
      <w:bookmarkEnd w:id="36"/>
      <w:r>
        <w:t>Few-shot prompting transforms RAG into automated T&amp;E report generation</w:t>
      </w:r>
    </w:p>
    <w:p w14:paraId="51324C68" w14:textId="77777777" w:rsidR="00E33E41" w:rsidRDefault="00000000" w:rsidP="00E50205">
      <w:pPr>
        <w:pStyle w:val="Heading2"/>
      </w:pPr>
      <w:bookmarkStart w:id="38" w:name="from-qa-tool-to-report-generator"/>
      <w:r>
        <w:t>From QA Tool to Report Generator</w:t>
      </w:r>
    </w:p>
    <w:p w14:paraId="11AA058E" w14:textId="7E6A16DE" w:rsidR="00E33E41" w:rsidRDefault="00A84AB6" w:rsidP="00E50205">
      <w:pPr>
        <w:pStyle w:val="FirstParagraph"/>
      </w:pPr>
      <w:r>
        <w:t>The difference between a baseline RAG system that answers questions and a few-shot-prompted RAG system that produces structured, formatted deliverables is entirely in the prompt engineering layer, where the retrieval and generation architecture is unchanged. This conceptual shift has profound implications for T&amp;E analyst workload and deliverable cycle time.</w:t>
      </w:r>
    </w:p>
    <w:p w14:paraId="42A3CEE9" w14:textId="77777777" w:rsidR="00E33E41" w:rsidRDefault="00000000" w:rsidP="00E50205">
      <w:pPr>
        <w:pStyle w:val="Heading2"/>
      </w:pPr>
      <w:bookmarkStart w:id="39" w:name="X95b39322a0c22cfca963abab0d851979b2a00b1"/>
      <w:bookmarkEnd w:id="38"/>
      <w:r>
        <w:t>Few-Shot Prompting: Mechanism and Efficacy</w:t>
      </w:r>
    </w:p>
    <w:p w14:paraId="21458E92" w14:textId="07509900" w:rsidR="00E33E41" w:rsidRDefault="00000000" w:rsidP="00E50205">
      <w:pPr>
        <w:pStyle w:val="FirstParagraph"/>
      </w:pPr>
      <w:r>
        <w:t xml:space="preserve">Few-shot prompting provides 3–8 input/output demonstration pairs in the system or user prompt, conditioning the LLM to produce outputs that match the demonstrated format, style, and structure (Brown et al. 2020; </w:t>
      </w:r>
      <w:r w:rsidRPr="00A84AB6">
        <w:rPr>
          <w:i/>
          <w:iCs/>
        </w:rPr>
        <w:t>Promptingguide.ai</w:t>
      </w:r>
      <w:r>
        <w:t xml:space="preserve"> 2024b). LLMs at sufficient scale exhibit emergent in-context learning</w:t>
      </w:r>
      <w:r w:rsidR="00A84AB6">
        <w:t xml:space="preserve">; that is, </w:t>
      </w:r>
      <w:r>
        <w:t>the ability to infer a task from examples without gradient updates (</w:t>
      </w:r>
      <w:proofErr w:type="spellStart"/>
      <w:r>
        <w:t>Touvron</w:t>
      </w:r>
      <w:proofErr w:type="spellEnd"/>
      <w:r>
        <w:t xml:space="preserve"> et al. 2023). Few-shot prompts paired with RAG context show substantially higher accuracy than zero-shot RAG on structured output tasks</w:t>
      </w:r>
      <w:r w:rsidR="00A84AB6">
        <w:t>. For example,</w:t>
      </w:r>
      <w:r>
        <w:t xml:space="preserve"> medical phenotyping studies demonstrate positive predictive value improvements of 15–25 percentage points from zero-shot to few-shot configurations (Park et al. 2025). The synergy is clear: retrieved context provides factual grounding while few-shot examples specify format and reasoning style</w:t>
      </w:r>
      <w:r w:rsidR="00A84AB6">
        <w:t>;</w:t>
      </w:r>
      <w:r>
        <w:t xml:space="preserve"> together producing outputs that are both factually correct and structurally compliant with T&amp;E report templates.</w:t>
      </w:r>
    </w:p>
    <w:p w14:paraId="047B4D49" w14:textId="77777777" w:rsidR="00E33E41" w:rsidRDefault="00000000" w:rsidP="00E50205">
      <w:pPr>
        <w:pStyle w:val="Heading2"/>
      </w:pPr>
      <w:bookmarkStart w:id="40" w:name="designing-te-specific-few-shot-prompts"/>
      <w:bookmarkEnd w:id="39"/>
      <w:r>
        <w:t>Designing T&amp;E-Specific Few-Shot Prompts</w:t>
      </w:r>
    </w:p>
    <w:p w14:paraId="09509F9F" w14:textId="3108CAEC" w:rsidR="00E33E41" w:rsidRPr="006845A5" w:rsidRDefault="00000000" w:rsidP="00E50205">
      <w:pPr>
        <w:pStyle w:val="FirstParagraph"/>
        <w:rPr>
          <w:lang w:val="en-AU"/>
        </w:rPr>
      </w:pPr>
      <w:r>
        <w:t>Example selection must prioritize representativeness, spanning multiple system types, test phases (DT, OT, LFT&amp;E), and outcome categories. Format fidelity requires examples to exactly replicate the target report schema</w:t>
      </w:r>
      <w:r w:rsidR="00A84AB6">
        <w:t xml:space="preserve">, such as </w:t>
      </w:r>
      <w:r>
        <w:t xml:space="preserve">section headers, table formats, finding codes, and citation style. A minimal sufficient set of 3–5 high-quality examples typically </w:t>
      </w:r>
      <w:proofErr w:type="gramStart"/>
      <w:r w:rsidR="00A84AB6">
        <w:t>outperforms</w:t>
      </w:r>
      <w:proofErr w:type="gramEnd"/>
      <w:r>
        <w:t xml:space="preserve"> 10+ lower-quality examples (Saad-Falcon et al. 2024</w:t>
      </w:r>
      <w:r w:rsidR="006845A5">
        <w:t xml:space="preserve">; </w:t>
      </w:r>
      <w:r w:rsidR="006845A5" w:rsidRPr="006845A5">
        <w:rPr>
          <w:lang w:val="en-AU"/>
        </w:rPr>
        <w:t>Liu et al.</w:t>
      </w:r>
      <w:r w:rsidR="006845A5">
        <w:rPr>
          <w:lang w:val="en-AU"/>
        </w:rPr>
        <w:t>,</w:t>
      </w:r>
      <w:r w:rsidR="006845A5" w:rsidRPr="006845A5">
        <w:rPr>
          <w:lang w:val="en-AU"/>
        </w:rPr>
        <w:t xml:space="preserve"> 2021</w:t>
      </w:r>
      <w:r>
        <w:t>). All few-shot examples must be at or below the operational classification level.</w:t>
      </w:r>
    </w:p>
    <w:p w14:paraId="5167B588" w14:textId="77777777" w:rsidR="00A84AB6" w:rsidRDefault="00000000" w:rsidP="00E50205">
      <w:pPr>
        <w:pStyle w:val="BodyText"/>
      </w:pPr>
      <w:r>
        <w:t xml:space="preserve">The prompt architecture for report generation comprises four components: </w:t>
      </w:r>
    </w:p>
    <w:p w14:paraId="2B8CA17D" w14:textId="77777777" w:rsidR="00A84AB6" w:rsidRDefault="00000000" w:rsidP="00A84AB6">
      <w:pPr>
        <w:pStyle w:val="BodyText"/>
        <w:numPr>
          <w:ilvl w:val="0"/>
          <w:numId w:val="6"/>
        </w:numPr>
      </w:pPr>
      <w:r>
        <w:t>a system prompt defining role, output constraints, and chain-of-thought instruction;</w:t>
      </w:r>
    </w:p>
    <w:p w14:paraId="744A58FE" w14:textId="77777777" w:rsidR="00A84AB6" w:rsidRDefault="00000000" w:rsidP="00A84AB6">
      <w:pPr>
        <w:pStyle w:val="BodyText"/>
        <w:numPr>
          <w:ilvl w:val="0"/>
          <w:numId w:val="6"/>
        </w:numPr>
      </w:pPr>
      <w:r>
        <w:t xml:space="preserve">a few-shot block of 3–5 complete example </w:t>
      </w:r>
      <w:proofErr w:type="gramStart"/>
      <w:r>
        <w:t>report</w:t>
      </w:r>
      <w:proofErr w:type="gramEnd"/>
      <w:r>
        <w:t xml:space="preserve"> sections with annotated retrieved context; </w:t>
      </w:r>
    </w:p>
    <w:p w14:paraId="6A5A6261" w14:textId="77777777" w:rsidR="00A84AB6" w:rsidRDefault="00000000" w:rsidP="00A84AB6">
      <w:pPr>
        <w:pStyle w:val="BodyText"/>
        <w:numPr>
          <w:ilvl w:val="0"/>
          <w:numId w:val="6"/>
        </w:numPr>
      </w:pPr>
      <w:r>
        <w:t xml:space="preserve">a query block containing the analyst’s request; and </w:t>
      </w:r>
    </w:p>
    <w:p w14:paraId="75084FC7" w14:textId="63450840" w:rsidR="00E33E41" w:rsidRDefault="00000000" w:rsidP="00A84AB6">
      <w:pPr>
        <w:pStyle w:val="BodyText"/>
        <w:numPr>
          <w:ilvl w:val="0"/>
          <w:numId w:val="6"/>
        </w:numPr>
      </w:pPr>
      <w:r>
        <w:lastRenderedPageBreak/>
        <w:t>the context window of top-</w:t>
      </w:r>
      <m:oMath>
        <m:r>
          <w:rPr>
            <w:rFonts w:ascii="Cambria Math" w:hAnsi="Cambria Math"/>
          </w:rPr>
          <m:t>k</m:t>
        </m:r>
      </m:oMath>
      <w:r>
        <w:t xml:space="preserve"> retrieved chunks from the T&amp;E knowledge base.</w:t>
      </w:r>
    </w:p>
    <w:p w14:paraId="5AE98E43" w14:textId="77777777" w:rsidR="00E33E41" w:rsidRDefault="00000000" w:rsidP="00E50205">
      <w:pPr>
        <w:pStyle w:val="Heading2"/>
      </w:pPr>
      <w:bookmarkStart w:id="41" w:name="X1e4923f93be8f6fdd0225baecb95bb2b42a5e90"/>
      <w:bookmarkEnd w:id="40"/>
      <w:r>
        <w:t>T&amp;E Report Types Amenable to Automated Generation</w:t>
      </w:r>
    </w:p>
    <w:p w14:paraId="4D037BAD" w14:textId="5E26775E" w:rsidR="00E33E41" w:rsidRDefault="00000000" w:rsidP="00E50205">
      <w:pPr>
        <w:pStyle w:val="FirstParagraph"/>
      </w:pPr>
      <w:r>
        <w:t>Test and Evaluation Master Plan sections</w:t>
      </w:r>
      <w:r w:rsidR="00A84AB6">
        <w:t xml:space="preserve"> with </w:t>
      </w:r>
      <w:r>
        <w:t xml:space="preserve">background, test objectives, </w:t>
      </w:r>
      <w:r w:rsidR="00A84AB6">
        <w:t xml:space="preserve">and </w:t>
      </w:r>
      <w:r>
        <w:t>resource requirements</w:t>
      </w:r>
      <w:r w:rsidR="00A84AB6">
        <w:t xml:space="preserve"> </w:t>
      </w:r>
      <w:r>
        <w:t>are templated sections populated from program documents. Test Execution Reports and Test Incident Reports contain structured findings with condition, deviation, severity, and corrective action fields</w:t>
      </w:r>
      <w:r w:rsidR="001E167C">
        <w:t>,</w:t>
      </w:r>
      <w:r>
        <w:t xml:space="preserve"> ideal for few-shot templating. Interim Fielding Assessments synthesize operational effectiveness and suitability data from multiple test events, leveraging RAG’s multi-document synthesis capability. Deficiency Reports and Failure Reporting, Analysis, and Corrective Action System (FRACAS) entries follow condition/cause/corrective action structures amenable to RAG retrieval from previous deficiency databases. Metrics dashboards</w:t>
      </w:r>
      <w:r w:rsidR="001E167C">
        <w:t>,</w:t>
      </w:r>
      <w:r>
        <w:t xml:space="preserve"> including Measure of Performance and Measure of Effectiveness tables</w:t>
      </w:r>
      <w:r w:rsidR="001E167C">
        <w:t>,</w:t>
      </w:r>
      <w:r>
        <w:t xml:space="preserve"> can be generated from raw test data through few-shot prompting.</w:t>
      </w:r>
    </w:p>
    <w:p w14:paraId="19AC85CD" w14:textId="77777777" w:rsidR="00E33E41" w:rsidRDefault="00000000" w:rsidP="00E50205">
      <w:pPr>
        <w:pStyle w:val="Heading2"/>
      </w:pPr>
      <w:bookmarkStart w:id="42" w:name="X3f074f889ddaed3472245115ffc146b8669aaf5"/>
      <w:bookmarkEnd w:id="41"/>
      <w:r>
        <w:t>Analyst Workload Reduction and Cycle Time Acceleration</w:t>
      </w:r>
    </w:p>
    <w:p w14:paraId="0A95B6CF" w14:textId="22558A0F" w:rsidR="00E33E41" w:rsidRPr="006845A5" w:rsidRDefault="00000000" w:rsidP="00E50205">
      <w:pPr>
        <w:pStyle w:val="FirstParagraph"/>
        <w:rPr>
          <w:lang w:val="en-AU"/>
        </w:rPr>
      </w:pPr>
      <w:r>
        <w:t xml:space="preserve">The rapid adoption of </w:t>
      </w:r>
      <w:proofErr w:type="spellStart"/>
      <w:r>
        <w:t>DoW</w:t>
      </w:r>
      <w:proofErr w:type="spellEnd"/>
      <w:r>
        <w:t xml:space="preserve"> generative AI platforms by over 100,000 users for drafting, summarizing, and code generation validates broad demand (GDIT 2024; Van Roo 2025). Ask Sage reports 95% savings on ATO documentation generation, with CDAO Combatant Command teams using it for RFPs and acquisition strategy documents (Ask Sage 2025a). RAG-powered report generation in legal and regulatory domains reduces </w:t>
      </w:r>
      <w:r w:rsidR="001E167C">
        <w:t xml:space="preserve">the </w:t>
      </w:r>
      <w:r>
        <w:t>initial draft time</w:t>
      </w:r>
      <w:r w:rsidR="001E167C">
        <w:t>s</w:t>
      </w:r>
      <w:r>
        <w:t xml:space="preserve"> by 60–80%</w:t>
      </w:r>
      <w:r w:rsidR="0028070B">
        <w:t xml:space="preserve"> </w:t>
      </w:r>
      <w:r w:rsidR="0028070B" w:rsidRPr="00277653">
        <w:t>(</w:t>
      </w:r>
      <w:r w:rsidR="00277653" w:rsidRPr="00277653">
        <w:rPr>
          <w:lang w:val="en-AU"/>
        </w:rPr>
        <w:t>Noy</w:t>
      </w:r>
      <w:r w:rsidR="00277653">
        <w:rPr>
          <w:lang w:val="en-AU"/>
        </w:rPr>
        <w:t xml:space="preserve"> </w:t>
      </w:r>
      <w:r w:rsidR="00277653" w:rsidRPr="00277653">
        <w:rPr>
          <w:lang w:val="en-AU"/>
        </w:rPr>
        <w:t>&amp; Zhang</w:t>
      </w:r>
      <w:r w:rsidR="00277653">
        <w:rPr>
          <w:lang w:val="en-AU"/>
        </w:rPr>
        <w:t>,</w:t>
      </w:r>
      <w:r w:rsidR="00277653" w:rsidRPr="00277653">
        <w:rPr>
          <w:lang w:val="en-AU"/>
        </w:rPr>
        <w:t xml:space="preserve"> 2023</w:t>
      </w:r>
      <w:r w:rsidR="006845A5">
        <w:rPr>
          <w:lang w:val="en-AU"/>
        </w:rPr>
        <w:t xml:space="preserve">; </w:t>
      </w:r>
      <w:r w:rsidR="006845A5" w:rsidRPr="006845A5">
        <w:rPr>
          <w:lang w:val="en-AU"/>
        </w:rPr>
        <w:t>Brynjolfsson et al.</w:t>
      </w:r>
      <w:r w:rsidR="006845A5">
        <w:rPr>
          <w:lang w:val="en-AU"/>
        </w:rPr>
        <w:t>,</w:t>
      </w:r>
      <w:r w:rsidR="006845A5" w:rsidRPr="006845A5">
        <w:rPr>
          <w:lang w:val="en-AU"/>
        </w:rPr>
        <w:t xml:space="preserve"> 2023</w:t>
      </w:r>
      <w:r w:rsidR="0028070B" w:rsidRPr="00277653">
        <w:t>)</w:t>
      </w:r>
      <w:r w:rsidRPr="00277653">
        <w:t>;</w:t>
      </w:r>
      <w:r>
        <w:t xml:space="preserve"> comparable reductions are expected for T&amp;E given similar document complexity. Automated first-pass drafts enforce completeness, consistency, and citation coverage</w:t>
      </w:r>
      <w:r w:rsidR="001E167C">
        <w:t xml:space="preserve">, likely avoiding </w:t>
      </w:r>
      <w:r>
        <w:t>errors of omission that commonly delay T&amp;E reports. Practitioner accounts of enterprise-scale RAG deployments report that the dominant performance lever is often the structure and authoring conventions of the knowledge base itself rather than retrieval or model tuning, and that a “human-in-the-lead” evaluation loop is required for novel user questions (</w:t>
      </w:r>
      <w:proofErr w:type="spellStart"/>
      <w:r>
        <w:t>Packowski</w:t>
      </w:r>
      <w:proofErr w:type="spellEnd"/>
      <w:r>
        <w:t xml:space="preserve"> et al. 2024)</w:t>
      </w:r>
      <w:r w:rsidR="001E167C">
        <w:t>. This f</w:t>
      </w:r>
      <w:r>
        <w:t xml:space="preserve">inding </w:t>
      </w:r>
      <w:r w:rsidR="001E167C">
        <w:t xml:space="preserve">is </w:t>
      </w:r>
      <w:r>
        <w:t>directly applicable to T&amp;E knowledge bases authored under documentation standards. The analyst role shifts from document drafter to document reviewer, focusing attention on technical accuracy, edge cases, and judgment calls rather than boilerplate generation.</w:t>
      </w:r>
    </w:p>
    <w:p w14:paraId="2C92D28E" w14:textId="77777777" w:rsidR="00E33E41" w:rsidRDefault="00000000" w:rsidP="00E50205">
      <w:pPr>
        <w:pStyle w:val="Heading2"/>
      </w:pPr>
      <w:bookmarkStart w:id="43" w:name="X5a4e5958d7f563e6d278af76ed222674256b5ed"/>
      <w:bookmarkEnd w:id="42"/>
      <w:r>
        <w:t>Evaluation Framework for RAG-Powered T&amp;E Report Quality</w:t>
      </w:r>
    </w:p>
    <w:p w14:paraId="17A463A3" w14:textId="7640B0C5" w:rsidR="00E33E41" w:rsidRPr="001E167C" w:rsidRDefault="00000000" w:rsidP="00E50205">
      <w:pPr>
        <w:pStyle w:val="FirstParagraph"/>
        <w:rPr>
          <w:lang w:val="en-AU"/>
        </w:rPr>
      </w:pPr>
      <w:r>
        <w:t>RAG</w:t>
      </w:r>
      <w:r w:rsidR="001E167C">
        <w:t xml:space="preserve"> assessment</w:t>
      </w:r>
      <w:r>
        <w:t xml:space="preserve"> metrics</w:t>
      </w:r>
      <w:r w:rsidR="001E167C">
        <w:t xml:space="preserve">, such as </w:t>
      </w:r>
      <w:r>
        <w:t>faithfulness, context relevance, and answer relevance</w:t>
      </w:r>
      <w:r w:rsidR="001E167C">
        <w:t xml:space="preserve">, all </w:t>
      </w:r>
      <w:r>
        <w:t>provide automated pipeline quality scoring before analyst review (</w:t>
      </w:r>
      <w:r w:rsidRPr="001E167C">
        <w:rPr>
          <w:i/>
          <w:iCs/>
        </w:rPr>
        <w:t>Promptingguide.ai</w:t>
      </w:r>
      <w:r>
        <w:t xml:space="preserve"> 2024a). </w:t>
      </w:r>
      <w:r w:rsidR="001E167C">
        <w:t xml:space="preserve">In particular, the </w:t>
      </w:r>
      <w:r w:rsidR="001E167C" w:rsidRPr="001E167C">
        <w:rPr>
          <w:lang w:val="en-AU"/>
        </w:rPr>
        <w:t>Automated RAG Evaluation System</w:t>
      </w:r>
      <w:r w:rsidR="001E167C">
        <w:rPr>
          <w:lang w:val="en-AU"/>
        </w:rPr>
        <w:t xml:space="preserve"> (</w:t>
      </w:r>
      <w:r>
        <w:t>ARES</w:t>
      </w:r>
      <w:r w:rsidR="001E167C">
        <w:t>)</w:t>
      </w:r>
      <w:r>
        <w:t xml:space="preserve"> framework uses few-shot-seeded LLM judges to evaluate context relevance, answer faithfulness, and answer relevance, validated against human preference annotations (Saad-Falcon et al. 2024). T&amp;E-specific metrics include citation coverage rate, format compliance rate, and deficiency detection rate compared to ground-truth test records. Red-team evaluation of </w:t>
      </w:r>
      <w:r>
        <w:lastRenderedPageBreak/>
        <w:t>prompt injection, knowledge base poisoning, and hallucination under missing-data conditions must precede operational deployment.</w:t>
      </w:r>
    </w:p>
    <w:p w14:paraId="188F13B9" w14:textId="77777777" w:rsidR="00E33E41" w:rsidRDefault="00000000" w:rsidP="00E50205">
      <w:pPr>
        <w:pStyle w:val="Heading2"/>
      </w:pPr>
      <w:bookmarkStart w:id="44" w:name="integration-with-cdao-te-frameworks"/>
      <w:bookmarkEnd w:id="43"/>
      <w:r>
        <w:t>Integration with CDAO T&amp;E Frameworks</w:t>
      </w:r>
    </w:p>
    <w:p w14:paraId="43F459D4" w14:textId="53C55A0C" w:rsidR="00E33E41" w:rsidRDefault="00000000" w:rsidP="00E50205">
      <w:pPr>
        <w:pStyle w:val="FirstParagraph"/>
      </w:pPr>
      <w:r>
        <w:t>The CDAO T&amp;E of AI Models Framework identifies six evaluation areas</w:t>
      </w:r>
      <w:r w:rsidR="001E167C">
        <w:t xml:space="preserve">: </w:t>
      </w:r>
      <w:r>
        <w:t>Performance, Testing Methods, Data, AI Models, Context, and Documentation</w:t>
      </w:r>
      <w:r w:rsidR="001E167C">
        <w:t xml:space="preserve">; </w:t>
      </w:r>
      <w:r>
        <w:t>all applicable to evaluating RAG-based report generation systems (Domino Data Lab 2025). Operational T&amp;E of AI-Enabled Capabilities requires operational realism in evaluation, mandating testing with operationally representative document corpora and realistic analyst queries. The DT&amp;E Guidebook imposes regression testing requirements for ML systems, requiring RAG pipeline regression testing on fixed evaluation sets at each software update (OSD DTE&amp;A 2025). CDAO’s Test, Evaluation, Validation, and Verification (TEVV) framework requires integrated lifecycle evidence for ATO (National Academies of Sciences 2023).</w:t>
      </w:r>
    </w:p>
    <w:p w14:paraId="1026E7A5" w14:textId="77777777" w:rsidR="00E33E41" w:rsidRDefault="00000000" w:rsidP="00E50205">
      <w:pPr>
        <w:pStyle w:val="Heading1"/>
      </w:pPr>
      <w:bookmarkStart w:id="45" w:name="conclusion-and-research-agenda"/>
      <w:bookmarkEnd w:id="37"/>
      <w:bookmarkEnd w:id="44"/>
      <w:r>
        <w:t>Conclusion and research agenda</w:t>
      </w:r>
    </w:p>
    <w:p w14:paraId="3F915F50" w14:textId="0DDC1299" w:rsidR="00E33E41" w:rsidRDefault="00000000" w:rsidP="00E50205">
      <w:pPr>
        <w:pStyle w:val="FirstParagraph"/>
      </w:pPr>
      <w:r>
        <w:t xml:space="preserve">RAG represents the highest-value, lowest-risk AI capability available to </w:t>
      </w:r>
      <w:proofErr w:type="spellStart"/>
      <w:r>
        <w:t>DoW</w:t>
      </w:r>
      <w:proofErr w:type="spellEnd"/>
      <w:r>
        <w:t xml:space="preserve"> T&amp;E programs today. It does not require retraining, does not demand classified training data to be exported to a vendor, and can be deployed incrementally</w:t>
      </w:r>
      <w:r w:rsidR="001E167C">
        <w:t xml:space="preserve">, </w:t>
      </w:r>
      <w:r>
        <w:t xml:space="preserve">beginning with unclassified document corpora on NIPRNet before scaling to CUI and SECRET levels. The combination of </w:t>
      </w:r>
      <w:r w:rsidR="001E167C">
        <w:t>‘</w:t>
      </w:r>
      <w:r>
        <w:t>RAG with few-shot prompting</w:t>
      </w:r>
      <w:r w:rsidR="001E167C">
        <w:t>’</w:t>
      </w:r>
      <w:r>
        <w:t xml:space="preserve"> creates an automated T&amp;E report generation capability that is achievable within </w:t>
      </w:r>
      <w:r w:rsidR="001E167C">
        <w:t xml:space="preserve">the </w:t>
      </w:r>
      <w:r>
        <w:t xml:space="preserve">current </w:t>
      </w:r>
      <w:proofErr w:type="spellStart"/>
      <w:r>
        <w:t>DoW</w:t>
      </w:r>
      <w:proofErr w:type="spellEnd"/>
      <w:r>
        <w:t xml:space="preserve"> cloud infrastructure, security frameworks, and AI governance policies.</w:t>
      </w:r>
    </w:p>
    <w:p w14:paraId="470246A5" w14:textId="77777777" w:rsidR="00E33E41" w:rsidRDefault="00000000" w:rsidP="00E50205">
      <w:pPr>
        <w:pStyle w:val="Heading2"/>
      </w:pPr>
      <w:bookmarkStart w:id="46" w:name="key-research-gaps"/>
      <w:r>
        <w:t>Key Research Gaps</w:t>
      </w:r>
    </w:p>
    <w:p w14:paraId="3D5D05D4" w14:textId="6C2E0ED9" w:rsidR="00E33E41" w:rsidRDefault="00000000" w:rsidP="00E50205">
      <w:pPr>
        <w:pStyle w:val="FirstParagraph"/>
      </w:pPr>
      <w:r>
        <w:t>No published benchmark compares embedding models on T&amp;E-specific corpora</w:t>
      </w:r>
      <w:r w:rsidR="001E167C">
        <w:t>,</w:t>
      </w:r>
      <w:r>
        <w:t xml:space="preserve"> including </w:t>
      </w:r>
      <w:r w:rsidR="001E167C">
        <w:t>standards</w:t>
      </w:r>
      <w:r>
        <w:t>, test procedures, and DT&amp;E reports. Formal verification methods for RAG access-control enforcement at inference time remain immature, and adversarial classification-bypass testing is needed. Empirical studies on how T&amp;E analysts develop appropriate reliance on RAG-generated outputs are lacking; both over-reliance and under-reliance degrade mission outcomes. CDAO frameworks provide high-level TEVV guidance, but specific quantitative pass/fail criteria for RAG system readiness reviews are not yet standardized.</w:t>
      </w:r>
    </w:p>
    <w:p w14:paraId="34B56058" w14:textId="77777777" w:rsidR="00E33E41" w:rsidRDefault="00000000" w:rsidP="00E50205">
      <w:pPr>
        <w:pStyle w:val="Heading2"/>
      </w:pPr>
      <w:bookmarkStart w:id="47" w:name="recommended-next-steps"/>
      <w:bookmarkEnd w:id="46"/>
      <w:r>
        <w:t>Recommended Next Steps</w:t>
      </w:r>
    </w:p>
    <w:p w14:paraId="2D3DF101" w14:textId="2CC1362B" w:rsidR="00E33E41" w:rsidRPr="00A6768F" w:rsidRDefault="00000000" w:rsidP="00E50205">
      <w:pPr>
        <w:pStyle w:val="FirstParagraph"/>
        <w:rPr>
          <w:lang w:val="en-AU"/>
        </w:rPr>
      </w:pPr>
      <w:r>
        <w:t>A pilot deployment should stand up a NIPRNet IL4 RAG knowledge base against an unclassified T&amp;E document corpus, instrumented with RAG</w:t>
      </w:r>
      <w:r w:rsidR="00A6768F">
        <w:t xml:space="preserve"> assessment</w:t>
      </w:r>
      <w:r>
        <w:t xml:space="preserve"> metrics, and run a 90-day analyst evaluation consistent with </w:t>
      </w:r>
      <w:r w:rsidR="00A6768F" w:rsidRPr="00A6768F">
        <w:rPr>
          <w:lang w:val="en-AU"/>
        </w:rPr>
        <w:t>Chief Data and Artificial Intelligence Officer Artificial Intelligence Responsible Capability Council</w:t>
      </w:r>
      <w:r w:rsidR="00A6768F">
        <w:rPr>
          <w:lang w:val="en-AU"/>
        </w:rPr>
        <w:t xml:space="preserve"> (</w:t>
      </w:r>
      <w:r>
        <w:t>CDAO AI RCC</w:t>
      </w:r>
      <w:r w:rsidR="00A6768F">
        <w:t>)</w:t>
      </w:r>
      <w:r>
        <w:t xml:space="preserve"> sprint methodology. A security architecture review should engage CDAO and DISA to establish classification-aware RAG data flows in advance of an IL5/IL6 ATO package. A few-shot template library should be developed and validated for the five highest-frequency T&amp;E deliverable types, </w:t>
      </w:r>
      <w:r>
        <w:lastRenderedPageBreak/>
        <w:t>version-controlled in a prompt management system. A dedicated red-team exercise should evaluate the RAG pipeline for prompt injection, poisoning, and exfiltration vulnerabilities before any operational deployment.</w:t>
      </w:r>
    </w:p>
    <w:p w14:paraId="3C536F75" w14:textId="77777777" w:rsidR="00E33E41" w:rsidRDefault="00000000" w:rsidP="00E50205">
      <w:pPr>
        <w:pStyle w:val="Heading1"/>
      </w:pPr>
      <w:bookmarkStart w:id="48" w:name="acknowledgments"/>
      <w:bookmarkEnd w:id="45"/>
      <w:bookmarkEnd w:id="47"/>
      <w:r>
        <w:t>Acknowledgments</w:t>
      </w:r>
    </w:p>
    <w:p w14:paraId="67E7A8E7" w14:textId="53B2931B" w:rsidR="00E33E41" w:rsidRPr="00824F91" w:rsidRDefault="00000000" w:rsidP="00E50205">
      <w:pPr>
        <w:pStyle w:val="FirstParagraph"/>
        <w:rPr>
          <w:lang w:val="en-AU"/>
        </w:rPr>
      </w:pPr>
      <w:r>
        <w:t xml:space="preserve">The authors are deeply grateful for the visionary spirit at </w:t>
      </w:r>
      <w:r w:rsidR="00824F91" w:rsidRPr="00824F91">
        <w:rPr>
          <w:lang w:val="en-AU"/>
        </w:rPr>
        <w:t xml:space="preserve">Naval Surface Warfare </w:t>
      </w:r>
      <w:proofErr w:type="spellStart"/>
      <w:r w:rsidR="00824F91" w:rsidRPr="00824F91">
        <w:rPr>
          <w:lang w:val="en-AU"/>
        </w:rPr>
        <w:t>Center</w:t>
      </w:r>
      <w:proofErr w:type="spellEnd"/>
      <w:r w:rsidR="00824F91" w:rsidRPr="00824F91">
        <w:rPr>
          <w:lang w:val="en-AU"/>
        </w:rPr>
        <w:t>, Port Hueneme Division</w:t>
      </w:r>
      <w:r w:rsidR="00824F91">
        <w:rPr>
          <w:lang w:val="en-AU"/>
        </w:rPr>
        <w:t xml:space="preserve"> (</w:t>
      </w:r>
      <w:r>
        <w:t>NSWC PHD</w:t>
      </w:r>
      <w:r w:rsidR="00824F91">
        <w:t>)</w:t>
      </w:r>
      <w:r>
        <w:t>, where, under the auspices of the CTO, Alan Jaeger, and in collaboration with William Emeny, we were able to test many of the ideas presented in this paper. We also thank the Navy warfare center engineering staff who collaborated on the corrosion-engineering RAG deployment that grounds the case study presented here, and our colleagues at GBL Systems who contributed to the architecture, security, and ingestion pipeline work. We are grateful to the ITEA Journal editorial team and the anonymous reviewers whose feedback materially improved this paper.</w:t>
      </w:r>
    </w:p>
    <w:p w14:paraId="1FB94724" w14:textId="233B5301" w:rsidR="00A85B44" w:rsidRPr="00A85B44" w:rsidRDefault="00A85B44" w:rsidP="00A84AB6">
      <w:pPr>
        <w:pStyle w:val="Heading1"/>
      </w:pPr>
      <w:r>
        <w:t>References</w:t>
      </w:r>
    </w:p>
    <w:p w14:paraId="3F60EACC" w14:textId="040FB5E0" w:rsidR="00A85B44" w:rsidRDefault="00A85B44" w:rsidP="00A85B44">
      <w:pPr>
        <w:pStyle w:val="Bibliography"/>
      </w:pPr>
      <w:bookmarkStart w:id="49" w:name="ref-aws2025"/>
      <w:bookmarkStart w:id="50" w:name="refs"/>
      <w:proofErr w:type="spellStart"/>
      <w:r w:rsidRPr="00A85B44">
        <w:rPr>
          <w:lang w:val="en-AU"/>
        </w:rPr>
        <w:t>Anisuzzaman</w:t>
      </w:r>
      <w:proofErr w:type="spellEnd"/>
      <w:r w:rsidRPr="00A85B44">
        <w:rPr>
          <w:lang w:val="en-AU"/>
        </w:rPr>
        <w:t>, D. M., Jeffrey G. Malins, Paul A. Friedman, and Zachi I. Attia. 2024.</w:t>
      </w:r>
      <w:r>
        <w:rPr>
          <w:lang w:val="en-AU"/>
        </w:rPr>
        <w:t xml:space="preserve"> </w:t>
      </w:r>
      <w:r w:rsidRPr="00A85B44">
        <w:rPr>
          <w:lang w:val="en-AU"/>
        </w:rPr>
        <w:t>“Fine-Tuning Large Language Models for Specialized Use Cases.”</w:t>
      </w:r>
      <w:r>
        <w:rPr>
          <w:lang w:val="en-AU"/>
        </w:rPr>
        <w:t xml:space="preserve"> </w:t>
      </w:r>
      <w:r w:rsidRPr="00A85B44">
        <w:rPr>
          <w:lang w:val="en-AU"/>
        </w:rPr>
        <w:t>Mayo Clinic Proceedings: Digital Health 3 (1): 100184.</w:t>
      </w:r>
      <w:r>
        <w:rPr>
          <w:lang w:val="en-AU"/>
        </w:rPr>
        <w:t xml:space="preserve"> </w:t>
      </w:r>
      <w:hyperlink r:id="rId9" w:history="1">
        <w:r w:rsidRPr="006F3B8D">
          <w:rPr>
            <w:rStyle w:val="Hyperlink"/>
            <w:lang w:val="en-AU"/>
          </w:rPr>
          <w:t>https://doi.org/10.1016/j.mcpdig.2024.11.005</w:t>
        </w:r>
      </w:hyperlink>
      <w:r>
        <w:rPr>
          <w:lang w:val="en-AU"/>
        </w:rPr>
        <w:t xml:space="preserve"> </w:t>
      </w:r>
    </w:p>
    <w:p w14:paraId="3D47981C" w14:textId="35EC2554" w:rsidR="00E33E41" w:rsidRDefault="00000000" w:rsidP="00E50205">
      <w:pPr>
        <w:pStyle w:val="Bibliography"/>
      </w:pPr>
      <w:r>
        <w:t xml:space="preserve">Amazon Web Services. 2025. “What Is Retrieval-Augmented Generation (RAG)?” </w:t>
      </w:r>
      <w:hyperlink r:id="rId10">
        <w:r w:rsidR="00E33E41">
          <w:rPr>
            <w:rStyle w:val="Hyperlink"/>
          </w:rPr>
          <w:t>https://aws.amazon.com/what-is/retrieval-augmented-generation</w:t>
        </w:r>
      </w:hyperlink>
      <w:r>
        <w:t>.</w:t>
      </w:r>
    </w:p>
    <w:p w14:paraId="7EA33D1D" w14:textId="77777777" w:rsidR="00E33E41" w:rsidRDefault="00000000" w:rsidP="00E50205">
      <w:pPr>
        <w:pStyle w:val="Bibliography"/>
      </w:pPr>
      <w:bookmarkStart w:id="51" w:name="ref-asksage2025"/>
      <w:bookmarkEnd w:id="49"/>
      <w:r>
        <w:t xml:space="preserve">Ask Sage. 2025a. “Defense Industrial Base Platform.” </w:t>
      </w:r>
      <w:hyperlink r:id="rId11">
        <w:r w:rsidR="00E33E41">
          <w:rPr>
            <w:rStyle w:val="Hyperlink"/>
          </w:rPr>
          <w:t>https://www.asksage.ai/who-we-serve/defense-industrial-base</w:t>
        </w:r>
      </w:hyperlink>
      <w:r>
        <w:t>.</w:t>
      </w:r>
    </w:p>
    <w:p w14:paraId="576C84A9" w14:textId="77777777" w:rsidR="00E33E41" w:rsidRDefault="00000000" w:rsidP="00E50205">
      <w:pPr>
        <w:pStyle w:val="Bibliography"/>
      </w:pPr>
      <w:bookmarkStart w:id="52" w:name="ref-asksage_dib2025"/>
      <w:bookmarkEnd w:id="51"/>
      <w:r>
        <w:t xml:space="preserve">Ask Sage. 2025b. “Defense Industrial Base Platform: Tactical Edge Capability.” </w:t>
      </w:r>
      <w:hyperlink r:id="rId12">
        <w:r w:rsidR="00E33E41">
          <w:rPr>
            <w:rStyle w:val="Hyperlink"/>
          </w:rPr>
          <w:t>https://www.asksage.ai/who-we-serve/defense-industrial-base</w:t>
        </w:r>
      </w:hyperlink>
      <w:r>
        <w:t>.</w:t>
      </w:r>
    </w:p>
    <w:p w14:paraId="792A1C6F" w14:textId="77777777" w:rsidR="00E33E41" w:rsidRDefault="00000000" w:rsidP="00E50205">
      <w:pPr>
        <w:pStyle w:val="Bibliography"/>
      </w:pPr>
      <w:bookmarkStart w:id="53" w:name="ref-brown2025"/>
      <w:bookmarkEnd w:id="52"/>
      <w:r>
        <w:t xml:space="preserve">Brown, Andrew, Muhammad Roman, and Barry Devereux. 2025. “A Systematic Literature Review of Retrieval-Augmented Generation: Techniques, Metrics, and Challenges.” </w:t>
      </w:r>
      <w:r>
        <w:rPr>
          <w:i/>
          <w:iCs/>
        </w:rPr>
        <w:t>Big Data and Cognitive Computing</w:t>
      </w:r>
      <w:r>
        <w:t xml:space="preserve"> 9 (12): 320. </w:t>
      </w:r>
      <w:hyperlink r:id="rId13">
        <w:r w:rsidR="00E33E41">
          <w:rPr>
            <w:rStyle w:val="Hyperlink"/>
          </w:rPr>
          <w:t>https://doi.org/10.3390/bdcc9120320</w:t>
        </w:r>
      </w:hyperlink>
      <w:r>
        <w:t>.</w:t>
      </w:r>
    </w:p>
    <w:p w14:paraId="5F91D4BE" w14:textId="50509BD5" w:rsidR="00E33E41" w:rsidRDefault="00000000" w:rsidP="00E50205">
      <w:pPr>
        <w:pStyle w:val="Bibliography"/>
      </w:pPr>
      <w:bookmarkStart w:id="54" w:name="ref-brown2020"/>
      <w:bookmarkEnd w:id="53"/>
      <w:r>
        <w:t xml:space="preserve">Brown, Tom, Benjamin Mann, Nick Ryder, et al. 2020. “Language Models Are Few-Shot Learners.” </w:t>
      </w:r>
      <w:r>
        <w:rPr>
          <w:i/>
          <w:iCs/>
        </w:rPr>
        <w:t>Advances in Neural Information Processing Systems</w:t>
      </w:r>
      <w:r>
        <w:t xml:space="preserve"> 33. </w:t>
      </w:r>
      <w:hyperlink r:id="rId14" w:history="1">
        <w:r w:rsidR="006845A5" w:rsidRPr="00053671">
          <w:rPr>
            <w:rStyle w:val="Hyperlink"/>
          </w:rPr>
          <w:t>https://arxiv.org/abs/2005.14165</w:t>
        </w:r>
      </w:hyperlink>
      <w:r>
        <w:t>.</w:t>
      </w:r>
    </w:p>
    <w:p w14:paraId="5AC64493" w14:textId="120EF729" w:rsidR="002D6BEF" w:rsidRPr="002D6BEF" w:rsidRDefault="002D6BEF" w:rsidP="00E50205">
      <w:pPr>
        <w:pStyle w:val="Bibliography"/>
        <w:rPr>
          <w:lang w:val="en-AU"/>
        </w:rPr>
      </w:pPr>
      <w:r w:rsidRPr="002D6BEF">
        <w:rPr>
          <w:lang w:val="en-AU"/>
        </w:rPr>
        <w:t xml:space="preserve">Brynjolfsson, Erik, Danielle Li, and Lindsey R. Raymond. 2023. “Generative AI at Work.” </w:t>
      </w:r>
      <w:r w:rsidRPr="002D6BEF">
        <w:rPr>
          <w:i/>
          <w:iCs/>
          <w:lang w:val="en-AU"/>
        </w:rPr>
        <w:t>National Bureau of Economic Research Working Paper</w:t>
      </w:r>
      <w:r w:rsidRPr="002D6BEF">
        <w:rPr>
          <w:lang w:val="en-AU"/>
        </w:rPr>
        <w:t>.</w:t>
      </w:r>
      <w:r>
        <w:rPr>
          <w:lang w:val="en-AU"/>
        </w:rPr>
        <w:t xml:space="preserve"> </w:t>
      </w:r>
      <w:hyperlink r:id="rId15" w:history="1">
        <w:r w:rsidRPr="00053671">
          <w:rPr>
            <w:rStyle w:val="Hyperlink"/>
            <w:lang w:val="en-AU"/>
          </w:rPr>
          <w:t>https://www.nber.org/system/files/working_papers/w31161/w31161.pdf</w:t>
        </w:r>
      </w:hyperlink>
      <w:r>
        <w:rPr>
          <w:lang w:val="en-AU"/>
        </w:rPr>
        <w:t xml:space="preserve"> </w:t>
      </w:r>
    </w:p>
    <w:p w14:paraId="66C9EC66" w14:textId="01A1A0AE" w:rsidR="006845A5" w:rsidRDefault="006845A5" w:rsidP="00E50205">
      <w:pPr>
        <w:pStyle w:val="Bibliography"/>
      </w:pPr>
      <w:r w:rsidRPr="006845A5">
        <w:t>Carlini, Nicholas, Florian Tramer, Eric Wallace, Matthew Jagielski, Ariel Herbert-Voss, Katherine Lee, Adam Roberts et al. "Extracting training data from large language models." In </w:t>
      </w:r>
      <w:r w:rsidRPr="006845A5">
        <w:rPr>
          <w:i/>
          <w:iCs/>
        </w:rPr>
        <w:t>30th USENIX security symposium (USENIX Security 21)</w:t>
      </w:r>
      <w:r w:rsidRPr="006845A5">
        <w:t>, pp. 2633-2650. 2021.</w:t>
      </w:r>
    </w:p>
    <w:p w14:paraId="789B7821" w14:textId="77777777" w:rsidR="00E33E41" w:rsidRDefault="00000000" w:rsidP="00E50205">
      <w:pPr>
        <w:pStyle w:val="Bibliography"/>
      </w:pPr>
      <w:bookmarkStart w:id="55" w:name="ref-ciso2025"/>
      <w:bookmarkEnd w:id="54"/>
      <w:r>
        <w:lastRenderedPageBreak/>
        <w:t xml:space="preserve">CISO Council. 2025. “Federal Zero Trust Data Security Guide.” </w:t>
      </w:r>
      <w:hyperlink r:id="rId16">
        <w:r w:rsidR="00E33E41">
          <w:rPr>
            <w:rStyle w:val="Hyperlink"/>
          </w:rPr>
          <w:t>https://resources.data.gov/assets/documents/Zero-Trust-DataSecurityGuide_RevisedMay2025_CIO.govVersion.pdf</w:t>
        </w:r>
      </w:hyperlink>
      <w:r>
        <w:t>.</w:t>
      </w:r>
    </w:p>
    <w:p w14:paraId="7F5C7488" w14:textId="77777777" w:rsidR="00E33E41" w:rsidRDefault="00000000" w:rsidP="00E50205">
      <w:pPr>
        <w:pStyle w:val="Bibliography"/>
      </w:pPr>
      <w:bookmarkStart w:id="56" w:name="ref-arxiv2511"/>
      <w:bookmarkEnd w:id="55"/>
      <w:proofErr w:type="spellStart"/>
      <w:r>
        <w:t>Dayarathne</w:t>
      </w:r>
      <w:proofErr w:type="spellEnd"/>
      <w:r>
        <w:t xml:space="preserve">, Ranul, </w:t>
      </w:r>
      <w:proofErr w:type="spellStart"/>
      <w:r>
        <w:t>Uvini</w:t>
      </w:r>
      <w:proofErr w:type="spellEnd"/>
      <w:r>
        <w:t xml:space="preserve"> Ranaweera, and Upeksha Ganegoda. 2025. “Comparing the Performance of LLMs in RAG-Based Question-Answering: A Case Study in Computer Science Literature.” </w:t>
      </w:r>
      <w:proofErr w:type="spellStart"/>
      <w:r>
        <w:rPr>
          <w:i/>
          <w:iCs/>
        </w:rPr>
        <w:t>arXiv</w:t>
      </w:r>
      <w:proofErr w:type="spellEnd"/>
      <w:r>
        <w:rPr>
          <w:i/>
          <w:iCs/>
        </w:rPr>
        <w:t xml:space="preserve"> Preprint arXiv:2511.03261</w:t>
      </w:r>
      <w:r>
        <w:t xml:space="preserve">. </w:t>
      </w:r>
      <w:hyperlink r:id="rId17">
        <w:r w:rsidR="00E33E41">
          <w:rPr>
            <w:rStyle w:val="Hyperlink"/>
          </w:rPr>
          <w:t>https://arxiv.org/abs/2511.03261</w:t>
        </w:r>
      </w:hyperlink>
      <w:r>
        <w:t>.</w:t>
      </w:r>
    </w:p>
    <w:p w14:paraId="18EF9100" w14:textId="77777777" w:rsidR="00E33E41" w:rsidRDefault="00000000" w:rsidP="00E50205">
      <w:pPr>
        <w:pStyle w:val="Bibliography"/>
      </w:pPr>
      <w:bookmarkStart w:id="57" w:name="ref-defensescoop2024"/>
      <w:bookmarkEnd w:id="56"/>
      <w:proofErr w:type="spellStart"/>
      <w:r>
        <w:t>DefenseScoop</w:t>
      </w:r>
      <w:proofErr w:type="spellEnd"/>
      <w:r>
        <w:t>. 2024. “Joint Warfighting Cloud Capability Overview.”</w:t>
      </w:r>
    </w:p>
    <w:p w14:paraId="399A6FC3" w14:textId="77777777" w:rsidR="00E33E41" w:rsidRDefault="00000000" w:rsidP="00E50205">
      <w:pPr>
        <w:pStyle w:val="Bibliography"/>
      </w:pPr>
      <w:bookmarkStart w:id="58" w:name="ref-defensescoop_dec2025"/>
      <w:bookmarkEnd w:id="57"/>
      <w:proofErr w:type="spellStart"/>
      <w:r>
        <w:t>DefenseScoop</w:t>
      </w:r>
      <w:proofErr w:type="spellEnd"/>
      <w:r>
        <w:t xml:space="preserve">. 2025. “DOD Initiates Large-Scale Rollout of Commercial AI Models.” </w:t>
      </w:r>
      <w:hyperlink r:id="rId18">
        <w:r w:rsidR="00E33E41">
          <w:rPr>
            <w:rStyle w:val="Hyperlink"/>
          </w:rPr>
          <w:t>https://defensescoop.com/2025/12/09/genai-mil-platform-dod-commercial-ai-models-agentic-tools-google-gemini</w:t>
        </w:r>
      </w:hyperlink>
      <w:r>
        <w:t>.</w:t>
      </w:r>
    </w:p>
    <w:p w14:paraId="74BE5F9B" w14:textId="77777777" w:rsidR="00E33E41" w:rsidRDefault="00000000" w:rsidP="00E50205">
      <w:pPr>
        <w:pStyle w:val="Bibliography"/>
      </w:pPr>
      <w:bookmarkStart w:id="59" w:name="ref-don_genai2026"/>
      <w:bookmarkEnd w:id="58"/>
      <w:r>
        <w:t>Department of the Navy. 2026. “Department of the Navy Enterprise Information Technology Service Designation for GenAI.mil.”</w:t>
      </w:r>
    </w:p>
    <w:p w14:paraId="4666C05C" w14:textId="77777777" w:rsidR="00E33E41" w:rsidRDefault="00000000" w:rsidP="00E50205">
      <w:pPr>
        <w:pStyle w:val="Bibliography"/>
      </w:pPr>
      <w:bookmarkStart w:id="60" w:name="ref-devcommunity2025"/>
      <w:bookmarkEnd w:id="59"/>
      <w:r>
        <w:t xml:space="preserve">DEV Community. 2025. “Inside a Production RAG System: Architecture, Stack, and Lessons Learned.” </w:t>
      </w:r>
      <w:hyperlink r:id="rId19">
        <w:r w:rsidR="00E33E41">
          <w:rPr>
            <w:rStyle w:val="Hyperlink"/>
          </w:rPr>
          <w:t>https://dev.to/seasia_infotech_899dc2c59/inside-a-production-rag-system-architecture-stack-and-lessons-learned-28h7</w:t>
        </w:r>
      </w:hyperlink>
      <w:r>
        <w:t>.</w:t>
      </w:r>
    </w:p>
    <w:p w14:paraId="6EEE576B" w14:textId="77777777" w:rsidR="00E33E41" w:rsidRDefault="00000000" w:rsidP="00E50205">
      <w:pPr>
        <w:pStyle w:val="Bibliography"/>
      </w:pPr>
      <w:bookmarkStart w:id="61" w:name="ref-cdao_rmf2024"/>
      <w:bookmarkEnd w:id="60"/>
      <w:r>
        <w:t xml:space="preserve">DoD CIO. 2024. “DoD AI Cybersecurity Risk Management Tailoring Guide.” </w:t>
      </w:r>
      <w:hyperlink r:id="rId20">
        <w:r w:rsidR="00E33E41">
          <w:rPr>
            <w:rStyle w:val="Hyperlink"/>
          </w:rPr>
          <w:t>https://dodcio.defense.gov/Portals/0/Documents/Library/AI-CybersecurityRMTailoringGuide.pdf</w:t>
        </w:r>
      </w:hyperlink>
      <w:r>
        <w:t>.</w:t>
      </w:r>
    </w:p>
    <w:p w14:paraId="489CA772" w14:textId="77777777" w:rsidR="00E33E41" w:rsidRDefault="00000000" w:rsidP="00E50205">
      <w:pPr>
        <w:pStyle w:val="Bibliography"/>
      </w:pPr>
      <w:bookmarkStart w:id="62" w:name="ref-dod_zt2026"/>
      <w:bookmarkEnd w:id="61"/>
      <w:r>
        <w:t xml:space="preserve">DoD CIO. 2026. “Zero Trust Implementation Guideline Primer.” </w:t>
      </w:r>
      <w:hyperlink r:id="rId21">
        <w:r w:rsidR="00E33E41">
          <w:rPr>
            <w:rStyle w:val="Hyperlink"/>
          </w:rPr>
          <w:t>https://media.defense.gov/2026/Jan/08/2003852320/-1/-1/0/CTR_ZERO_TRUST_IMPLEMENTATION_GUIDELINE_PRIMER.PDF</w:t>
        </w:r>
      </w:hyperlink>
      <w:r>
        <w:t>.</w:t>
      </w:r>
    </w:p>
    <w:p w14:paraId="3CD098C1" w14:textId="77777777" w:rsidR="00E33E41" w:rsidRDefault="00000000" w:rsidP="00E50205">
      <w:pPr>
        <w:pStyle w:val="Bibliography"/>
      </w:pPr>
      <w:bookmarkStart w:id="63" w:name="ref-domino2025"/>
      <w:bookmarkEnd w:id="62"/>
      <w:r>
        <w:t xml:space="preserve">Domino Data Lab. 2025. “Automating the CDAO AI Test and Evaluation Framework.” </w:t>
      </w:r>
      <w:hyperlink r:id="rId22">
        <w:r w:rsidR="00E33E41">
          <w:rPr>
            <w:rStyle w:val="Hyperlink"/>
          </w:rPr>
          <w:t>https://domino.ai/blog/domino-automates-the-cdao-ai-test-and-evaluation-framework</w:t>
        </w:r>
      </w:hyperlink>
      <w:r>
        <w:t>.</w:t>
      </w:r>
    </w:p>
    <w:p w14:paraId="298103E0" w14:textId="77777777" w:rsidR="00E33E41" w:rsidRDefault="00000000" w:rsidP="00E50205">
      <w:pPr>
        <w:pStyle w:val="Bibliography"/>
      </w:pPr>
      <w:bookmarkStart w:id="64" w:name="ref-f22labs2024"/>
      <w:bookmarkEnd w:id="63"/>
      <w:r>
        <w:t>F22 Labs. 2024. “Fine-Tuning Vs. RAG: Choosing the Right Approach.”</w:t>
      </w:r>
    </w:p>
    <w:p w14:paraId="557E6118" w14:textId="77777777" w:rsidR="00E33E41" w:rsidRDefault="00000000" w:rsidP="00E50205">
      <w:pPr>
        <w:pStyle w:val="Bibliography"/>
      </w:pPr>
      <w:bookmarkStart w:id="65" w:name="ref-mayerbrown2026"/>
      <w:bookmarkEnd w:id="64"/>
      <w:r>
        <w:t xml:space="preserve">Frazee, J. Ryan, John Prairie, and Adam S. Hickey. 2026. “Pentagon Designates Anthropic a Supply Chain Risk—What Government Contractors Need to Know.” </w:t>
      </w:r>
      <w:r>
        <w:rPr>
          <w:i/>
          <w:iCs/>
        </w:rPr>
        <w:t>Mayer Brown Legal Update</w:t>
      </w:r>
      <w:r>
        <w:t>.</w:t>
      </w:r>
    </w:p>
    <w:p w14:paraId="6C5FC2D0" w14:textId="77777777" w:rsidR="00E33E41" w:rsidRDefault="00000000" w:rsidP="00E50205">
      <w:pPr>
        <w:pStyle w:val="Bibliography"/>
      </w:pPr>
      <w:bookmarkStart w:id="66" w:name="ref-gao2023"/>
      <w:bookmarkEnd w:id="65"/>
      <w:r>
        <w:t xml:space="preserve">Gao, </w:t>
      </w:r>
      <w:proofErr w:type="spellStart"/>
      <w:r>
        <w:t>Yunfan</w:t>
      </w:r>
      <w:proofErr w:type="spellEnd"/>
      <w:r>
        <w:t xml:space="preserve">, Yun Xiong, Xinyu Gao, et al. 2023. “Retrieval-Augmented Generation for Large Language Models: A Survey.” </w:t>
      </w:r>
      <w:proofErr w:type="spellStart"/>
      <w:r>
        <w:rPr>
          <w:i/>
          <w:iCs/>
        </w:rPr>
        <w:t>arXiv</w:t>
      </w:r>
      <w:proofErr w:type="spellEnd"/>
      <w:r>
        <w:rPr>
          <w:i/>
          <w:iCs/>
        </w:rPr>
        <w:t xml:space="preserve"> Preprint arXiv:2312.10997</w:t>
      </w:r>
      <w:r>
        <w:t xml:space="preserve">. </w:t>
      </w:r>
      <w:hyperlink r:id="rId23">
        <w:r w:rsidR="00E33E41">
          <w:rPr>
            <w:rStyle w:val="Hyperlink"/>
          </w:rPr>
          <w:t>https://arxiv.org/abs/2312.10997</w:t>
        </w:r>
      </w:hyperlink>
      <w:r>
        <w:t>.</w:t>
      </w:r>
    </w:p>
    <w:p w14:paraId="30C19163" w14:textId="77777777" w:rsidR="00E33E41" w:rsidRDefault="00000000" w:rsidP="00E50205">
      <w:pPr>
        <w:pStyle w:val="Bibliography"/>
      </w:pPr>
      <w:bookmarkStart w:id="67" w:name="ref-gdit2024"/>
      <w:bookmarkEnd w:id="66"/>
      <w:r>
        <w:t xml:space="preserve">GDIT. 2024. “How Adaptive RAG Makes Generative AI More Reliable for Defense Missions.” </w:t>
      </w:r>
      <w:hyperlink r:id="rId24">
        <w:r w:rsidR="00E33E41">
          <w:rPr>
            <w:rStyle w:val="Hyperlink"/>
          </w:rPr>
          <w:t>https://www.gdit.com/perspectives/latest/how-adaptive-rag-makes-generative-ai-more-reliable-for-defense-missions</w:t>
        </w:r>
      </w:hyperlink>
      <w:r>
        <w:t>.</w:t>
      </w:r>
    </w:p>
    <w:p w14:paraId="0CF34521" w14:textId="77777777" w:rsidR="00E33E41" w:rsidRDefault="00000000" w:rsidP="00E50205">
      <w:pPr>
        <w:pStyle w:val="Bibliography"/>
      </w:pPr>
      <w:bookmarkStart w:id="68" w:name="ref-gigaspaces2025"/>
      <w:bookmarkEnd w:id="67"/>
      <w:proofErr w:type="spellStart"/>
      <w:r>
        <w:t>GigaSpaces</w:t>
      </w:r>
      <w:proofErr w:type="spellEnd"/>
      <w:r>
        <w:t xml:space="preserve">. 2025. “The 6 Best Vector Database Solutions for RAG Applications.” </w:t>
      </w:r>
      <w:hyperlink r:id="rId25">
        <w:r w:rsidR="00E33E41">
          <w:rPr>
            <w:rStyle w:val="Hyperlink"/>
          </w:rPr>
          <w:t>https://www.gigaspaces.com/blog/best-vector-database-solutions-for-rag-applications</w:t>
        </w:r>
      </w:hyperlink>
      <w:r>
        <w:t>.</w:t>
      </w:r>
    </w:p>
    <w:p w14:paraId="6BAFC55F" w14:textId="77777777" w:rsidR="00E33E41" w:rsidRDefault="00000000" w:rsidP="00E50205">
      <w:pPr>
        <w:pStyle w:val="Bibliography"/>
      </w:pPr>
      <w:bookmarkStart w:id="69" w:name="ref-grsee2025"/>
      <w:bookmarkEnd w:id="68"/>
      <w:proofErr w:type="spellStart"/>
      <w:r>
        <w:lastRenderedPageBreak/>
        <w:t>GRSee</w:t>
      </w:r>
      <w:proofErr w:type="spellEnd"/>
      <w:r>
        <w:t xml:space="preserve"> Consulting. 2025. “DoD Cloud Computing Security Requirements Guide: Impact Levels.” </w:t>
      </w:r>
      <w:hyperlink r:id="rId26">
        <w:r w:rsidR="00E33E41">
          <w:rPr>
            <w:rStyle w:val="Hyperlink"/>
          </w:rPr>
          <w:t>https://grsee.com/resources/fed-assess/dod-cloud-security-requirements-how-to-secure-cloud-adoption</w:t>
        </w:r>
      </w:hyperlink>
      <w:r>
        <w:t>.</w:t>
      </w:r>
    </w:p>
    <w:p w14:paraId="5133CB2A" w14:textId="77777777" w:rsidR="00E33E41" w:rsidRDefault="00000000" w:rsidP="00E50205">
      <w:pPr>
        <w:pStyle w:val="Bibliography"/>
      </w:pPr>
      <w:bookmarkStart w:id="70" w:name="ref-ibm2025"/>
      <w:bookmarkEnd w:id="69"/>
      <w:r>
        <w:t xml:space="preserve">IBM. 2025. “What Is Retrieval-Augmented Generation (RAG)?” </w:t>
      </w:r>
      <w:hyperlink r:id="rId27">
        <w:r w:rsidR="00E33E41">
          <w:rPr>
            <w:rStyle w:val="Hyperlink"/>
          </w:rPr>
          <w:t>https://www.ibm.com/think/topics/retrieval-augmented-generation</w:t>
        </w:r>
      </w:hyperlink>
      <w:r>
        <w:t>.</w:t>
      </w:r>
    </w:p>
    <w:p w14:paraId="7F2AB3E6" w14:textId="6B8BF1BE" w:rsidR="00231B0E" w:rsidRPr="00231B0E" w:rsidRDefault="00231B0E" w:rsidP="00E50205">
      <w:pPr>
        <w:pStyle w:val="Bibliography"/>
        <w:rPr>
          <w:lang w:val="en-AU"/>
        </w:rPr>
      </w:pPr>
      <w:r w:rsidRPr="00231B0E">
        <w:rPr>
          <w:lang w:val="en-AU"/>
        </w:rPr>
        <w:t xml:space="preserve">IBM, </w:t>
      </w:r>
      <w:r w:rsidRPr="00231B0E">
        <w:rPr>
          <w:i/>
          <w:iCs/>
          <w:lang w:val="en-AU"/>
        </w:rPr>
        <w:t xml:space="preserve">“RAG Orchestration: A Guide to </w:t>
      </w:r>
      <w:proofErr w:type="spellStart"/>
      <w:r w:rsidRPr="00231B0E">
        <w:rPr>
          <w:i/>
          <w:iCs/>
          <w:lang w:val="en-AU"/>
        </w:rPr>
        <w:t>Watsonx</w:t>
      </w:r>
      <w:proofErr w:type="spellEnd"/>
      <w:r w:rsidRPr="00231B0E">
        <w:rPr>
          <w:i/>
          <w:iCs/>
          <w:lang w:val="en-AU"/>
        </w:rPr>
        <w:t xml:space="preserve"> &amp; Open-Source Tools,”</w:t>
      </w:r>
      <w:r w:rsidRPr="00231B0E">
        <w:rPr>
          <w:lang w:val="en-AU"/>
        </w:rPr>
        <w:t xml:space="preserve"> IBM Think Architectures, 2024.</w:t>
      </w:r>
      <w:r>
        <w:rPr>
          <w:lang w:val="en-AU"/>
        </w:rPr>
        <w:t xml:space="preserve"> </w:t>
      </w:r>
      <w:hyperlink r:id="rId28" w:history="1">
        <w:r w:rsidRPr="006F3B8D">
          <w:rPr>
            <w:rStyle w:val="Hyperlink"/>
            <w:lang w:val="en-AU"/>
          </w:rPr>
          <w:t>https://www.ibm.com/think/architectures/rag-cookbook/orchestration</w:t>
        </w:r>
      </w:hyperlink>
      <w:r>
        <w:rPr>
          <w:lang w:val="en-AU"/>
        </w:rPr>
        <w:t xml:space="preserve"> </w:t>
      </w:r>
    </w:p>
    <w:p w14:paraId="4B05FBA0" w14:textId="77777777" w:rsidR="00E33E41" w:rsidRDefault="00000000" w:rsidP="00E50205">
      <w:pPr>
        <w:pStyle w:val="Bibliography"/>
      </w:pPr>
      <w:bookmarkStart w:id="71" w:name="ref-ijonis2026"/>
      <w:bookmarkEnd w:id="70"/>
      <w:r>
        <w:t xml:space="preserve">IJONIS. 2026. “RAG Systems for Enterprise: Build a RAG Pipeline Step by Step.” </w:t>
      </w:r>
      <w:hyperlink r:id="rId29">
        <w:r w:rsidR="00E33E41">
          <w:rPr>
            <w:rStyle w:val="Hyperlink"/>
          </w:rPr>
          <w:t>https://ijonis.com/en/rag-systems-enterprise</w:t>
        </w:r>
      </w:hyperlink>
      <w:r>
        <w:t>.</w:t>
      </w:r>
    </w:p>
    <w:p w14:paraId="1F416592" w14:textId="5A3B9679" w:rsidR="002D6BEF" w:rsidRPr="002D6BEF" w:rsidRDefault="002D6BEF" w:rsidP="00E50205">
      <w:pPr>
        <w:pStyle w:val="Bibliography"/>
        <w:rPr>
          <w:lang w:val="en-AU"/>
        </w:rPr>
      </w:pPr>
      <w:r w:rsidRPr="002D6BEF">
        <w:rPr>
          <w:lang w:val="en-AU"/>
        </w:rPr>
        <w:t xml:space="preserve">Kaddour, Jean, Joshua Harris, Maximilian Mozes, Herbie Bradley, Roberta Raileanu, and Robert McHardy. 2023. </w:t>
      </w:r>
      <w:r w:rsidRPr="002D6BEF">
        <w:rPr>
          <w:i/>
          <w:iCs/>
          <w:lang w:val="en-AU"/>
        </w:rPr>
        <w:t>“Challenges and Applications of Large Language Models.”</w:t>
      </w:r>
      <w:r w:rsidRPr="002D6BEF">
        <w:rPr>
          <w:lang w:val="en-AU"/>
        </w:rPr>
        <w:t xml:space="preserve"> </w:t>
      </w:r>
      <w:proofErr w:type="spellStart"/>
      <w:r w:rsidRPr="002D6BEF">
        <w:rPr>
          <w:lang w:val="en-AU"/>
        </w:rPr>
        <w:t>arXiv</w:t>
      </w:r>
      <w:proofErr w:type="spellEnd"/>
      <w:r w:rsidRPr="002D6BEF">
        <w:rPr>
          <w:lang w:val="en-AU"/>
        </w:rPr>
        <w:t xml:space="preserve"> preprint arXiv:2307.10169.</w:t>
      </w:r>
    </w:p>
    <w:p w14:paraId="3F92FC25" w14:textId="77777777" w:rsidR="00E33E41" w:rsidRDefault="00000000" w:rsidP="00E50205">
      <w:pPr>
        <w:pStyle w:val="Bibliography"/>
      </w:pPr>
      <w:bookmarkStart w:id="72" w:name="ref-mdpi2025"/>
      <w:bookmarkEnd w:id="71"/>
      <w:r>
        <w:t xml:space="preserve">Karakurt, Ehlullah, and Akhan Akbulut. 2026. “Retrieval-Augmented Generation (RAG) and Large Language Models (LLMs) for Enterprise Knowledge Management and Document Automation: A Systematic Literature Review.” </w:t>
      </w:r>
      <w:r>
        <w:rPr>
          <w:i/>
          <w:iCs/>
        </w:rPr>
        <w:t>Applied Sciences</w:t>
      </w:r>
      <w:r>
        <w:t xml:space="preserve"> 16 (1): 368. </w:t>
      </w:r>
      <w:hyperlink r:id="rId30">
        <w:r w:rsidR="00E33E41">
          <w:rPr>
            <w:rStyle w:val="Hyperlink"/>
          </w:rPr>
          <w:t>https://doi.org/10.3390/app16010368</w:t>
        </w:r>
      </w:hyperlink>
      <w:r>
        <w:t>.</w:t>
      </w:r>
    </w:p>
    <w:p w14:paraId="5AF2CC1F" w14:textId="68F69952" w:rsidR="006845A5" w:rsidRDefault="006845A5" w:rsidP="00E50205">
      <w:pPr>
        <w:pStyle w:val="Bibliography"/>
        <w:rPr>
          <w:lang w:val="en-AU"/>
        </w:rPr>
      </w:pPr>
      <w:r w:rsidRPr="006845A5">
        <w:rPr>
          <w:lang w:val="en-AU"/>
        </w:rPr>
        <w:t xml:space="preserve">Kirkpatrick, James, et al. 2017. “Overcoming Catastrophic Forgetting in Neural Networks.” </w:t>
      </w:r>
      <w:r w:rsidRPr="006845A5">
        <w:rPr>
          <w:i/>
          <w:iCs/>
          <w:lang w:val="en-AU"/>
        </w:rPr>
        <w:t>Proceedings of the National Academy of Sciences</w:t>
      </w:r>
      <w:r w:rsidRPr="006845A5">
        <w:rPr>
          <w:lang w:val="en-AU"/>
        </w:rPr>
        <w:t xml:space="preserve"> 114 (13): 3521–26.</w:t>
      </w:r>
    </w:p>
    <w:p w14:paraId="2863D31F" w14:textId="035569AC" w:rsidR="00AF3C91" w:rsidRPr="006845A5" w:rsidRDefault="00AF3C91" w:rsidP="00E50205">
      <w:pPr>
        <w:pStyle w:val="Bibliography"/>
        <w:rPr>
          <w:lang w:val="en-AU"/>
        </w:rPr>
      </w:pPr>
      <w:r w:rsidRPr="00AF3C91">
        <w:rPr>
          <w:lang w:val="en-AU"/>
        </w:rPr>
        <w:t>Kurzhals, J. H., Colombi, J. M., Jacques, D. R., and Stern, J. L. 2025.</w:t>
      </w:r>
      <w:r>
        <w:rPr>
          <w:lang w:val="en-AU"/>
        </w:rPr>
        <w:t xml:space="preserve"> </w:t>
      </w:r>
      <w:r w:rsidRPr="00AF3C91">
        <w:rPr>
          <w:i/>
          <w:iCs/>
          <w:lang w:val="en-AU"/>
        </w:rPr>
        <w:t>“</w:t>
      </w:r>
      <w:r w:rsidRPr="00AF3C91">
        <w:rPr>
          <w:lang w:val="en-AU"/>
        </w:rPr>
        <w:t>Advancing DoD Test &amp; Evaluation Through a System Profile</w:t>
      </w:r>
      <w:r w:rsidRPr="00AF3C91">
        <w:rPr>
          <w:i/>
          <w:iCs/>
          <w:lang w:val="en-AU"/>
        </w:rPr>
        <w:t>.”</w:t>
      </w:r>
      <w:r>
        <w:rPr>
          <w:i/>
          <w:iCs/>
          <w:lang w:val="en-AU"/>
        </w:rPr>
        <w:t xml:space="preserve"> </w:t>
      </w:r>
      <w:r w:rsidRPr="00AF3C91">
        <w:rPr>
          <w:i/>
          <w:iCs/>
          <w:lang w:val="en-AU"/>
        </w:rPr>
        <w:t>ITEA Journal of Test and Evaluation</w:t>
      </w:r>
      <w:r w:rsidRPr="00AF3C91">
        <w:rPr>
          <w:lang w:val="en-AU"/>
        </w:rPr>
        <w:t>, 46(4), Article 1003.</w:t>
      </w:r>
    </w:p>
    <w:p w14:paraId="04DFFB2D" w14:textId="77777777" w:rsidR="00E33E41" w:rsidRDefault="00000000" w:rsidP="00E50205">
      <w:pPr>
        <w:pStyle w:val="Bibliography"/>
      </w:pPr>
      <w:bookmarkStart w:id="73" w:name="ref-lewis2020"/>
      <w:bookmarkEnd w:id="72"/>
      <w:r>
        <w:t xml:space="preserve">Lewis, Patrick, Ethan Perez, Aleksandra Piktus, et al. 2020. “Retrieval-Augmented Generation for Knowledge-Intensive NLP Tasks.” </w:t>
      </w:r>
      <w:r>
        <w:rPr>
          <w:i/>
          <w:iCs/>
        </w:rPr>
        <w:t>Advances in Neural Information Processing Systems</w:t>
      </w:r>
      <w:r>
        <w:t xml:space="preserve"> 33. </w:t>
      </w:r>
      <w:hyperlink r:id="rId31">
        <w:r w:rsidR="00E33E41">
          <w:rPr>
            <w:rStyle w:val="Hyperlink"/>
          </w:rPr>
          <w:t>https://arxiv.org/abs/2005.11401</w:t>
        </w:r>
      </w:hyperlink>
      <w:r>
        <w:t>.</w:t>
      </w:r>
    </w:p>
    <w:p w14:paraId="345C0462" w14:textId="22AE6D6F" w:rsidR="002D6BEF" w:rsidRDefault="002D6BEF" w:rsidP="00E50205">
      <w:pPr>
        <w:pStyle w:val="Bibliography"/>
      </w:pPr>
      <w:r w:rsidRPr="002D6BEF">
        <w:t>Liu, J., Shen, D., Zhang, Y., Dolan, W. B., Carin, L., &amp; Chen, W. (2022, May). What makes good in-context examples for GPT-</w:t>
      </w:r>
      <w:proofErr w:type="gramStart"/>
      <w:r w:rsidRPr="002D6BEF">
        <w:t>3?.</w:t>
      </w:r>
      <w:proofErr w:type="gramEnd"/>
      <w:r w:rsidRPr="002D6BEF">
        <w:t xml:space="preserve"> In </w:t>
      </w:r>
      <w:r w:rsidRPr="002D6BEF">
        <w:rPr>
          <w:i/>
          <w:iCs/>
        </w:rPr>
        <w:t>Proceedings of Deep Learning Inside Out (</w:t>
      </w:r>
      <w:proofErr w:type="spellStart"/>
      <w:r w:rsidRPr="002D6BEF">
        <w:rPr>
          <w:i/>
          <w:iCs/>
        </w:rPr>
        <w:t>DeeLIO</w:t>
      </w:r>
      <w:proofErr w:type="spellEnd"/>
      <w:r w:rsidRPr="002D6BEF">
        <w:rPr>
          <w:i/>
          <w:iCs/>
        </w:rPr>
        <w:t xml:space="preserve"> 2022): The 3rd workshop on knowledge extraction and integration for deep learning architectures</w:t>
      </w:r>
      <w:r w:rsidRPr="002D6BEF">
        <w:t> (pp. 100-114).</w:t>
      </w:r>
    </w:p>
    <w:p w14:paraId="1FB397C2" w14:textId="77777777" w:rsidR="00E33E41" w:rsidRDefault="00000000" w:rsidP="00E50205">
      <w:pPr>
        <w:pStyle w:val="Bibliography"/>
      </w:pPr>
      <w:bookmarkStart w:id="74" w:name="ref-microsoft2026"/>
      <w:bookmarkEnd w:id="73"/>
      <w:r>
        <w:t xml:space="preserve">Microsoft. 2026. “Architecting Trust: A NIST-Based Security Governance Framework for AI Agents.” </w:t>
      </w:r>
      <w:hyperlink r:id="rId32">
        <w:r w:rsidR="00E33E41">
          <w:rPr>
            <w:rStyle w:val="Hyperlink"/>
          </w:rPr>
          <w:t>https://techcommunity.microsoft.com/blog/microsoftdefendercloudblog/architecting-trust-a-nist-based-security-governance-framework-for-ai-agents/4490556</w:t>
        </w:r>
      </w:hyperlink>
      <w:r>
        <w:t>.</w:t>
      </w:r>
    </w:p>
    <w:p w14:paraId="47D1BFF9" w14:textId="77777777" w:rsidR="00E33E41" w:rsidRDefault="00000000" w:rsidP="00E50205">
      <w:pPr>
        <w:pStyle w:val="Bibliography"/>
      </w:pPr>
      <w:bookmarkStart w:id="75" w:name="ref-nas2023"/>
      <w:bookmarkEnd w:id="74"/>
      <w:r>
        <w:t xml:space="preserve">National Academies of Sciences. 2023. </w:t>
      </w:r>
      <w:r>
        <w:rPr>
          <w:i/>
          <w:iCs/>
        </w:rPr>
        <w:t>Test and Evaluation Challenges in AI-Enabled Systems for the Department of the Air Force</w:t>
      </w:r>
      <w:r>
        <w:t xml:space="preserve">. National Academies Press. </w:t>
      </w:r>
      <w:hyperlink r:id="rId33">
        <w:r w:rsidR="00E33E41">
          <w:rPr>
            <w:rStyle w:val="Hyperlink"/>
          </w:rPr>
          <w:t>https://www.nationalacademies.org/read/27092/chapter/3</w:t>
        </w:r>
      </w:hyperlink>
      <w:r>
        <w:t>.</w:t>
      </w:r>
    </w:p>
    <w:p w14:paraId="740E7E3B" w14:textId="154160BE" w:rsidR="00EF3EC2" w:rsidRPr="00EF3EC2" w:rsidRDefault="00EF3EC2" w:rsidP="00E50205">
      <w:pPr>
        <w:pStyle w:val="Bibliography"/>
        <w:rPr>
          <w:lang w:val="en-AU"/>
        </w:rPr>
      </w:pPr>
      <w:r w:rsidRPr="00EF3EC2">
        <w:rPr>
          <w:lang w:val="en-AU"/>
        </w:rPr>
        <w:lastRenderedPageBreak/>
        <w:t xml:space="preserve">Noy, </w:t>
      </w:r>
      <w:proofErr w:type="spellStart"/>
      <w:r w:rsidRPr="00EF3EC2">
        <w:rPr>
          <w:lang w:val="en-AU"/>
        </w:rPr>
        <w:t>Shakked</w:t>
      </w:r>
      <w:proofErr w:type="spellEnd"/>
      <w:r w:rsidRPr="00EF3EC2">
        <w:rPr>
          <w:lang w:val="en-AU"/>
        </w:rPr>
        <w:t xml:space="preserve">, and Whitney Zhang. 2023. “Experimental Evidence on the Productivity Effects of Generative AI.” </w:t>
      </w:r>
      <w:r w:rsidRPr="00EF3EC2">
        <w:rPr>
          <w:i/>
          <w:iCs/>
          <w:lang w:val="en-AU"/>
        </w:rPr>
        <w:t>Science</w:t>
      </w:r>
      <w:r w:rsidRPr="00EF3EC2">
        <w:rPr>
          <w:lang w:val="en-AU"/>
        </w:rPr>
        <w:t xml:space="preserve"> 381 (6654): 187–92.</w:t>
      </w:r>
    </w:p>
    <w:p w14:paraId="54BE8CC5" w14:textId="77777777" w:rsidR="00E33E41" w:rsidRDefault="00000000" w:rsidP="00E50205">
      <w:pPr>
        <w:pStyle w:val="Bibliography"/>
      </w:pPr>
      <w:bookmarkStart w:id="76" w:name="ref-nist2025"/>
      <w:bookmarkEnd w:id="75"/>
      <w:r>
        <w:t xml:space="preserve">NIST. 2025. “NIST AI Risk Management Framework (AI RMF 1.0) and AI RMF Playbook.” </w:t>
      </w:r>
      <w:hyperlink r:id="rId34">
        <w:r w:rsidR="00E33E41">
          <w:rPr>
            <w:rStyle w:val="Hyperlink"/>
          </w:rPr>
          <w:t>https://www.nist.gov/itl/ai-risk-management-framework</w:t>
        </w:r>
      </w:hyperlink>
      <w:r>
        <w:t>.</w:t>
      </w:r>
    </w:p>
    <w:p w14:paraId="2D2B4F30" w14:textId="77777777" w:rsidR="00E33E41" w:rsidRDefault="00000000" w:rsidP="00E50205">
      <w:pPr>
        <w:pStyle w:val="Bibliography"/>
      </w:pPr>
      <w:bookmarkStart w:id="77" w:name="ref-dtea2025"/>
      <w:bookmarkEnd w:id="76"/>
      <w:r>
        <w:t xml:space="preserve">OSD DTE&amp;A. 2025. “Developmental Test and Evaluation of AI-Enabled Systems Guidebook.” </w:t>
      </w:r>
      <w:hyperlink r:id="rId35">
        <w:r w:rsidR="00E33E41">
          <w:rPr>
            <w:rStyle w:val="Hyperlink"/>
          </w:rPr>
          <w:t>https://aaf.dau.edu/storage/2025/03/DTE_of_AIES_Guidebook_Final_26Feb25_signed.pdf</w:t>
        </w:r>
      </w:hyperlink>
      <w:r>
        <w:t>.</w:t>
      </w:r>
    </w:p>
    <w:p w14:paraId="7189B44F" w14:textId="77777777" w:rsidR="00E33E41" w:rsidRDefault="00000000" w:rsidP="00E50205">
      <w:pPr>
        <w:pStyle w:val="Bibliography"/>
      </w:pPr>
      <w:bookmarkStart w:id="78" w:name="ref-packowski2024"/>
      <w:bookmarkEnd w:id="77"/>
      <w:r>
        <w:t xml:space="preserve">Packowski, Sarah, Inge Halilovic, Jenifer Schlotfeldt, and Trish Smith. 2024. “Optimizing and Evaluating Enterprise Retrieval-Augmented Generation (RAG): A Content Design Perspective.” </w:t>
      </w:r>
      <w:r>
        <w:rPr>
          <w:i/>
          <w:iCs/>
        </w:rPr>
        <w:t>Proc. 8th Int. Conf. On Advances in Artificial Intelligence (ICAAI ’24)</w:t>
      </w:r>
      <w:r>
        <w:t xml:space="preserve">. </w:t>
      </w:r>
      <w:hyperlink r:id="rId36">
        <w:r w:rsidR="00E33E41">
          <w:rPr>
            <w:rStyle w:val="Hyperlink"/>
          </w:rPr>
          <w:t>https://arxiv.org/abs/2410.12812</w:t>
        </w:r>
      </w:hyperlink>
      <w:r>
        <w:t>.</w:t>
      </w:r>
    </w:p>
    <w:p w14:paraId="4AD72CAA" w14:textId="77777777" w:rsidR="00E33E41" w:rsidRDefault="00000000" w:rsidP="00E50205">
      <w:pPr>
        <w:pStyle w:val="Bibliography"/>
      </w:pPr>
      <w:bookmarkStart w:id="79" w:name="ref-paragon2024"/>
      <w:bookmarkEnd w:id="78"/>
      <w:r>
        <w:t xml:space="preserve">Paragon. 2024. “Comprehensive Guide to the RAG Tech Stack.” </w:t>
      </w:r>
      <w:hyperlink r:id="rId37">
        <w:r w:rsidR="00E33E41">
          <w:rPr>
            <w:rStyle w:val="Hyperlink"/>
          </w:rPr>
          <w:t>https://www.useparagon.com/blog/comprehensive-guide-to-the-rag-tech-stack</w:t>
        </w:r>
      </w:hyperlink>
      <w:r>
        <w:t>.</w:t>
      </w:r>
    </w:p>
    <w:p w14:paraId="3BD95A3D" w14:textId="77777777" w:rsidR="00E33E41" w:rsidRDefault="00000000" w:rsidP="00E50205">
      <w:pPr>
        <w:pStyle w:val="Bibliography"/>
      </w:pPr>
      <w:bookmarkStart w:id="80" w:name="ref-medrxiv2025"/>
      <w:bookmarkEnd w:id="79"/>
      <w:r>
        <w:t xml:space="preserve">Park, Hannah, Mason Rees, Noah Kruger, Kelly Fuse, and Victor M. Castro. 2025. “A Comprehensive Evaluation of LLM Phenotyping Using Retrieval-Augmented Generation (RAG): Insights for RAG Optimization.” </w:t>
      </w:r>
      <w:proofErr w:type="spellStart"/>
      <w:r>
        <w:rPr>
          <w:i/>
          <w:iCs/>
        </w:rPr>
        <w:t>medRxiv</w:t>
      </w:r>
      <w:proofErr w:type="spellEnd"/>
      <w:r>
        <w:t xml:space="preserve">, ahead of print. </w:t>
      </w:r>
      <w:hyperlink r:id="rId38">
        <w:r w:rsidR="00E33E41">
          <w:rPr>
            <w:rStyle w:val="Hyperlink"/>
          </w:rPr>
          <w:t>https://doi.org/10.1101/2025.04.29.25326696</w:t>
        </w:r>
      </w:hyperlink>
      <w:r>
        <w:t>.</w:t>
      </w:r>
    </w:p>
    <w:p w14:paraId="1C679FE4" w14:textId="77777777" w:rsidR="00E33E41" w:rsidRDefault="00000000" w:rsidP="00E50205">
      <w:pPr>
        <w:pStyle w:val="Bibliography"/>
      </w:pPr>
      <w:bookmarkStart w:id="81" w:name="ref-promptingguide_rag2024"/>
      <w:bookmarkEnd w:id="80"/>
      <w:r>
        <w:t xml:space="preserve">Promptingguide.ai. 2024a. “Retrieval Augmented Generation (RAG) Evaluation.” </w:t>
      </w:r>
      <w:hyperlink r:id="rId39">
        <w:r w:rsidR="00E33E41">
          <w:rPr>
            <w:rStyle w:val="Hyperlink"/>
          </w:rPr>
          <w:t>https://www.promptingguide.ai/research/rag</w:t>
        </w:r>
      </w:hyperlink>
      <w:r>
        <w:t>.</w:t>
      </w:r>
    </w:p>
    <w:p w14:paraId="4E6DBD7A" w14:textId="77777777" w:rsidR="00E33E41" w:rsidRDefault="00000000" w:rsidP="00E50205">
      <w:pPr>
        <w:pStyle w:val="Bibliography"/>
      </w:pPr>
      <w:bookmarkStart w:id="82" w:name="ref-promptingguide2024"/>
      <w:bookmarkEnd w:id="81"/>
      <w:r>
        <w:t xml:space="preserve">Promptingguide.ai. 2024b. “Retrieval Augmented Generation (RAG) for LLMs.” </w:t>
      </w:r>
      <w:hyperlink r:id="rId40">
        <w:r w:rsidR="00E33E41">
          <w:rPr>
            <w:rStyle w:val="Hyperlink"/>
          </w:rPr>
          <w:t>https://www.promptingguide.ai/research/rag</w:t>
        </w:r>
      </w:hyperlink>
      <w:r>
        <w:t>.</w:t>
      </w:r>
    </w:p>
    <w:p w14:paraId="6C69B415" w14:textId="1A16F11A" w:rsidR="006845A5" w:rsidRDefault="006845A5" w:rsidP="00E50205">
      <w:pPr>
        <w:pStyle w:val="Bibliography"/>
      </w:pPr>
      <w:r w:rsidRPr="006845A5">
        <w:t>Reimers, Nils, and Iryna Gurevych. "Sentence-</w:t>
      </w:r>
      <w:proofErr w:type="spellStart"/>
      <w:r w:rsidRPr="006845A5">
        <w:t>bert</w:t>
      </w:r>
      <w:proofErr w:type="spellEnd"/>
      <w:r w:rsidRPr="006845A5">
        <w:t xml:space="preserve">: Sentence embeddings using </w:t>
      </w:r>
      <w:proofErr w:type="spellStart"/>
      <w:r w:rsidRPr="006845A5">
        <w:t>siamese</w:t>
      </w:r>
      <w:proofErr w:type="spellEnd"/>
      <w:r w:rsidRPr="006845A5">
        <w:t xml:space="preserve"> </w:t>
      </w:r>
      <w:proofErr w:type="spellStart"/>
      <w:r w:rsidRPr="006845A5">
        <w:t>bert</w:t>
      </w:r>
      <w:proofErr w:type="spellEnd"/>
      <w:r w:rsidRPr="006845A5">
        <w:t>-networks." </w:t>
      </w:r>
      <w:r w:rsidRPr="006845A5">
        <w:rPr>
          <w:i/>
          <w:iCs/>
        </w:rPr>
        <w:t>Proceedings of the 2019 conference on empirical methods in natural language processing and the 9th international joint conference on natural language processing (EMNLP-IJCNLP)</w:t>
      </w:r>
      <w:r w:rsidRPr="006845A5">
        <w:t>. 2019.</w:t>
      </w:r>
    </w:p>
    <w:p w14:paraId="630ACE61" w14:textId="77777777" w:rsidR="00E33E41" w:rsidRDefault="00000000" w:rsidP="00E50205">
      <w:pPr>
        <w:pStyle w:val="Bibliography"/>
      </w:pPr>
      <w:bookmarkStart w:id="83" w:name="ref-ares2024"/>
      <w:bookmarkEnd w:id="82"/>
      <w:r>
        <w:t xml:space="preserve">Saad-Falcon, Jon, Omar Khattab, Christopher Potts, and Matei Zaharia. 2024. “ARES: An Automated Evaluation Framework for Retrieval-Augmented Generation Systems.” </w:t>
      </w:r>
      <w:proofErr w:type="spellStart"/>
      <w:r>
        <w:rPr>
          <w:i/>
          <w:iCs/>
        </w:rPr>
        <w:t>arXiv</w:t>
      </w:r>
      <w:proofErr w:type="spellEnd"/>
      <w:r>
        <w:rPr>
          <w:i/>
          <w:iCs/>
        </w:rPr>
        <w:t xml:space="preserve"> Preprint arXiv:2311.09476</w:t>
      </w:r>
      <w:r>
        <w:t xml:space="preserve">. </w:t>
      </w:r>
      <w:hyperlink r:id="rId41">
        <w:r w:rsidR="00E33E41">
          <w:rPr>
            <w:rStyle w:val="Hyperlink"/>
          </w:rPr>
          <w:t>https://arxiv.org/html/2311.09476v2</w:t>
        </w:r>
      </w:hyperlink>
      <w:r>
        <w:t>.</w:t>
      </w:r>
    </w:p>
    <w:p w14:paraId="44CF7CC0" w14:textId="104C6D0B" w:rsidR="002D6BEF" w:rsidRDefault="002D6BEF" w:rsidP="00E50205">
      <w:pPr>
        <w:pStyle w:val="Bibliography"/>
      </w:pPr>
      <w:r w:rsidRPr="002D6BEF">
        <w:t xml:space="preserve">Shao, Zhihong, </w:t>
      </w:r>
      <w:proofErr w:type="spellStart"/>
      <w:r w:rsidRPr="002D6BEF">
        <w:t>Yeyun</w:t>
      </w:r>
      <w:proofErr w:type="spellEnd"/>
      <w:r w:rsidRPr="002D6BEF">
        <w:t xml:space="preserve"> Gong, </w:t>
      </w:r>
      <w:proofErr w:type="spellStart"/>
      <w:r w:rsidRPr="002D6BEF">
        <w:t>Yelong</w:t>
      </w:r>
      <w:proofErr w:type="spellEnd"/>
      <w:r w:rsidRPr="002D6BEF">
        <w:t xml:space="preserve"> Shen, </w:t>
      </w:r>
      <w:proofErr w:type="spellStart"/>
      <w:r w:rsidRPr="002D6BEF">
        <w:t>Minlie</w:t>
      </w:r>
      <w:proofErr w:type="spellEnd"/>
      <w:r w:rsidRPr="002D6BEF">
        <w:t xml:space="preserve"> Huang, Nan Duan, and </w:t>
      </w:r>
      <w:proofErr w:type="spellStart"/>
      <w:r w:rsidRPr="002D6BEF">
        <w:t>Weizhu</w:t>
      </w:r>
      <w:proofErr w:type="spellEnd"/>
      <w:r w:rsidRPr="002D6BEF">
        <w:t xml:space="preserve"> Chen. "Enhancing retrieval-augmented large language models with iterative retrieval-generation synergy." In </w:t>
      </w:r>
      <w:r w:rsidRPr="002D6BEF">
        <w:rPr>
          <w:i/>
          <w:iCs/>
        </w:rPr>
        <w:t>Findings of the Association for Computational Linguistics: EMNLP 2023</w:t>
      </w:r>
      <w:r w:rsidRPr="002D6BEF">
        <w:t>, pp. 9248-9274. 2023.</w:t>
      </w:r>
    </w:p>
    <w:p w14:paraId="07E3BA9C" w14:textId="5E3527BF" w:rsidR="00FA0E84" w:rsidRPr="00FA0E84" w:rsidRDefault="00FA0E84" w:rsidP="00E50205">
      <w:pPr>
        <w:pStyle w:val="Bibliography"/>
        <w:rPr>
          <w:lang w:val="en-AU"/>
        </w:rPr>
      </w:pPr>
      <w:r w:rsidRPr="00FA0E84">
        <w:rPr>
          <w:lang w:val="en-AU"/>
        </w:rPr>
        <w:t xml:space="preserve">Singh, Aditi, Abul Ehtesham, Saket Kumar, Tala Talaei </w:t>
      </w:r>
      <w:proofErr w:type="spellStart"/>
      <w:r w:rsidRPr="00FA0E84">
        <w:rPr>
          <w:lang w:val="en-AU"/>
        </w:rPr>
        <w:t>Khoei</w:t>
      </w:r>
      <w:proofErr w:type="spellEnd"/>
      <w:r w:rsidRPr="00FA0E84">
        <w:rPr>
          <w:lang w:val="en-AU"/>
        </w:rPr>
        <w:t>, and Athanasios V. Vasilakos. 2025.</w:t>
      </w:r>
      <w:r>
        <w:rPr>
          <w:lang w:val="en-AU"/>
        </w:rPr>
        <w:t xml:space="preserve"> </w:t>
      </w:r>
      <w:r w:rsidRPr="00FA0E84">
        <w:rPr>
          <w:i/>
          <w:iCs/>
          <w:lang w:val="en-AU"/>
        </w:rPr>
        <w:t>“Agentic Retrieval-Augmented Generation: A Survey on Agentic RAG.”</w:t>
      </w:r>
      <w:r w:rsidRPr="00FA0E84">
        <w:rPr>
          <w:lang w:val="en-AU"/>
        </w:rPr>
        <w:t xml:space="preserve"> </w:t>
      </w:r>
      <w:proofErr w:type="spellStart"/>
      <w:r w:rsidRPr="00FA0E84">
        <w:rPr>
          <w:lang w:val="en-AU"/>
        </w:rPr>
        <w:t>arXiv</w:t>
      </w:r>
      <w:proofErr w:type="spellEnd"/>
      <w:r w:rsidRPr="00FA0E84">
        <w:rPr>
          <w:lang w:val="en-AU"/>
        </w:rPr>
        <w:t xml:space="preserve"> preprint arXiv:2501.09136.</w:t>
      </w:r>
    </w:p>
    <w:p w14:paraId="309C5002" w14:textId="77777777" w:rsidR="00E33E41" w:rsidRDefault="00000000" w:rsidP="00E50205">
      <w:pPr>
        <w:pStyle w:val="Bibliography"/>
      </w:pPr>
      <w:bookmarkStart w:id="84" w:name="ref-stackoverflow2023"/>
      <w:bookmarkEnd w:id="83"/>
      <w:r>
        <w:lastRenderedPageBreak/>
        <w:t xml:space="preserve">Stack Overflow. 2023. “Retrieval Augmented Generation: Keeping LLMs Relevant and Current.” </w:t>
      </w:r>
      <w:hyperlink r:id="rId42">
        <w:r w:rsidR="00E33E41">
          <w:rPr>
            <w:rStyle w:val="Hyperlink"/>
          </w:rPr>
          <w:t>https://stackoverflow.blog/2023/10/18/retrieval-augmented-generation-keeping-llms-relevant-and-current</w:t>
        </w:r>
      </w:hyperlink>
      <w:r>
        <w:t>.</w:t>
      </w:r>
    </w:p>
    <w:p w14:paraId="787F1A5A" w14:textId="055A2843" w:rsidR="00505B24" w:rsidRDefault="00505B24" w:rsidP="00E50205">
      <w:pPr>
        <w:pStyle w:val="Bibliography"/>
      </w:pPr>
      <w:r w:rsidRPr="00505B24">
        <w:t>Thakur, Nandan, Nils Reimers, Andreas Rücklé, Abhishek Srivastava, and Iryna Gurevych. "</w:t>
      </w:r>
      <w:proofErr w:type="spellStart"/>
      <w:r w:rsidRPr="00505B24">
        <w:t>Beir</w:t>
      </w:r>
      <w:proofErr w:type="spellEnd"/>
      <w:r w:rsidRPr="00505B24">
        <w:t>: A heterogenous benchmark for zero-shot evaluation of information retrieval models." </w:t>
      </w:r>
      <w:proofErr w:type="spellStart"/>
      <w:r w:rsidRPr="00505B24">
        <w:rPr>
          <w:i/>
          <w:iCs/>
        </w:rPr>
        <w:t>arXiv</w:t>
      </w:r>
      <w:proofErr w:type="spellEnd"/>
      <w:r w:rsidRPr="00505B24">
        <w:rPr>
          <w:i/>
          <w:iCs/>
        </w:rPr>
        <w:t xml:space="preserve"> preprint arXiv:2104.08663</w:t>
      </w:r>
      <w:r w:rsidRPr="00505B24">
        <w:t> (2021).</w:t>
      </w:r>
    </w:p>
    <w:p w14:paraId="77B61E5C" w14:textId="77777777" w:rsidR="00E33E41" w:rsidRDefault="00000000" w:rsidP="00E50205">
      <w:pPr>
        <w:pStyle w:val="Bibliography"/>
      </w:pPr>
      <w:bookmarkStart w:id="85" w:name="ref-touvron2023"/>
      <w:bookmarkEnd w:id="84"/>
      <w:proofErr w:type="spellStart"/>
      <w:r>
        <w:t>Touvron</w:t>
      </w:r>
      <w:proofErr w:type="spellEnd"/>
      <w:r>
        <w:t>, Hugo, Thibaut Lavril, Gautier Izacard, et al. 2023. “</w:t>
      </w:r>
      <w:proofErr w:type="spellStart"/>
      <w:r>
        <w:t>LLaMA</w:t>
      </w:r>
      <w:proofErr w:type="spellEnd"/>
      <w:r>
        <w:t xml:space="preserve">: Open and Efficient Foundation Language Models.” </w:t>
      </w:r>
      <w:proofErr w:type="spellStart"/>
      <w:r>
        <w:rPr>
          <w:i/>
          <w:iCs/>
        </w:rPr>
        <w:t>arXiv</w:t>
      </w:r>
      <w:proofErr w:type="spellEnd"/>
      <w:r>
        <w:rPr>
          <w:i/>
          <w:iCs/>
        </w:rPr>
        <w:t xml:space="preserve"> Preprint arXiv:2302.13971</w:t>
      </w:r>
      <w:r>
        <w:t xml:space="preserve">. </w:t>
      </w:r>
      <w:hyperlink r:id="rId43">
        <w:r w:rsidR="00E33E41">
          <w:rPr>
            <w:rStyle w:val="Hyperlink"/>
          </w:rPr>
          <w:t>https://arxiv.org/abs/2302.13971</w:t>
        </w:r>
      </w:hyperlink>
      <w:r>
        <w:t>.</w:t>
      </w:r>
    </w:p>
    <w:p w14:paraId="20B7B41F" w14:textId="77777777" w:rsidR="00E33E41" w:rsidRDefault="00000000" w:rsidP="00E50205">
      <w:pPr>
        <w:pStyle w:val="Bibliography"/>
      </w:pPr>
      <w:bookmarkStart w:id="86" w:name="ref-vanroo2025"/>
      <w:bookmarkEnd w:id="85"/>
      <w:r>
        <w:t xml:space="preserve">Van Roo, Ben. 2025. “NIPRGPT: Success, Criticism, and Future.” </w:t>
      </w:r>
      <w:hyperlink r:id="rId44">
        <w:r w:rsidR="00E33E41">
          <w:rPr>
            <w:rStyle w:val="Hyperlink"/>
          </w:rPr>
          <w:t>https://benvanroo.substack.com/p/niprgpt-success-criticism-and-future</w:t>
        </w:r>
      </w:hyperlink>
      <w:r>
        <w:t>.</w:t>
      </w:r>
    </w:p>
    <w:p w14:paraId="4285D71D" w14:textId="77777777" w:rsidR="00E33E41" w:rsidRDefault="00000000" w:rsidP="00E50205">
      <w:pPr>
        <w:pStyle w:val="Bibliography"/>
      </w:pPr>
      <w:bookmarkStart w:id="87" w:name="ref-wampler2026"/>
      <w:bookmarkEnd w:id="86"/>
      <w:r>
        <w:t xml:space="preserve">Wampler, Daniel, Daniel Nielson, and Arash </w:t>
      </w:r>
      <w:proofErr w:type="spellStart"/>
      <w:r>
        <w:t>Seddighi</w:t>
      </w:r>
      <w:proofErr w:type="spellEnd"/>
      <w:r>
        <w:t xml:space="preserve">. 2026. “Engineering the RAG Stack: A Comprehensive Review of the Architecture and Trust Frameworks for Retrieval-Augmented Generation Systems.” </w:t>
      </w:r>
      <w:proofErr w:type="spellStart"/>
      <w:r>
        <w:rPr>
          <w:i/>
          <w:iCs/>
        </w:rPr>
        <w:t>arXiv</w:t>
      </w:r>
      <w:proofErr w:type="spellEnd"/>
      <w:r>
        <w:rPr>
          <w:i/>
          <w:iCs/>
        </w:rPr>
        <w:t xml:space="preserve"> Preprint arXiv:2601.05264</w:t>
      </w:r>
      <w:r>
        <w:t xml:space="preserve">. </w:t>
      </w:r>
      <w:hyperlink r:id="rId45">
        <w:r w:rsidR="00E33E41">
          <w:rPr>
            <w:rStyle w:val="Hyperlink"/>
          </w:rPr>
          <w:t>https://arxiv.org/abs/2601.05264</w:t>
        </w:r>
      </w:hyperlink>
      <w:r>
        <w:t>.</w:t>
      </w:r>
    </w:p>
    <w:p w14:paraId="239A42D0" w14:textId="77777777" w:rsidR="00E33E41" w:rsidRDefault="00000000" w:rsidP="00E50205">
      <w:pPr>
        <w:pStyle w:val="Bibliography"/>
      </w:pPr>
      <w:bookmarkStart w:id="88" w:name="ref-wang2024rag"/>
      <w:bookmarkEnd w:id="87"/>
      <w:r>
        <w:t xml:space="preserve">Wang, Xiaohua, </w:t>
      </w:r>
      <w:proofErr w:type="spellStart"/>
      <w:r>
        <w:t>Zhenghua</w:t>
      </w:r>
      <w:proofErr w:type="spellEnd"/>
      <w:r>
        <w:t xml:space="preserve"> Wang, Xuan Gao, et al. 2024. “Searching for Best Practices in Retrieval-Augmented Generation.” </w:t>
      </w:r>
      <w:proofErr w:type="spellStart"/>
      <w:r>
        <w:rPr>
          <w:i/>
          <w:iCs/>
        </w:rPr>
        <w:t>arXiv</w:t>
      </w:r>
      <w:proofErr w:type="spellEnd"/>
      <w:r>
        <w:rPr>
          <w:i/>
          <w:iCs/>
        </w:rPr>
        <w:t xml:space="preserve"> Preprint arXiv:2407.01219</w:t>
      </w:r>
      <w:r>
        <w:t xml:space="preserve">. </w:t>
      </w:r>
      <w:hyperlink r:id="rId46">
        <w:r w:rsidR="00E33E41">
          <w:rPr>
            <w:rStyle w:val="Hyperlink"/>
          </w:rPr>
          <w:t>https://arxiv.org/abs/2407.01219</w:t>
        </w:r>
      </w:hyperlink>
      <w:r>
        <w:t>.</w:t>
      </w:r>
    </w:p>
    <w:p w14:paraId="7001DFC7" w14:textId="77777777" w:rsidR="00E33E41" w:rsidRDefault="00000000" w:rsidP="00E50205">
      <w:pPr>
        <w:pStyle w:val="Bibliography"/>
      </w:pPr>
      <w:bookmarkStart w:id="89" w:name="ref-wiley2025"/>
      <w:bookmarkEnd w:id="88"/>
      <w:r>
        <w:t xml:space="preserve">Wiley Law. 2025. “Updates to NIST Cybersecurity Guidance May Impact Government Contractors.” </w:t>
      </w:r>
      <w:hyperlink r:id="rId47">
        <w:r w:rsidR="00E33E41">
          <w:rPr>
            <w:rStyle w:val="Hyperlink"/>
          </w:rPr>
          <w:t>https://www.wiley.law/alert-Updates-to-NIST-Cybersecurity-Guidance-May-Impact-Government-Contractors</w:t>
        </w:r>
      </w:hyperlink>
      <w:r>
        <w:t>.</w:t>
      </w:r>
    </w:p>
    <w:p w14:paraId="12F2DAAB" w14:textId="77777777" w:rsidR="00E33E41" w:rsidRDefault="00000000" w:rsidP="00E50205">
      <w:pPr>
        <w:pStyle w:val="Bibliography"/>
      </w:pPr>
      <w:bookmarkStart w:id="90" w:name="ref-yu2025rag"/>
      <w:bookmarkEnd w:id="89"/>
      <w:r>
        <w:t xml:space="preserve">Yu, Hao, Aoran Gan, Kai Zhang, </w:t>
      </w:r>
      <w:proofErr w:type="spellStart"/>
      <w:r>
        <w:t>Shiwei</w:t>
      </w:r>
      <w:proofErr w:type="spellEnd"/>
      <w:r>
        <w:t xml:space="preserve"> Tong, Qi Liu, and </w:t>
      </w:r>
      <w:proofErr w:type="spellStart"/>
      <w:r>
        <w:t>Zhaofeng</w:t>
      </w:r>
      <w:proofErr w:type="spellEnd"/>
      <w:r>
        <w:t xml:space="preserve"> Liu. 2025. “Evaluation of Retrieval-Augmented Generation: A Survey.” </w:t>
      </w:r>
      <w:r>
        <w:rPr>
          <w:i/>
          <w:iCs/>
        </w:rPr>
        <w:t>Big Data: 12th CCF Conference (</w:t>
      </w:r>
      <w:proofErr w:type="spellStart"/>
      <w:r>
        <w:rPr>
          <w:i/>
          <w:iCs/>
        </w:rPr>
        <w:t>BigData</w:t>
      </w:r>
      <w:proofErr w:type="spellEnd"/>
      <w:r>
        <w:rPr>
          <w:i/>
          <w:iCs/>
        </w:rPr>
        <w:t xml:space="preserve"> 2024)</w:t>
      </w:r>
      <w:r>
        <w:t xml:space="preserve">, Communications in computer and information science, vol. 2301: 102–20. </w:t>
      </w:r>
      <w:hyperlink r:id="rId48">
        <w:r w:rsidR="00E33E41">
          <w:rPr>
            <w:rStyle w:val="Hyperlink"/>
          </w:rPr>
          <w:t>https://doi.org/10.1007/978-981-96-1024-2_8</w:t>
        </w:r>
      </w:hyperlink>
      <w:r>
        <w:t>.</w:t>
      </w:r>
    </w:p>
    <w:p w14:paraId="09BB91E4" w14:textId="77777777" w:rsidR="00E33E41" w:rsidRDefault="00000000" w:rsidP="00E50205">
      <w:pPr>
        <w:pStyle w:val="Bibliography"/>
      </w:pPr>
      <w:bookmarkStart w:id="91" w:name="ref-zenml2025"/>
      <w:bookmarkEnd w:id="90"/>
      <w:proofErr w:type="spellStart"/>
      <w:r>
        <w:t>ZenML</w:t>
      </w:r>
      <w:proofErr w:type="spellEnd"/>
      <w:r>
        <w:t xml:space="preserve">. 2025. “We Tried and Tested 10 Best Vector Databases for RAG Pipelines.” </w:t>
      </w:r>
      <w:hyperlink r:id="rId49">
        <w:r w:rsidR="00E33E41">
          <w:rPr>
            <w:rStyle w:val="Hyperlink"/>
          </w:rPr>
          <w:t>https://www.zenml.io/blog/vector-databases-for-rag</w:t>
        </w:r>
      </w:hyperlink>
      <w:r>
        <w:t>.</w:t>
      </w:r>
    </w:p>
    <w:p w14:paraId="31F504ED" w14:textId="3F8462BC" w:rsidR="009A532F" w:rsidRPr="009A532F" w:rsidRDefault="009A532F" w:rsidP="00E50205">
      <w:pPr>
        <w:pStyle w:val="Bibliography"/>
        <w:rPr>
          <w:lang w:val="en-AU"/>
        </w:rPr>
      </w:pPr>
      <w:r w:rsidRPr="009A532F">
        <w:rPr>
          <w:lang w:val="en-AU"/>
        </w:rPr>
        <w:t>Zhao, W. X., Liu, J., Ren, R., and Wen, J.-R. 2024.</w:t>
      </w:r>
      <w:r>
        <w:rPr>
          <w:lang w:val="en-AU"/>
        </w:rPr>
        <w:t xml:space="preserve"> </w:t>
      </w:r>
      <w:r w:rsidRPr="009A532F">
        <w:rPr>
          <w:lang w:val="en-AU"/>
        </w:rPr>
        <w:t>“Dense Text Retrieval based on Pretrained Language Models: A Survey.”</w:t>
      </w:r>
      <w:r>
        <w:rPr>
          <w:lang w:val="en-AU"/>
        </w:rPr>
        <w:t xml:space="preserve"> </w:t>
      </w:r>
      <w:r w:rsidRPr="009A532F">
        <w:rPr>
          <w:i/>
          <w:iCs/>
          <w:lang w:val="en-AU"/>
        </w:rPr>
        <w:t>ACM Transactions on Information Systems (TOIS)</w:t>
      </w:r>
      <w:r w:rsidRPr="009A532F">
        <w:rPr>
          <w:lang w:val="en-AU"/>
        </w:rPr>
        <w:t>, 42(4), Article 89.</w:t>
      </w:r>
    </w:p>
    <w:p w14:paraId="7BD87B0B" w14:textId="77777777" w:rsidR="00E33E41" w:rsidRDefault="00000000" w:rsidP="00E50205">
      <w:pPr>
        <w:pStyle w:val="Bibliography"/>
      </w:pPr>
      <w:bookmarkStart w:id="92" w:name="ref-zou2025"/>
      <w:bookmarkEnd w:id="91"/>
      <w:r>
        <w:t xml:space="preserve">Zou, Wei, </w:t>
      </w:r>
      <w:proofErr w:type="spellStart"/>
      <w:r>
        <w:t>Runpeng</w:t>
      </w:r>
      <w:proofErr w:type="spellEnd"/>
      <w:r>
        <w:t xml:space="preserve"> Geng, Binghui Wang, and </w:t>
      </w:r>
      <w:proofErr w:type="spellStart"/>
      <w:r>
        <w:t>Jinyuan</w:t>
      </w:r>
      <w:proofErr w:type="spellEnd"/>
      <w:r>
        <w:t xml:space="preserve"> Jia. 2025. “</w:t>
      </w:r>
      <w:proofErr w:type="spellStart"/>
      <w:r>
        <w:t>PoisonedRAG</w:t>
      </w:r>
      <w:proofErr w:type="spellEnd"/>
      <w:r>
        <w:t xml:space="preserve">: Knowledge Corruption Attacks to Retrieval-Augmented Generation of Large Language Models.” </w:t>
      </w:r>
      <w:r>
        <w:rPr>
          <w:i/>
          <w:iCs/>
        </w:rPr>
        <w:t>USENIX Security Symposium</w:t>
      </w:r>
      <w:r>
        <w:t xml:space="preserve">. </w:t>
      </w:r>
      <w:hyperlink r:id="rId50">
        <w:r w:rsidR="00E33E41">
          <w:rPr>
            <w:rStyle w:val="Hyperlink"/>
          </w:rPr>
          <w:t>https://www.usenix.org/system/files/usenixsecurity25-zou-poisonedrag.pdf</w:t>
        </w:r>
      </w:hyperlink>
      <w:r>
        <w:t>.</w:t>
      </w:r>
      <w:bookmarkEnd w:id="48"/>
      <w:bookmarkEnd w:id="50"/>
      <w:bookmarkEnd w:id="92"/>
    </w:p>
    <w:sectPr w:rsidR="00E33E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D853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51B62E7"/>
    <w:multiLevelType w:val="hybridMultilevel"/>
    <w:tmpl w:val="05BEC48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27D72A5F"/>
    <w:multiLevelType w:val="hybridMultilevel"/>
    <w:tmpl w:val="4CFA6E8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 w15:restartNumberingAfterBreak="0">
    <w:nsid w:val="52221747"/>
    <w:multiLevelType w:val="hybridMultilevel"/>
    <w:tmpl w:val="721C1C5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 w15:restartNumberingAfterBreak="0">
    <w:nsid w:val="63C140CF"/>
    <w:multiLevelType w:val="hybridMultilevel"/>
    <w:tmpl w:val="FA3A3E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7C71373"/>
    <w:multiLevelType w:val="hybridMultilevel"/>
    <w:tmpl w:val="AA947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7896886">
    <w:abstractNumId w:val="0"/>
  </w:num>
  <w:num w:numId="2" w16cid:durableId="793793403">
    <w:abstractNumId w:val="3"/>
  </w:num>
  <w:num w:numId="3" w16cid:durableId="1955138325">
    <w:abstractNumId w:val="5"/>
  </w:num>
  <w:num w:numId="4" w16cid:durableId="1765226143">
    <w:abstractNumId w:val="2"/>
  </w:num>
  <w:num w:numId="5" w16cid:durableId="1676228538">
    <w:abstractNumId w:val="1"/>
  </w:num>
  <w:num w:numId="6" w16cid:durableId="1407801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33E41"/>
    <w:rsid w:val="000E26AC"/>
    <w:rsid w:val="00167ED9"/>
    <w:rsid w:val="001E167C"/>
    <w:rsid w:val="00231B0E"/>
    <w:rsid w:val="00277653"/>
    <w:rsid w:val="0028070B"/>
    <w:rsid w:val="002D6BEF"/>
    <w:rsid w:val="003D5C99"/>
    <w:rsid w:val="003F0EAB"/>
    <w:rsid w:val="004251D0"/>
    <w:rsid w:val="004F76AF"/>
    <w:rsid w:val="00505B24"/>
    <w:rsid w:val="005A6F77"/>
    <w:rsid w:val="005C08FD"/>
    <w:rsid w:val="006845A5"/>
    <w:rsid w:val="006D6004"/>
    <w:rsid w:val="00736570"/>
    <w:rsid w:val="00824F91"/>
    <w:rsid w:val="008474F3"/>
    <w:rsid w:val="008D6537"/>
    <w:rsid w:val="0099261F"/>
    <w:rsid w:val="009A532F"/>
    <w:rsid w:val="009B61AF"/>
    <w:rsid w:val="00A6768F"/>
    <w:rsid w:val="00A83F97"/>
    <w:rsid w:val="00A84AB6"/>
    <w:rsid w:val="00A85B44"/>
    <w:rsid w:val="00AF3C91"/>
    <w:rsid w:val="00B21A12"/>
    <w:rsid w:val="00BD66B5"/>
    <w:rsid w:val="00CD4B49"/>
    <w:rsid w:val="00D8771C"/>
    <w:rsid w:val="00DB19A5"/>
    <w:rsid w:val="00E33E41"/>
    <w:rsid w:val="00E50205"/>
    <w:rsid w:val="00EF3EC2"/>
    <w:rsid w:val="00F13F64"/>
    <w:rsid w:val="00FA0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0385"/>
  <w15:docId w15:val="{E63391A9-7DD6-4E76-9757-4CC0237B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845A5"/>
    <w:rPr>
      <w:color w:val="605E5C"/>
      <w:shd w:val="clear" w:color="auto" w:fill="E1DFDD"/>
    </w:rPr>
  </w:style>
  <w:style w:type="paragraph" w:styleId="ListParagraph">
    <w:name w:val="List Paragraph"/>
    <w:basedOn w:val="Normal"/>
    <w:rsid w:val="000E26AC"/>
    <w:pPr>
      <w:ind w:left="720"/>
      <w:contextualSpacing/>
    </w:pPr>
  </w:style>
  <w:style w:type="character" w:styleId="CommentReference">
    <w:name w:val="annotation reference"/>
    <w:basedOn w:val="DefaultParagraphFont"/>
    <w:rsid w:val="003D5C99"/>
    <w:rPr>
      <w:sz w:val="16"/>
      <w:szCs w:val="16"/>
    </w:rPr>
  </w:style>
  <w:style w:type="paragraph" w:styleId="CommentText">
    <w:name w:val="annotation text"/>
    <w:basedOn w:val="Normal"/>
    <w:link w:val="CommentTextChar"/>
    <w:rsid w:val="003D5C99"/>
    <w:rPr>
      <w:sz w:val="20"/>
      <w:szCs w:val="20"/>
    </w:rPr>
  </w:style>
  <w:style w:type="character" w:customStyle="1" w:styleId="CommentTextChar">
    <w:name w:val="Comment Text Char"/>
    <w:basedOn w:val="DefaultParagraphFont"/>
    <w:link w:val="CommentText"/>
    <w:rsid w:val="003D5C99"/>
    <w:rPr>
      <w:sz w:val="20"/>
      <w:szCs w:val="20"/>
    </w:rPr>
  </w:style>
  <w:style w:type="paragraph" w:styleId="CommentSubject">
    <w:name w:val="annotation subject"/>
    <w:basedOn w:val="CommentText"/>
    <w:next w:val="CommentText"/>
    <w:link w:val="CommentSubjectChar"/>
    <w:rsid w:val="003D5C99"/>
    <w:rPr>
      <w:b/>
      <w:bCs/>
    </w:rPr>
  </w:style>
  <w:style w:type="character" w:customStyle="1" w:styleId="CommentSubjectChar">
    <w:name w:val="Comment Subject Char"/>
    <w:basedOn w:val="CommentTextChar"/>
    <w:link w:val="CommentSubject"/>
    <w:rsid w:val="003D5C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bdcc9120320" TargetMode="External"/><Relationship Id="rId18" Type="http://schemas.openxmlformats.org/officeDocument/2006/relationships/hyperlink" Target="https://defensescoop.com/2025/12/09/genai-mil-platform-dod-commercial-ai-models-agentic-tools-google-gemini" TargetMode="External"/><Relationship Id="rId26" Type="http://schemas.openxmlformats.org/officeDocument/2006/relationships/hyperlink" Target="https://grsee.com/resources/fed-assess/dod-cloud-security-requirements-how-to-secure-cloud-adoption" TargetMode="External"/><Relationship Id="rId39" Type="http://schemas.openxmlformats.org/officeDocument/2006/relationships/hyperlink" Target="https://www.promptingguide.ai/research/rag" TargetMode="External"/><Relationship Id="rId21" Type="http://schemas.openxmlformats.org/officeDocument/2006/relationships/hyperlink" Target="https://media.defense.gov/2026/Jan/08/2003852320/-1/-1/0/CTR_ZERO_TRUST_IMPLEMENTATION_GUIDELINE_PRIMER.PDF" TargetMode="External"/><Relationship Id="rId34" Type="http://schemas.openxmlformats.org/officeDocument/2006/relationships/hyperlink" Target="https://www.nist.gov/itl/ai-risk-management-framework" TargetMode="External"/><Relationship Id="rId42" Type="http://schemas.openxmlformats.org/officeDocument/2006/relationships/hyperlink" Target="https://stackoverflow.blog/2023/10/18/retrieval-augmented-generation-keeping-llms-relevant-and-current" TargetMode="External"/><Relationship Id="rId47" Type="http://schemas.openxmlformats.org/officeDocument/2006/relationships/hyperlink" Target="https://www.wiley.law/alert-Updates-to-NIST-Cybersecurity-Guidance-May-Impact-Government-Contractors" TargetMode="External"/><Relationship Id="rId50" Type="http://schemas.openxmlformats.org/officeDocument/2006/relationships/hyperlink" Target="https://www.usenix.org/system/files/usenixsecurity25-zou-poisonedrag.pdf"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resources.data.gov/assets/documents/Zero-Trust-DataSecurityGuide_RevisedMay2025_CIO.govVersion.pdf" TargetMode="External"/><Relationship Id="rId29" Type="http://schemas.openxmlformats.org/officeDocument/2006/relationships/hyperlink" Target="https://ijonis.com/en/rag-systems-enterprise" TargetMode="External"/><Relationship Id="rId11" Type="http://schemas.openxmlformats.org/officeDocument/2006/relationships/hyperlink" Target="https://www.asksage.ai/who-we-serve/defense-industrial-base" TargetMode="External"/><Relationship Id="rId24" Type="http://schemas.openxmlformats.org/officeDocument/2006/relationships/hyperlink" Target="https://www.gdit.com/perspectives/latest/how-adaptive-rag-makes-generative-ai-more-reliable-for-defense-missions" TargetMode="External"/><Relationship Id="rId32" Type="http://schemas.openxmlformats.org/officeDocument/2006/relationships/hyperlink" Target="https://techcommunity.microsoft.com/blog/microsoftdefendercloudblog/architecting-trust-a-nist-based-security-governance-framework-for-ai-agents/4490556" TargetMode="External"/><Relationship Id="rId37" Type="http://schemas.openxmlformats.org/officeDocument/2006/relationships/hyperlink" Target="https://www.useparagon.com/blog/comprehensive-guide-to-the-rag-tech-stack" TargetMode="External"/><Relationship Id="rId40" Type="http://schemas.openxmlformats.org/officeDocument/2006/relationships/hyperlink" Target="https://www.promptingguide.ai/research/rag" TargetMode="External"/><Relationship Id="rId45" Type="http://schemas.openxmlformats.org/officeDocument/2006/relationships/hyperlink" Target="https://arxiv.org/abs/2601.05264" TargetMode="External"/><Relationship Id="rId5" Type="http://schemas.openxmlformats.org/officeDocument/2006/relationships/webSettings" Target="webSettings.xml"/><Relationship Id="rId15" Type="http://schemas.openxmlformats.org/officeDocument/2006/relationships/hyperlink" Target="https://www.nber.org/system/files/working_papers/w31161/w31161.pdf" TargetMode="External"/><Relationship Id="rId23" Type="http://schemas.openxmlformats.org/officeDocument/2006/relationships/hyperlink" Target="https://arxiv.org/abs/2312.10997" TargetMode="External"/><Relationship Id="rId28" Type="http://schemas.openxmlformats.org/officeDocument/2006/relationships/hyperlink" Target="https://www.ibm.com/think/architectures/rag-cookbook/orchestration" TargetMode="External"/><Relationship Id="rId36" Type="http://schemas.openxmlformats.org/officeDocument/2006/relationships/hyperlink" Target="https://arxiv.org/abs/2410.12812" TargetMode="External"/><Relationship Id="rId49" Type="http://schemas.openxmlformats.org/officeDocument/2006/relationships/hyperlink" Target="https://www.zenml.io/blog/vector-databases-for-rag" TargetMode="External"/><Relationship Id="rId10" Type="http://schemas.openxmlformats.org/officeDocument/2006/relationships/hyperlink" Target="https://aws.amazon.com/what-is/retrieval-augmented-generation" TargetMode="External"/><Relationship Id="rId19" Type="http://schemas.openxmlformats.org/officeDocument/2006/relationships/hyperlink" Target="https://dev.to/seasia_infotech_899dc2c59/inside-a-production-rag-system-architecture-stack-and-lessons-learned-28h7" TargetMode="External"/><Relationship Id="rId31" Type="http://schemas.openxmlformats.org/officeDocument/2006/relationships/hyperlink" Target="https://arxiv.org/abs/2005.11401" TargetMode="External"/><Relationship Id="rId44" Type="http://schemas.openxmlformats.org/officeDocument/2006/relationships/hyperlink" Target="https://benvanroo.substack.com/p/niprgpt-success-criticism-and-futur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mcpdig.2024.11.005" TargetMode="External"/><Relationship Id="rId14" Type="http://schemas.openxmlformats.org/officeDocument/2006/relationships/hyperlink" Target="https://arxiv.org/abs/2005.14165" TargetMode="External"/><Relationship Id="rId22" Type="http://schemas.openxmlformats.org/officeDocument/2006/relationships/hyperlink" Target="https://domino.ai/blog/domino-automates-the-cdao-ai-test-and-evaluation-framework" TargetMode="External"/><Relationship Id="rId27" Type="http://schemas.openxmlformats.org/officeDocument/2006/relationships/hyperlink" Target="https://www.ibm.com/think/topics/retrieval-augmented-generation" TargetMode="External"/><Relationship Id="rId30" Type="http://schemas.openxmlformats.org/officeDocument/2006/relationships/hyperlink" Target="https://doi.org/10.3390/app16010368" TargetMode="External"/><Relationship Id="rId35" Type="http://schemas.openxmlformats.org/officeDocument/2006/relationships/hyperlink" Target="https://aaf.dau.edu/storage/2025/03/DTE_of_AIES_Guidebook_Final_26Feb25_signed.pdf" TargetMode="External"/><Relationship Id="rId43" Type="http://schemas.openxmlformats.org/officeDocument/2006/relationships/hyperlink" Target="https://arxiv.org/abs/2302.13971" TargetMode="External"/><Relationship Id="rId48" Type="http://schemas.openxmlformats.org/officeDocument/2006/relationships/hyperlink" Target="https://doi.org/10.1007/978-981-96-1024-2_8" TargetMode="Externa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asksage.ai/who-we-serve/defense-industrial-base" TargetMode="External"/><Relationship Id="rId17" Type="http://schemas.openxmlformats.org/officeDocument/2006/relationships/hyperlink" Target="https://arxiv.org/abs/2511.03261" TargetMode="External"/><Relationship Id="rId25" Type="http://schemas.openxmlformats.org/officeDocument/2006/relationships/hyperlink" Target="https://www.gigaspaces.com/blog/best-vector-database-solutions-for-rag-applications" TargetMode="External"/><Relationship Id="rId33" Type="http://schemas.openxmlformats.org/officeDocument/2006/relationships/hyperlink" Target="https://www.nationalacademies.org/read/27092/chapter/3" TargetMode="External"/><Relationship Id="rId38" Type="http://schemas.openxmlformats.org/officeDocument/2006/relationships/hyperlink" Target="https://doi.org/10.1101/2025.04.29.25326696" TargetMode="External"/><Relationship Id="rId46" Type="http://schemas.openxmlformats.org/officeDocument/2006/relationships/hyperlink" Target="https://arxiv.org/abs/2407.01219" TargetMode="External"/><Relationship Id="rId20" Type="http://schemas.openxmlformats.org/officeDocument/2006/relationships/hyperlink" Target="https://dodcio.defense.gov/Portals/0/Documents/Library/AI-CybersecurityRMTailoringGuide.pdf" TargetMode="External"/><Relationship Id="rId41" Type="http://schemas.openxmlformats.org/officeDocument/2006/relationships/hyperlink" Target="https://arxiv.org/html/2311.09476v2"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B0D7-15E3-47FB-BB2F-622845CD9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24</Pages>
  <Words>8794</Words>
  <Characters>59272</Characters>
  <Application>Microsoft Office Word</Application>
  <DocSecurity>0</DocSecurity>
  <Lines>911</Lines>
  <Paragraphs>242</Paragraphs>
  <ScaleCrop>false</ScaleCrop>
  <HeadingPairs>
    <vt:vector size="2" baseType="variant">
      <vt:variant>
        <vt:lpstr>Title</vt:lpstr>
      </vt:variant>
      <vt:variant>
        <vt:i4>1</vt:i4>
      </vt:variant>
    </vt:vector>
  </HeadingPairs>
  <TitlesOfParts>
    <vt:vector size="1" baseType="lpstr">
      <vt:lpstr>RAG for DoW Test &amp; Evaluation: Architecture, Security, and Automated Report Generation</vt:lpstr>
    </vt:vector>
  </TitlesOfParts>
  <Company/>
  <LinksUpToDate>false</LinksUpToDate>
  <CharactersWithSpaces>67824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for DoW Test &amp; Evaluation: Architecture, Security, and Automated Report Generation</dc:title>
  <dc:creator>Michael Soltys; Sam Bright</dc:creator>
  <cp:keywords/>
  <cp:lastModifiedBy>Michael Soltys</cp:lastModifiedBy>
  <cp:revision>13</cp:revision>
  <dcterms:created xsi:type="dcterms:W3CDTF">2026-05-07T23:23:00Z</dcterms:created>
  <dcterms:modified xsi:type="dcterms:W3CDTF">2026-05-10T03:36:00Z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1.0 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vt:lpwstr>
  </property>
  <property fmtid="{D5CDD505-2E9C-101B-9397-08002B2CF9AE}" pid="3" name="bibliography">
    <vt:lpwstr>rag.bib</vt:lpwstr>
  </property>
  <property fmtid="{D5CDD505-2E9C-101B-9397-08002B2CF9AE}" pid="4" name="date">
    <vt:lpwstr>2026-05-07</vt:lpwstr>
  </property>
  <property fmtid="{D5CDD505-2E9C-101B-9397-08002B2CF9AE}" pid="5" name="MSIP_Label_5d072a9f-d341-458c-baa3-f5e3d06613bb_Enabled">
    <vt:lpwstr>true</vt:lpwstr>
  </property>
  <property fmtid="{D5CDD505-2E9C-101B-9397-08002B2CF9AE}" pid="6" name="MSIP_Label_5d072a9f-d341-458c-baa3-f5e3d06613bb_SetDate">
    <vt:lpwstr>2026-05-07T23:25:57Z</vt:lpwstr>
  </property>
  <property fmtid="{D5CDD505-2E9C-101B-9397-08002B2CF9AE}" pid="7" name="MSIP_Label_5d072a9f-d341-458c-baa3-f5e3d06613bb_Method">
    <vt:lpwstr>Standard</vt:lpwstr>
  </property>
  <property fmtid="{D5CDD505-2E9C-101B-9397-08002B2CF9AE}" pid="8" name="MSIP_Label_5d072a9f-d341-458c-baa3-f5e3d06613bb_Name">
    <vt:lpwstr>General</vt:lpwstr>
  </property>
  <property fmtid="{D5CDD505-2E9C-101B-9397-08002B2CF9AE}" pid="9" name="MSIP_Label_5d072a9f-d341-458c-baa3-f5e3d06613bb_SiteId">
    <vt:lpwstr>8d819016-443b-4cae-b645-f22537f48886</vt:lpwstr>
  </property>
  <property fmtid="{D5CDD505-2E9C-101B-9397-08002B2CF9AE}" pid="10" name="MSIP_Label_5d072a9f-d341-458c-baa3-f5e3d06613bb_ActionId">
    <vt:lpwstr>bd4ef12b-83dc-4637-b2c9-2621cbd1c5d3</vt:lpwstr>
  </property>
  <property fmtid="{D5CDD505-2E9C-101B-9397-08002B2CF9AE}" pid="11" name="MSIP_Label_5d072a9f-d341-458c-baa3-f5e3d06613bb_ContentBits">
    <vt:lpwstr>0</vt:lpwstr>
  </property>
  <property fmtid="{D5CDD505-2E9C-101B-9397-08002B2CF9AE}" pid="12" name="MSIP_Label_5d072a9f-d341-458c-baa3-f5e3d06613bb_Tag">
    <vt:lpwstr>10, 3, 0, 1</vt:lpwstr>
  </property>
  <property fmtid="{D5CDD505-2E9C-101B-9397-08002B2CF9AE}" pid="13" name="GrammarlyDocumentId">
    <vt:lpwstr>23c1e5ff-1a39-43bf-be06-5f634073a78f</vt:lpwstr>
  </property>
</Properties>
</file>