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8"/>
          <w:szCs w:val="48"/>
        </w:rPr>
        <w:t xml:space="preserve">Retrieval-Augmented Generation for</w:t>
      </w:r>
    </w:p>
    <w:p>
      <w:pPr>
        <w:spacing w:before="0" w:after="240"/>
        <w:jc w:val="center"/>
      </w:pPr>
      <w:r>
        <w:rPr>
          <w:rFonts w:ascii="Arial" w:cs="Arial" w:eastAsia="Arial" w:hAnsi="Arial"/>
          <w:b/>
          <w:bCs/>
          <w:color w:val="1F3864"/>
          <w:sz w:val="48"/>
          <w:szCs w:val="48"/>
        </w:rPr>
        <w:t xml:space="preserve">Department of Defense Test &amp; Evaluation</w:t>
      </w:r>
    </w:p>
    <w:p>
      <w:pPr>
        <w:spacing w:before="120" w:after="120"/>
        <w:jc w:val="center"/>
      </w:pPr>
      <w:r>
        <w:rPr>
          <w:rFonts w:ascii="Arial" w:cs="Arial" w:eastAsia="Arial" w:hAnsi="Arial"/>
          <w:i/>
          <w:iCs/>
          <w:color w:val="2F5496"/>
          <w:sz w:val="28"/>
          <w:szCs w:val="28"/>
        </w:rPr>
        <w:t xml:space="preserve">Architecture, Security, and Automated Report Generation</w:t>
      </w:r>
    </w:p>
    <w:p>
      <w:pPr>
        <w:pBdr>
          <w:bottom w:val="single" w:color="2E75B6" w:sz="6" w:space="1"/>
        </w:pBdr>
        <w:spacing w:before="60" w:after="360"/>
        <w:jc w:val="center"/>
      </w:pPr>
      <w:r>
        <w:t xml:space="preserve"/>
      </w:r>
    </w:p>
    <w:p>
      <w:pPr>
        <w:spacing w:before="240" w:after="120"/>
        <w:jc w:val="center"/>
      </w:pPr>
      <w:r>
        <w:rPr>
          <w:rFonts w:ascii="Arial" w:cs="Arial" w:eastAsia="Arial" w:hAnsi="Arial"/>
          <w:b/>
          <w:bCs/>
          <w:sz w:val="24"/>
          <w:szCs w:val="24"/>
        </w:rPr>
        <w:t xml:space="preserve">Research Paper Outline with Annotated Bibliography</w:t>
      </w:r>
    </w:p>
    <w:p>
      <w:pPr>
        <w:spacing w:before="60" w:after="60"/>
        <w:jc w:val="center"/>
      </w:pPr>
      <w:r>
        <w:rPr>
          <w:rFonts w:ascii="Arial" w:cs="Arial" w:eastAsia="Arial" w:hAnsi="Arial"/>
          <w:sz w:val="22"/>
          <w:szCs w:val="22"/>
        </w:rPr>
        <w:t xml:space="preserve">Prepared for: [Organization / Program Office]</w:t>
      </w:r>
    </w:p>
    <w:p>
      <w:pPr>
        <w:spacing w:before="60" w:after="60"/>
        <w:jc w:val="center"/>
      </w:pPr>
      <w:r>
        <w:rPr>
          <w:rFonts w:ascii="Arial" w:cs="Arial" w:eastAsia="Arial" w:hAnsi="Arial"/>
          <w:b/>
          <w:bCs/>
          <w:color w:val="CC0000"/>
          <w:sz w:val="22"/>
          <w:szCs w:val="22"/>
        </w:rPr>
        <w:t xml:space="preserve">Classification: UNCLASSIFIED // FOR OFFICIAL USE ONLY (DRAFT)</w:t>
      </w:r>
    </w:p>
    <w:p>
      <w:pPr>
        <w:spacing w:before="60" w:after="60"/>
        <w:jc w:val="center"/>
      </w:pPr>
      <w:r>
        <w:rPr>
          <w:rFonts w:ascii="Arial" w:cs="Arial" w:eastAsia="Arial" w:hAnsi="Arial"/>
          <w:sz w:val="22"/>
          <w:szCs w:val="22"/>
        </w:rPr>
        <w:t xml:space="preserve">Date: March 2026</w:t>
      </w:r>
    </w:p>
    <w:p>
      <w:pPr>
        <w:spacing w:before="60" w:after="60"/>
      </w:pPr>
      <w:r>
        <w:t xml:space="preserve"/>
      </w:r>
    </w:p>
    <w:p>
      <w:pPr>
        <w:pStyle w:val="Heading1"/>
        <w:spacing w:before="360" w:after="120"/>
      </w:pPr>
      <w:r>
        <w:rPr>
          <w:rFonts w:ascii="Arial" w:cs="Arial" w:eastAsia="Arial" w:hAnsi="Arial"/>
          <w:b/>
          <w:bCs/>
          <w:sz w:val="32"/>
          <w:szCs w:val="32"/>
        </w:rPr>
        <w:t xml:space="preserve">Abstract</w:t>
      </w:r>
    </w:p>
    <w:p>
      <w:pPr>
        <w:spacing w:before="60" w:after="60"/>
      </w:pPr>
      <w:r>
        <w:rPr>
          <w:rFonts w:ascii="Arial" w:cs="Arial" w:eastAsia="Arial" w:hAnsi="Arial"/>
          <w:sz w:val="22"/>
          <w:szCs w:val="22"/>
        </w:rPr>
        <w:t xml:space="preserve">This paper presents a comprehensive examination of Retrieval-Augmented Generation (RAG) as a production-deployable AI capability for Department of Defense (DoD) Test and Evaluation (T&amp;E) programs. The paper is organized around four core arguments: (1) RAG architecturally outperforms general-purpose Large Language Models (LLMs) for domain-specific T&amp;E tasks by grounding inference in authoritative, mission-curated knowledge bases rather than relying solely on parametric memory; (2) production DoD RAG systems require a specific, layered architecture spanning document ingestion, vector indexing, retrieval orchestration, generation, and observability, deployable across cloud impact levels IL4 through IL6; (3) operating RAG with Controlled Unclassified Information (CUI) and classified data requires a security control regime drawn from NIST SP 800-53, the DoD Risk Management Framework (RMF), CMMC, Zero Trust Architecture (ZTA) principles, and DISA impact-level guidance; and (4) few-shot prompting transforms a RAG question-answering pipeline into a structured, automated report generation capability that materially reduces analyst workload and accelerates T&amp;E deliverables such as Test Plans, Test Reports, and Interim Fielding Assessments. Together these arguments establish the theoretical and practical foundation for a full-lifecycle RAG deployment within a DoD T&amp;E enterprise.</w:t>
      </w:r>
    </w:p>
    <w:p>
      <w:pPr>
        <w:spacing w:before="60" w:after="60"/>
      </w:pPr>
      <w:r>
        <w:t xml:space="preserve"/>
      </w:r>
    </w:p>
    <w:p>
      <w:pPr>
        <w:pStyle w:val="Heading1"/>
        <w:spacing w:before="360" w:after="120"/>
      </w:pPr>
      <w:r>
        <w:rPr>
          <w:rFonts w:ascii="Arial" w:cs="Arial" w:eastAsia="Arial" w:hAnsi="Arial"/>
          <w:b/>
          <w:bCs/>
          <w:sz w:val="32"/>
          <w:szCs w:val="32"/>
        </w:rPr>
        <w:t xml:space="preserve">Section I: How RAG Works and Why It Outperforms General-Purpose LLMs for Domain-Specific T&amp;E Tasks</w:t>
      </w:r>
    </w:p>
    <w:p>
      <w:pPr>
        <w:pStyle w:val="Heading2"/>
        <w:spacing w:before="240" w:after="80"/>
      </w:pPr>
      <w:r>
        <w:rPr>
          <w:rFonts w:ascii="Arial" w:cs="Arial" w:eastAsia="Arial" w:hAnsi="Arial"/>
          <w:b/>
          <w:bCs/>
          <w:sz w:val="26"/>
          <w:szCs w:val="26"/>
        </w:rPr>
        <w:t xml:space="preserve">I.A  The Fundamental Limitations of Parametric-Only LLMs in T&amp;E Contexts</w:t>
      </w:r>
    </w:p>
    <w:p>
      <w:pPr>
        <w:pStyle w:val="ListParagraph"/>
        <w:numPr>
          <w:ilvl w:val="0"/>
          <w:numId w:val="2"/>
        </w:numPr>
        <w:spacing w:before="40" w:after="40"/>
      </w:pPr>
      <w:r>
        <w:rPr>
          <w:rFonts w:ascii="Arial" w:cs="Arial" w:eastAsia="Arial" w:hAnsi="Arial"/>
          <w:sz w:val="22"/>
          <w:szCs w:val="22"/>
        </w:rPr>
        <w:t xml:space="preserve">LLMs store knowledge in fixed model weights trained on a static corpus; once training ends, the model cannot access updated information without retraining (Lewis et al., 2020; Gao et al., 2023).</w:t>
      </w:r>
    </w:p>
    <w:p>
      <w:pPr>
        <w:pStyle w:val="ListParagraph"/>
        <w:numPr>
          <w:ilvl w:val="0"/>
          <w:numId w:val="2"/>
        </w:numPr>
        <w:spacing w:before="40" w:after="40"/>
      </w:pPr>
      <w:r>
        <w:rPr>
          <w:rFonts w:ascii="Arial" w:cs="Arial" w:eastAsia="Arial" w:hAnsi="Arial"/>
          <w:sz w:val="22"/>
          <w:szCs w:val="22"/>
        </w:rPr>
        <w:t xml:space="preserve">For T&amp;E environments, this creates three acute failure modes:</w:t>
      </w:r>
    </w:p>
    <w:p>
      <w:pPr>
        <w:pStyle w:val="ListParagraph"/>
        <w:numPr>
          <w:ilvl w:val="1"/>
          <w:numId w:val="2"/>
        </w:numPr>
        <w:spacing w:before="40" w:after="40"/>
      </w:pPr>
      <w:r>
        <w:rPr>
          <w:rFonts w:ascii="Arial" w:cs="Arial" w:eastAsia="Arial" w:hAnsi="Arial"/>
          <w:sz w:val="22"/>
          <w:szCs w:val="22"/>
        </w:rPr>
        <w:t xml:space="preserve">Knowledge staleness: test procedures, system specifications, and MIL-STDs evolve continuously; a static LLM cannot track these updates without costly fine-tuning cycles.</w:t>
      </w:r>
    </w:p>
    <w:p>
      <w:pPr>
        <w:pStyle w:val="ListParagraph"/>
        <w:numPr>
          <w:ilvl w:val="1"/>
          <w:numId w:val="2"/>
        </w:numPr>
        <w:spacing w:before="40" w:after="40"/>
      </w:pPr>
      <w:r>
        <w:rPr>
          <w:rFonts w:ascii="Arial" w:cs="Arial" w:eastAsia="Arial" w:hAnsi="Arial"/>
          <w:sz w:val="22"/>
          <w:szCs w:val="22"/>
        </w:rPr>
        <w:t xml:space="preserve">Hallucination under domain sparsity: when a model lacks sufficient domain-specific training data it generates plausible-sounding but factually incorrect outputs—a critical risk in safety-critical T&amp;E reporting (Wikipedia, RAG entry, 2026).</w:t>
      </w:r>
    </w:p>
    <w:p>
      <w:pPr>
        <w:pStyle w:val="ListParagraph"/>
        <w:numPr>
          <w:ilvl w:val="1"/>
          <w:numId w:val="2"/>
        </w:numPr>
        <w:spacing w:before="40" w:after="40"/>
      </w:pPr>
      <w:r>
        <w:rPr>
          <w:rFonts w:ascii="Arial" w:cs="Arial" w:eastAsia="Arial" w:hAnsi="Arial"/>
          <w:sz w:val="22"/>
          <w:szCs w:val="22"/>
        </w:rPr>
        <w:t xml:space="preserve">Non-traceability: outputs from pure LLMs cannot be traced to a specific authoritative source, violating DoD documentation standards that require cited, auditable evidence.</w:t>
      </w:r>
    </w:p>
    <w:p>
      <w:pPr>
        <w:pStyle w:val="ListParagraph"/>
        <w:numPr>
          <w:ilvl w:val="0"/>
          <w:numId w:val="2"/>
        </w:numPr>
        <w:spacing w:before="40" w:after="40"/>
      </w:pPr>
      <w:r>
        <w:rPr>
          <w:rFonts w:ascii="Arial" w:cs="Arial" w:eastAsia="Arial" w:hAnsi="Arial"/>
          <w:sz w:val="22"/>
          <w:szCs w:val="22"/>
        </w:rPr>
        <w:t xml:space="preserve">Fine-tuning as an alternative incurs high retraining compute costs, degrades performance on tasks outside the fine-tuned domain, and still cannot access information created after training (Stack Overflow, 2023; F22Labs, 2024).</w:t>
      </w:r>
    </w:p>
    <w:p>
      <w:pPr>
        <w:spacing w:before="60" w:after="60"/>
      </w:pPr>
      <w:r>
        <w:t xml:space="preserve"/>
      </w:r>
    </w:p>
    <w:p>
      <w:pPr>
        <w:pStyle w:val="Heading2"/>
        <w:spacing w:before="240" w:after="80"/>
      </w:pPr>
      <w:r>
        <w:rPr>
          <w:rFonts w:ascii="Arial" w:cs="Arial" w:eastAsia="Arial" w:hAnsi="Arial"/>
          <w:b/>
          <w:bCs/>
          <w:sz w:val="26"/>
          <w:szCs w:val="26"/>
        </w:rPr>
        <w:t xml:space="preserve">I.B  The RAG Paradigm: Architecture and Mechanism</w:t>
      </w:r>
    </w:p>
    <w:p>
      <w:pPr>
        <w:spacing w:before="60" w:after="60"/>
      </w:pPr>
      <w:r>
        <w:rPr>
          <w:rFonts w:ascii="Arial" w:cs="Arial" w:eastAsia="Arial" w:hAnsi="Arial"/>
          <w:sz w:val="22"/>
          <w:szCs w:val="22"/>
        </w:rPr>
        <w:t xml:space="preserve">RAG was first formally introduced by Lewis et al. (2020) at Meta AI Research and has since become the dominant approach for knowledge-grounding LLMs in enterprise and government contexts.</w:t>
      </w:r>
    </w:p>
    <w:p>
      <w:pPr>
        <w:pStyle w:val="Heading3"/>
        <w:spacing w:before="160" w:after="60"/>
      </w:pPr>
      <w:r>
        <w:rPr>
          <w:rFonts w:ascii="Arial" w:cs="Arial" w:eastAsia="Arial" w:hAnsi="Arial"/>
          <w:b/>
          <w:bCs/>
          <w:sz w:val="24"/>
          <w:szCs w:val="24"/>
        </w:rPr>
        <w:t xml:space="preserve">I.B.1  Core RAG Pipeline</w:t>
      </w:r>
    </w:p>
    <w:p>
      <w:pPr>
        <w:pStyle w:val="ListParagraph"/>
        <w:numPr>
          <w:ilvl w:val="0"/>
          <w:numId w:val="2"/>
        </w:numPr>
        <w:spacing w:before="40" w:after="40"/>
      </w:pPr>
      <w:r>
        <w:rPr>
          <w:rFonts w:ascii="Arial" w:cs="Arial" w:eastAsia="Arial" w:hAnsi="Arial"/>
          <w:sz w:val="22"/>
          <w:szCs w:val="22"/>
        </w:rPr>
        <w:t xml:space="preserve">Document ingestion and preprocessing: raw T&amp;E artifacts (test plans, test reports, specifications, CONOPS, MIL-STDs) are parsed, normalized, and segmented into chunks.</w:t>
      </w:r>
    </w:p>
    <w:p>
      <w:pPr>
        <w:pStyle w:val="ListParagraph"/>
        <w:numPr>
          <w:ilvl w:val="0"/>
          <w:numId w:val="2"/>
        </w:numPr>
        <w:spacing w:before="40" w:after="40"/>
      </w:pPr>
      <w:r>
        <w:rPr>
          <w:rFonts w:ascii="Arial" w:cs="Arial" w:eastAsia="Arial" w:hAnsi="Arial"/>
          <w:sz w:val="22"/>
          <w:szCs w:val="22"/>
        </w:rPr>
        <w:t xml:space="preserve">Embedding and indexing: each chunk is encoded into a dense vector representation by an embedding model and stored in a vector database alongside metadata (document title, classification marking, date, system identifier).</w:t>
      </w:r>
    </w:p>
    <w:p>
      <w:pPr>
        <w:pStyle w:val="ListParagraph"/>
        <w:numPr>
          <w:ilvl w:val="0"/>
          <w:numId w:val="2"/>
        </w:numPr>
        <w:spacing w:before="40" w:after="40"/>
      </w:pPr>
      <w:r>
        <w:rPr>
          <w:rFonts w:ascii="Arial" w:cs="Arial" w:eastAsia="Arial" w:hAnsi="Arial"/>
          <w:sz w:val="22"/>
          <w:szCs w:val="22"/>
        </w:rPr>
        <w:t xml:space="preserve">Query-time retrieval: when a user submits a query, the query is embedded using the same embedding model; cosine similarity or approximate nearest-neighbor (ANN) search retrieves the top-k most relevant chunks from the vector store.</w:t>
      </w:r>
    </w:p>
    <w:p>
      <w:pPr>
        <w:pStyle w:val="ListParagraph"/>
        <w:numPr>
          <w:ilvl w:val="0"/>
          <w:numId w:val="2"/>
        </w:numPr>
        <w:spacing w:before="40" w:after="40"/>
      </w:pPr>
      <w:r>
        <w:rPr>
          <w:rFonts w:ascii="Arial" w:cs="Arial" w:eastAsia="Arial" w:hAnsi="Arial"/>
          <w:sz w:val="22"/>
          <w:szCs w:val="22"/>
        </w:rPr>
        <w:t xml:space="preserve">Augmented generation: retrieved chunks are injected into the LLM’s context window as grounding evidence; the LLM synthesizes a response anchored to that evidence rather than relying solely on parametric memory (AWS, 2025; IBM, 2025).</w:t>
      </w:r>
    </w:p>
    <w:p>
      <w:pPr>
        <w:pStyle w:val="Heading3"/>
        <w:spacing w:before="160" w:after="60"/>
      </w:pPr>
      <w:r>
        <w:rPr>
          <w:rFonts w:ascii="Arial" w:cs="Arial" w:eastAsia="Arial" w:hAnsi="Arial"/>
          <w:b/>
          <w:bCs/>
          <w:sz w:val="24"/>
          <w:szCs w:val="24"/>
        </w:rPr>
        <w:t xml:space="preserve">I.B.2  RAG Generation Paradigms</w:t>
      </w:r>
    </w:p>
    <w:p>
      <w:pPr>
        <w:pStyle w:val="ListParagraph"/>
        <w:numPr>
          <w:ilvl w:val="0"/>
          <w:numId w:val="2"/>
        </w:numPr>
        <w:spacing w:before="40" w:after="40"/>
      </w:pPr>
      <w:r>
        <w:rPr>
          <w:rFonts w:ascii="Arial" w:cs="Arial" w:eastAsia="Arial" w:hAnsi="Arial"/>
          <w:sz w:val="22"/>
          <w:szCs w:val="22"/>
        </w:rPr>
        <w:t xml:space="preserve">Naive RAG: simple single-pass retrieve-then-generate; prone to low-precision retrieval and context misalignment.</w:t>
      </w:r>
    </w:p>
    <w:p>
      <w:pPr>
        <w:pStyle w:val="ListParagraph"/>
        <w:numPr>
          <w:ilvl w:val="0"/>
          <w:numId w:val="2"/>
        </w:numPr>
        <w:spacing w:before="40" w:after="40"/>
      </w:pPr>
      <w:r>
        <w:rPr>
          <w:rFonts w:ascii="Arial" w:cs="Arial" w:eastAsia="Arial" w:hAnsi="Arial"/>
          <w:sz w:val="22"/>
          <w:szCs w:val="22"/>
        </w:rPr>
        <w:t xml:space="preserve">Advanced RAG: pre-retrieval query expansion, re-ranking, post-retrieval compression, and relevance filtering to improve chunk quality (Gao et al., 2023; Promptingguide.ai, 2024).</w:t>
      </w:r>
    </w:p>
    <w:p>
      <w:pPr>
        <w:pStyle w:val="ListParagraph"/>
        <w:numPr>
          <w:ilvl w:val="0"/>
          <w:numId w:val="2"/>
        </w:numPr>
        <w:spacing w:before="40" w:after="40"/>
      </w:pPr>
      <w:r>
        <w:rPr>
          <w:rFonts w:ascii="Arial" w:cs="Arial" w:eastAsia="Arial" w:hAnsi="Arial"/>
          <w:sz w:val="22"/>
          <w:szCs w:val="22"/>
        </w:rPr>
        <w:t xml:space="preserve">Modular RAG: composable pipeline nodes including specialized retrievers, memory modules, adaptive retrieval triggers, and iterative/recursive retrieval for complex multi-hop queries.</w:t>
      </w:r>
    </w:p>
    <w:p>
      <w:pPr>
        <w:pStyle w:val="ListParagraph"/>
        <w:numPr>
          <w:ilvl w:val="0"/>
          <w:numId w:val="2"/>
        </w:numPr>
        <w:spacing w:before="40" w:after="40"/>
      </w:pPr>
      <w:r>
        <w:rPr>
          <w:rFonts w:ascii="Arial" w:cs="Arial" w:eastAsia="Arial" w:hAnsi="Arial"/>
          <w:sz w:val="22"/>
          <w:szCs w:val="22"/>
        </w:rPr>
        <w:t xml:space="preserve">Agentic RAG: LLM-as-orchestrator autonomously decides when retrieval is needed, formulates sub-queries, and integrates multiple retrieval rounds—emerging pattern in DoD AI Rapid Capabilities Cell pilots (GDIT, 2024).</w:t>
      </w:r>
    </w:p>
    <w:p>
      <w:pPr>
        <w:spacing w:before="60" w:after="60"/>
      </w:pPr>
      <w:r>
        <w:t xml:space="preserve"/>
      </w:r>
    </w:p>
    <w:p>
      <w:pPr>
        <w:pStyle w:val="Heading2"/>
        <w:spacing w:before="240" w:after="80"/>
      </w:pPr>
      <w:r>
        <w:rPr>
          <w:rFonts w:ascii="Arial" w:cs="Arial" w:eastAsia="Arial" w:hAnsi="Arial"/>
          <w:b/>
          <w:bCs/>
          <w:sz w:val="26"/>
          <w:szCs w:val="26"/>
        </w:rPr>
        <w:t xml:space="preserve">I.C  Why RAG Dominates Fine-Tuning for T&amp;E Domains</w:t>
      </w:r>
    </w:p>
    <w:p>
      <w:pPr>
        <w:pStyle w:val="ListParagraph"/>
        <w:numPr>
          <w:ilvl w:val="0"/>
          <w:numId w:val="2"/>
        </w:numPr>
        <w:spacing w:before="40" w:after="40"/>
      </w:pPr>
      <w:r>
        <w:rPr>
          <w:rFonts w:ascii="Arial" w:cs="Arial" w:eastAsia="Arial" w:hAnsi="Arial"/>
          <w:sz w:val="22"/>
          <w:szCs w:val="22"/>
        </w:rPr>
        <w:t xml:space="preserve">Dynamic knowledge: RAG knowledge bases can be updated asynchronously (new test results, updated specs) without retraining the LLM; fine-tuned models require full retraining cycles (Stack Overflow, 2023; IBM, 2025).</w:t>
      </w:r>
    </w:p>
    <w:p>
      <w:pPr>
        <w:pStyle w:val="ListParagraph"/>
        <w:numPr>
          <w:ilvl w:val="0"/>
          <w:numId w:val="2"/>
        </w:numPr>
        <w:spacing w:before="40" w:after="40"/>
      </w:pPr>
      <w:r>
        <w:rPr>
          <w:rFonts w:ascii="Arial" w:cs="Arial" w:eastAsia="Arial" w:hAnsi="Arial"/>
          <w:sz w:val="22"/>
          <w:szCs w:val="22"/>
        </w:rPr>
        <w:t xml:space="preserve">Source attribution: RAG returns the retrieved document chunks alongside the generated answer, enabling analysts to verify outputs against primary sources—satisfying DoD documentation traceability requirements (AWS, 2025).</w:t>
      </w:r>
    </w:p>
    <w:p>
      <w:pPr>
        <w:pStyle w:val="ListParagraph"/>
        <w:numPr>
          <w:ilvl w:val="0"/>
          <w:numId w:val="2"/>
        </w:numPr>
        <w:spacing w:before="40" w:after="40"/>
      </w:pPr>
      <w:r>
        <w:rPr>
          <w:rFonts w:ascii="Arial" w:cs="Arial" w:eastAsia="Arial" w:hAnsi="Arial"/>
          <w:sz w:val="22"/>
          <w:szCs w:val="22"/>
        </w:rPr>
        <w:t xml:space="preserve">Cost efficiency: updating a vector index is orders of magnitude cheaper than re-running a fine-tuning run on GPU clusters (F22Labs, 2024).</w:t>
      </w:r>
    </w:p>
    <w:p>
      <w:pPr>
        <w:pStyle w:val="ListParagraph"/>
        <w:numPr>
          <w:ilvl w:val="0"/>
          <w:numId w:val="2"/>
        </w:numPr>
        <w:spacing w:before="40" w:after="40"/>
      </w:pPr>
      <w:r>
        <w:rPr>
          <w:rFonts w:ascii="Arial" w:cs="Arial" w:eastAsia="Arial" w:hAnsi="Arial"/>
          <w:sz w:val="22"/>
          <w:szCs w:val="22"/>
        </w:rPr>
        <w:t xml:space="preserve">Hallucination reduction: grounding generation in retrieved context substantially reduces fabrication; studies show accuracy and usefulness improvements of 107–177% on domain QA tasks when RAG is applied vs. zero-shot LLM baselines (arxiv 2511.03261, 2025).</w:t>
      </w:r>
    </w:p>
    <w:p>
      <w:pPr>
        <w:pStyle w:val="ListParagraph"/>
        <w:numPr>
          <w:ilvl w:val="0"/>
          <w:numId w:val="2"/>
        </w:numPr>
        <w:spacing w:before="40" w:after="40"/>
      </w:pPr>
      <w:r>
        <w:rPr>
          <w:rFonts w:ascii="Arial" w:cs="Arial" w:eastAsia="Arial" w:hAnsi="Arial"/>
          <w:sz w:val="22"/>
          <w:szCs w:val="22"/>
        </w:rPr>
        <w:t xml:space="preserve">Regulatory alignment: retrieved documents carry classification markings and provenance metadata, enabling access-controlled generation consistent with CUI and SAP handling requirements.</w:t>
      </w:r>
    </w:p>
    <w:p>
      <w:pPr>
        <w:spacing w:before="60" w:after="60"/>
      </w:pPr>
      <w:r>
        <w:t xml:space="preserve"/>
      </w:r>
    </w:p>
    <w:p>
      <w:pPr>
        <w:pStyle w:val="Heading2"/>
        <w:spacing w:before="240" w:after="80"/>
      </w:pPr>
      <w:r>
        <w:rPr>
          <w:rFonts w:ascii="Arial" w:cs="Arial" w:eastAsia="Arial" w:hAnsi="Arial"/>
          <w:b/>
          <w:bCs/>
          <w:sz w:val="26"/>
          <w:szCs w:val="26"/>
        </w:rPr>
        <w:t xml:space="preserve">I.D  Quantitative Performance Benchmarks</w:t>
      </w:r>
    </w:p>
    <w:p>
      <w:pPr>
        <w:pStyle w:val="ListParagraph"/>
        <w:numPr>
          <w:ilvl w:val="0"/>
          <w:numId w:val="2"/>
        </w:numPr>
        <w:spacing w:before="40" w:after="40"/>
      </w:pPr>
      <w:r>
        <w:rPr>
          <w:rFonts w:ascii="Arial" w:cs="Arial" w:eastAsia="Arial" w:hAnsi="Arial"/>
          <w:sz w:val="22"/>
          <w:szCs w:val="22"/>
        </w:rPr>
        <w:t xml:space="preserve">RAGAS framework: evaluates RAG systems on context relevance, answer faithfulness, and answer relevance; outperforms hand-written heuristic baselines (ARES, arxiv 2311.09476, 2024).</w:t>
      </w:r>
    </w:p>
    <w:p>
      <w:pPr>
        <w:pStyle w:val="ListParagraph"/>
        <w:numPr>
          <w:ilvl w:val="0"/>
          <w:numId w:val="2"/>
        </w:numPr>
        <w:spacing w:before="40" w:after="40"/>
      </w:pPr>
      <w:r>
        <w:rPr>
          <w:rFonts w:ascii="Arial" w:cs="Arial" w:eastAsia="Arial" w:hAnsi="Arial"/>
          <w:sz w:val="22"/>
          <w:szCs w:val="22"/>
        </w:rPr>
        <w:t xml:space="preserve">BEIR benchmark suite: heterogeneous IR tasks across diverse domains; RAG-augmented models consistently outperform standalone LLMs on knowledge-intensive tasks (Wikipedia, RAG entry, 2026).</w:t>
      </w:r>
    </w:p>
    <w:p>
      <w:pPr>
        <w:pStyle w:val="ListParagraph"/>
        <w:numPr>
          <w:ilvl w:val="0"/>
          <w:numId w:val="2"/>
        </w:numPr>
        <w:spacing w:before="40" w:after="40"/>
      </w:pPr>
      <w:r>
        <w:rPr>
          <w:rFonts w:ascii="Arial" w:cs="Arial" w:eastAsia="Arial" w:hAnsi="Arial"/>
          <w:sz w:val="22"/>
          <w:szCs w:val="22"/>
        </w:rPr>
        <w:t xml:space="preserve">Enterprise SLR findings: 80.5% of enterprise RAG implementations use standard retrieval frameworks (FAISS, Elasticsearch); GPT-based models dominate at 63.6%; domain-specific corpora markedly outperform generic public corpora (MDPI, 2025).</w:t>
      </w:r>
    </w:p>
    <w:p>
      <w:pPr>
        <w:spacing w:before="60" w:after="60"/>
      </w:pPr>
      <w:r>
        <w:t xml:space="preserve"/>
      </w:r>
    </w:p>
    <w:p>
      <w:pPr>
        <w:pStyle w:val="Heading2"/>
        <w:spacing w:before="240" w:after="80"/>
      </w:pPr>
      <w:r>
        <w:rPr>
          <w:rFonts w:ascii="Arial" w:cs="Arial" w:eastAsia="Arial" w:hAnsi="Arial"/>
          <w:b/>
          <w:bCs/>
          <w:sz w:val="26"/>
          <w:szCs w:val="26"/>
        </w:rPr>
        <w:t xml:space="preserve">I.E  T&amp;E-Specific Advantages</w:t>
      </w:r>
    </w:p>
    <w:p>
      <w:pPr>
        <w:pStyle w:val="ListParagraph"/>
        <w:numPr>
          <w:ilvl w:val="0"/>
          <w:numId w:val="2"/>
        </w:numPr>
        <w:spacing w:before="40" w:after="40"/>
      </w:pPr>
      <w:r>
        <w:rPr>
          <w:rFonts w:ascii="Arial" w:cs="Arial" w:eastAsia="Arial" w:hAnsi="Arial"/>
          <w:sz w:val="22"/>
          <w:szCs w:val="22"/>
        </w:rPr>
        <w:t xml:space="preserve">T&amp;E knowledge bases include: MIL-STDs, test procedures, previous test reports, systems engineering documents, specification trees, and operator manuals—all ideal RAG corpus material.</w:t>
      </w:r>
    </w:p>
    <w:p>
      <w:pPr>
        <w:pStyle w:val="ListParagraph"/>
        <w:numPr>
          <w:ilvl w:val="0"/>
          <w:numId w:val="2"/>
        </w:numPr>
        <w:spacing w:before="40" w:after="40"/>
      </w:pPr>
      <w:r>
        <w:rPr>
          <w:rFonts w:ascii="Arial" w:cs="Arial" w:eastAsia="Arial" w:hAnsi="Arial"/>
          <w:sz w:val="22"/>
          <w:szCs w:val="22"/>
        </w:rPr>
        <w:t xml:space="preserve">Multi-document synthesis: RAG can retrieve and synthesize across hundreds of T&amp;E artifacts simultaneously—a task no single analyst can do manually at scale.</w:t>
      </w:r>
    </w:p>
    <w:p>
      <w:pPr>
        <w:pStyle w:val="ListParagraph"/>
        <w:numPr>
          <w:ilvl w:val="0"/>
          <w:numId w:val="2"/>
        </w:numPr>
        <w:spacing w:before="40" w:after="40"/>
      </w:pPr>
      <w:r>
        <w:rPr>
          <w:rFonts w:ascii="Arial" w:cs="Arial" w:eastAsia="Arial" w:hAnsi="Arial"/>
          <w:sz w:val="22"/>
          <w:szCs w:val="22"/>
        </w:rPr>
        <w:t xml:space="preserve">Temporal awareness: the knowledge base ingestion pipeline can be triggered on a schedule to capture new test data as it is generated, keeping the system current with ongoing test programs.</w:t>
      </w:r>
    </w:p>
    <w:p>
      <w:pPr>
        <w:pStyle w:val="ListParagraph"/>
        <w:numPr>
          <w:ilvl w:val="0"/>
          <w:numId w:val="2"/>
        </w:numPr>
        <w:spacing w:before="40" w:after="40"/>
      </w:pPr>
      <w:r>
        <w:rPr>
          <w:rFonts w:ascii="Arial" w:cs="Arial" w:eastAsia="Arial" w:hAnsi="Arial"/>
          <w:sz w:val="22"/>
          <w:szCs w:val="22"/>
        </w:rPr>
        <w:t xml:space="preserve">Reproducible queries: because retrieved context is logged alongside the generated answer, each output can be reproduced and audited—essential for test record integrity.</w:t>
      </w:r>
    </w:p>
    <w:p>
      <w:pPr>
        <w:spacing w:before="60" w:after="60"/>
      </w:pPr>
      <w:r>
        <w:t xml:space="preserve"/>
      </w:r>
    </w:p>
    <w:p>
      <w:pPr>
        <w:pStyle w:val="Heading1"/>
        <w:spacing w:before="360" w:after="120"/>
      </w:pPr>
      <w:r>
        <w:rPr>
          <w:rFonts w:ascii="Arial" w:cs="Arial" w:eastAsia="Arial" w:hAnsi="Arial"/>
          <w:b/>
          <w:bCs/>
          <w:sz w:val="32"/>
          <w:szCs w:val="32"/>
        </w:rPr>
        <w:t xml:space="preserve">Section II: Concrete Architecture and Technology Stack for a Production DoD RAG Deployment</w:t>
      </w:r>
    </w:p>
    <w:p>
      <w:pPr>
        <w:pStyle w:val="Heading2"/>
        <w:spacing w:before="240" w:after="80"/>
      </w:pPr>
      <w:r>
        <w:rPr>
          <w:rFonts w:ascii="Arial" w:cs="Arial" w:eastAsia="Arial" w:hAnsi="Arial"/>
          <w:b/>
          <w:bCs/>
          <w:sz w:val="26"/>
          <w:szCs w:val="26"/>
        </w:rPr>
        <w:t xml:space="preserve">II.A  Architectural Overview: Five Production Layers</w:t>
      </w:r>
    </w:p>
    <w:p>
      <w:pPr>
        <w:spacing w:before="60" w:after="60"/>
      </w:pPr>
      <w:r>
        <w:rPr>
          <w:rFonts w:ascii="Arial" w:cs="Arial" w:eastAsia="Arial" w:hAnsi="Arial"/>
          <w:sz w:val="22"/>
          <w:szCs w:val="22"/>
        </w:rPr>
        <w:t xml:space="preserve">A production DoD RAG system is not a single application but a multi-layer data and AI platform. Treating it as an ad hoc chatbot feature is the primary cause of failed deployments (DEV Community, 2025).</w:t>
      </w:r>
    </w:p>
    <w:p>
      <w:pPr>
        <w:pStyle w:val="Heading3"/>
        <w:spacing w:before="160" w:after="60"/>
      </w:pPr>
      <w:r>
        <w:rPr>
          <w:rFonts w:ascii="Arial" w:cs="Arial" w:eastAsia="Arial" w:hAnsi="Arial"/>
          <w:b/>
          <w:bCs/>
          <w:sz w:val="24"/>
          <w:szCs w:val="24"/>
        </w:rPr>
        <w:t xml:space="preserve">Layer 1: Document Ingestion and Preprocessing</w:t>
      </w:r>
    </w:p>
    <w:p>
      <w:pPr>
        <w:pStyle w:val="ListParagraph"/>
        <w:numPr>
          <w:ilvl w:val="0"/>
          <w:numId w:val="2"/>
        </w:numPr>
        <w:spacing w:before="40" w:after="40"/>
      </w:pPr>
      <w:r>
        <w:rPr>
          <w:rFonts w:ascii="Arial" w:cs="Arial" w:eastAsia="Arial" w:hAnsi="Arial"/>
          <w:sz w:val="22"/>
          <w:szCs w:val="22"/>
        </w:rPr>
        <w:t xml:space="preserve">Source connectors: SharePoint (NIPRNet/SIPRNet), SIPR file shares, PDFs, Word documents, technical data packages (TDPs), CATIA/SolidWorks exports, and structured databases.</w:t>
      </w:r>
    </w:p>
    <w:p>
      <w:pPr>
        <w:pStyle w:val="ListParagraph"/>
        <w:numPr>
          <w:ilvl w:val="0"/>
          <w:numId w:val="2"/>
        </w:numPr>
        <w:spacing w:before="40" w:after="40"/>
      </w:pPr>
      <w:r>
        <w:rPr>
          <w:rFonts w:ascii="Arial" w:cs="Arial" w:eastAsia="Arial" w:hAnsi="Arial"/>
          <w:sz w:val="22"/>
          <w:szCs w:val="22"/>
        </w:rPr>
        <w:t xml:space="preserve">Content extraction: OCR for scanned documents, table extraction, image captioning; normalization to plain text or structured JSON.</w:t>
      </w:r>
    </w:p>
    <w:p>
      <w:pPr>
        <w:pStyle w:val="ListParagraph"/>
        <w:numPr>
          <w:ilvl w:val="0"/>
          <w:numId w:val="2"/>
        </w:numPr>
        <w:spacing w:before="40" w:after="40"/>
      </w:pPr>
      <w:r>
        <w:rPr>
          <w:rFonts w:ascii="Arial" w:cs="Arial" w:eastAsia="Arial" w:hAnsi="Arial"/>
          <w:sz w:val="22"/>
          <w:szCs w:val="22"/>
        </w:rPr>
        <w:t xml:space="preserve">Metadata enrichment: classification marking, originating organization, system program (e.g., F-35, GBSD), document type, version, and date extracted and stored as filterable fields.</w:t>
      </w:r>
    </w:p>
    <w:p>
      <w:pPr>
        <w:pStyle w:val="ListParagraph"/>
        <w:numPr>
          <w:ilvl w:val="0"/>
          <w:numId w:val="2"/>
        </w:numPr>
        <w:spacing w:before="40" w:after="40"/>
      </w:pPr>
      <w:r>
        <w:rPr>
          <w:rFonts w:ascii="Arial" w:cs="Arial" w:eastAsia="Arial" w:hAnsi="Arial"/>
          <w:sz w:val="22"/>
          <w:szCs w:val="22"/>
        </w:rPr>
        <w:t xml:space="preserve">Deduplication and version control: detection of superseded documents to prevent stale context injection.</w:t>
      </w:r>
    </w:p>
    <w:p>
      <w:pPr>
        <w:pStyle w:val="Heading3"/>
        <w:spacing w:before="160" w:after="60"/>
      </w:pPr>
      <w:r>
        <w:rPr>
          <w:rFonts w:ascii="Arial" w:cs="Arial" w:eastAsia="Arial" w:hAnsi="Arial"/>
          <w:b/>
          <w:bCs/>
          <w:sz w:val="24"/>
          <w:szCs w:val="24"/>
        </w:rPr>
        <w:t xml:space="preserve">Layer 2: Embedding and Indexing</w:t>
      </w:r>
    </w:p>
    <w:p>
      <w:pPr>
        <w:pStyle w:val="ListParagraph"/>
        <w:numPr>
          <w:ilvl w:val="0"/>
          <w:numId w:val="2"/>
        </w:numPr>
        <w:spacing w:before="40" w:after="40"/>
      </w:pPr>
      <w:r>
        <w:rPr>
          <w:rFonts w:ascii="Arial" w:cs="Arial" w:eastAsia="Arial" w:hAnsi="Arial"/>
          <w:sz w:val="22"/>
          <w:szCs w:val="22"/>
        </w:rPr>
        <w:t xml:space="preserve">Chunking strategy: semantic-boundary chunking (paragraph-level, section-boundary-aware) is preferred over fixed-token chunking; typical chunk sizes 256–1024 tokens depending on document structure (IJONIS, 2026).</w:t>
      </w:r>
    </w:p>
    <w:p>
      <w:pPr>
        <w:pStyle w:val="ListParagraph"/>
        <w:numPr>
          <w:ilvl w:val="0"/>
          <w:numId w:val="2"/>
        </w:numPr>
        <w:spacing w:before="40" w:after="40"/>
      </w:pPr>
      <w:r>
        <w:rPr>
          <w:rFonts w:ascii="Arial" w:cs="Arial" w:eastAsia="Arial" w:hAnsi="Arial"/>
          <w:sz w:val="22"/>
          <w:szCs w:val="22"/>
        </w:rPr>
        <w:t xml:space="preserve">Embedding models:</w:t>
      </w:r>
    </w:p>
    <w:p>
      <w:pPr>
        <w:pStyle w:val="ListParagraph"/>
        <w:numPr>
          <w:ilvl w:val="1"/>
          <w:numId w:val="2"/>
        </w:numPr>
        <w:spacing w:before="40" w:after="40"/>
      </w:pPr>
      <w:r>
        <w:rPr>
          <w:rFonts w:ascii="Arial" w:cs="Arial" w:eastAsia="Arial" w:hAnsi="Arial"/>
          <w:sz w:val="22"/>
          <w:szCs w:val="22"/>
        </w:rPr>
        <w:t xml:space="preserve">Cloud/NIPR: OpenAI text-embedding-3-large, Google text-embedding-004 (both available on GenAI.mil).</w:t>
      </w:r>
    </w:p>
    <w:p>
      <w:pPr>
        <w:pStyle w:val="ListParagraph"/>
        <w:numPr>
          <w:ilvl w:val="1"/>
          <w:numId w:val="2"/>
        </w:numPr>
        <w:spacing w:before="40" w:after="40"/>
      </w:pPr>
      <w:r>
        <w:rPr>
          <w:rFonts w:ascii="Arial" w:cs="Arial" w:eastAsia="Arial" w:hAnsi="Arial"/>
          <w:sz w:val="22"/>
          <w:szCs w:val="22"/>
        </w:rPr>
        <w:t xml:space="preserve">Air-gapped/SIPR: open-source models such as BGE-M3, multilingual-e5-large, or Nomic Embed deployable on self-hosted GPU nodes.</w:t>
      </w:r>
    </w:p>
    <w:p>
      <w:pPr>
        <w:pStyle w:val="ListParagraph"/>
        <w:numPr>
          <w:ilvl w:val="0"/>
          <w:numId w:val="2"/>
        </w:numPr>
        <w:spacing w:before="40" w:after="40"/>
      </w:pPr>
      <w:r>
        <w:rPr>
          <w:rFonts w:ascii="Arial" w:cs="Arial" w:eastAsia="Arial" w:hAnsi="Arial"/>
          <w:sz w:val="22"/>
          <w:szCs w:val="22"/>
        </w:rPr>
        <w:t xml:space="preserve">Vector databases (open-source, self-hostable for IL5/IL6 environments): Milvus (GPU-accelerated, enterprise scale), Weaviate (open-source, hybrid search, robust access controls), Qdrant (open-source, Rust-based, strong metadata filtering), pgvector (Postgres extension, ACID compliance, suitable for smaller corpora) (GigaSpaces, 2025; ZenML, 2025).</w:t>
      </w:r>
    </w:p>
    <w:p>
      <w:pPr>
        <w:pStyle w:val="ListParagraph"/>
        <w:numPr>
          <w:ilvl w:val="0"/>
          <w:numId w:val="2"/>
        </w:numPr>
        <w:spacing w:before="40" w:after="40"/>
      </w:pPr>
      <w:r>
        <w:rPr>
          <w:rFonts w:ascii="Arial" w:cs="Arial" w:eastAsia="Arial" w:hAnsi="Arial"/>
          <w:sz w:val="22"/>
          <w:szCs w:val="22"/>
        </w:rPr>
        <w:t xml:space="preserve">Hybrid search: combining dense vector search (semantic) with sparse BM25 keyword search; hybrid retrieval consistently outperforms either method alone on T&amp;E terminology-heavy corpora.</w:t>
      </w:r>
    </w:p>
    <w:p>
      <w:pPr>
        <w:pStyle w:val="Heading3"/>
        <w:spacing w:before="160" w:after="60"/>
      </w:pPr>
      <w:r>
        <w:rPr>
          <w:rFonts w:ascii="Arial" w:cs="Arial" w:eastAsia="Arial" w:hAnsi="Arial"/>
          <w:b/>
          <w:bCs/>
          <w:sz w:val="24"/>
          <w:szCs w:val="24"/>
        </w:rPr>
        <w:t xml:space="preserve">Layer 3: Retrieval Orchestration</w:t>
      </w:r>
    </w:p>
    <w:p>
      <w:pPr>
        <w:pStyle w:val="ListParagraph"/>
        <w:numPr>
          <w:ilvl w:val="0"/>
          <w:numId w:val="2"/>
        </w:numPr>
        <w:spacing w:before="40" w:after="40"/>
      </w:pPr>
      <w:r>
        <w:rPr>
          <w:rFonts w:ascii="Arial" w:cs="Arial" w:eastAsia="Arial" w:hAnsi="Arial"/>
          <w:sz w:val="22"/>
          <w:szCs w:val="22"/>
        </w:rPr>
        <w:t xml:space="preserve">Query analysis and expansion: query rewriting, hypothetical document expansion (HyDE), and multi-query generation to improve recall.</w:t>
      </w:r>
    </w:p>
    <w:p>
      <w:pPr>
        <w:pStyle w:val="ListParagraph"/>
        <w:numPr>
          <w:ilvl w:val="0"/>
          <w:numId w:val="2"/>
        </w:numPr>
        <w:spacing w:before="40" w:after="40"/>
      </w:pPr>
      <w:r>
        <w:rPr>
          <w:rFonts w:ascii="Arial" w:cs="Arial" w:eastAsia="Arial" w:hAnsi="Arial"/>
          <w:sz w:val="22"/>
          <w:szCs w:val="22"/>
        </w:rPr>
        <w:t xml:space="preserve">Re-ranking: cross-encoder re-rankers (e.g., Cohere Rerank, BGE re-ranker) to improve precision post-retrieval.</w:t>
      </w:r>
    </w:p>
    <w:p>
      <w:pPr>
        <w:pStyle w:val="ListParagraph"/>
        <w:numPr>
          <w:ilvl w:val="0"/>
          <w:numId w:val="2"/>
        </w:numPr>
        <w:spacing w:before="40" w:after="40"/>
      </w:pPr>
      <w:r>
        <w:rPr>
          <w:rFonts w:ascii="Arial" w:cs="Arial" w:eastAsia="Arial" w:hAnsi="Arial"/>
          <w:sz w:val="22"/>
          <w:szCs w:val="22"/>
        </w:rPr>
        <w:t xml:space="preserve">Metadata filtering: access-control-based pre-filtering ensures users only retrieve documents at or below their classification/clearance level.</w:t>
      </w:r>
    </w:p>
    <w:p>
      <w:pPr>
        <w:pStyle w:val="ListParagraph"/>
        <w:numPr>
          <w:ilvl w:val="0"/>
          <w:numId w:val="2"/>
        </w:numPr>
        <w:spacing w:before="40" w:after="40"/>
      </w:pPr>
      <w:r>
        <w:rPr>
          <w:rFonts w:ascii="Arial" w:cs="Arial" w:eastAsia="Arial" w:hAnsi="Arial"/>
          <w:sz w:val="22"/>
          <w:szCs w:val="22"/>
        </w:rPr>
        <w:t xml:space="preserve">Context assembly: retrieved chunks are deduped, ordered by relevance, and formatted into a structured context window prompt.</w:t>
      </w:r>
    </w:p>
    <w:p>
      <w:pPr>
        <w:pStyle w:val="Heading3"/>
        <w:spacing w:before="160" w:after="60"/>
      </w:pPr>
      <w:r>
        <w:rPr>
          <w:rFonts w:ascii="Arial" w:cs="Arial" w:eastAsia="Arial" w:hAnsi="Arial"/>
          <w:b/>
          <w:bCs/>
          <w:sz w:val="24"/>
          <w:szCs w:val="24"/>
        </w:rPr>
        <w:t xml:space="preserve">Layer 4: LLM Generation</w:t>
      </w:r>
    </w:p>
    <w:p>
      <w:pPr>
        <w:pStyle w:val="ListParagraph"/>
        <w:numPr>
          <w:ilvl w:val="0"/>
          <w:numId w:val="2"/>
        </w:numPr>
        <w:spacing w:before="40" w:after="40"/>
      </w:pPr>
      <w:r>
        <w:rPr>
          <w:rFonts w:ascii="Arial" w:cs="Arial" w:eastAsia="Arial" w:hAnsi="Arial"/>
          <w:sz w:val="22"/>
          <w:szCs w:val="22"/>
        </w:rPr>
        <w:t xml:space="preserve">Model selection by classification level:</w:t>
      </w:r>
    </w:p>
    <w:p>
      <w:pPr>
        <w:pStyle w:val="ListParagraph"/>
        <w:numPr>
          <w:ilvl w:val="1"/>
          <w:numId w:val="2"/>
        </w:numPr>
        <w:spacing w:before="40" w:after="40"/>
      </w:pPr>
      <w:r>
        <w:rPr>
          <w:rFonts w:ascii="Arial" w:cs="Arial" w:eastAsia="Arial" w:hAnsi="Arial"/>
          <w:sz w:val="22"/>
          <w:szCs w:val="22"/>
        </w:rPr>
        <w:t xml:space="preserve">IL4/NIPRNet: GPT-4o (via Azure Government), Gemini for Government (GenAI.mil), Claude (Anthropic DoD contract).</w:t>
      </w:r>
    </w:p>
    <w:p>
      <w:pPr>
        <w:pStyle w:val="ListParagraph"/>
        <w:numPr>
          <w:ilvl w:val="1"/>
          <w:numId w:val="2"/>
        </w:numPr>
        <w:spacing w:before="40" w:after="40"/>
      </w:pPr>
      <w:r>
        <w:rPr>
          <w:rFonts w:ascii="Arial" w:cs="Arial" w:eastAsia="Arial" w:hAnsi="Arial"/>
          <w:sz w:val="22"/>
          <w:szCs w:val="22"/>
        </w:rPr>
        <w:t xml:space="preserve">IL5/Sensitive CUI: Ask Sage on Azure Government IL5, dedicated instances with FedRAMP High PA.</w:t>
      </w:r>
    </w:p>
    <w:p>
      <w:pPr>
        <w:pStyle w:val="ListParagraph"/>
        <w:numPr>
          <w:ilvl w:val="1"/>
          <w:numId w:val="2"/>
        </w:numPr>
        <w:spacing w:before="40" w:after="40"/>
      </w:pPr>
      <w:r>
        <w:rPr>
          <w:rFonts w:ascii="Arial" w:cs="Arial" w:eastAsia="Arial" w:hAnsi="Arial"/>
          <w:sz w:val="22"/>
          <w:szCs w:val="22"/>
        </w:rPr>
        <w:t xml:space="preserve">IL6/SECRET-SIPRNet: Ask Sage IL6, dedicated cloud enclaves on SIPRNet-connected infrastructure, U.S.-citizen-only personnel (Ask Sage, 2025; GRSee, 2025).</w:t>
      </w:r>
    </w:p>
    <w:p>
      <w:pPr>
        <w:pStyle w:val="ListParagraph"/>
        <w:numPr>
          <w:ilvl w:val="0"/>
          <w:numId w:val="2"/>
        </w:numPr>
        <w:spacing w:before="40" w:after="40"/>
      </w:pPr>
      <w:r>
        <w:rPr>
          <w:rFonts w:ascii="Arial" w:cs="Arial" w:eastAsia="Arial" w:hAnsi="Arial"/>
          <w:sz w:val="22"/>
          <w:szCs w:val="22"/>
        </w:rPr>
        <w:t xml:space="preserve">Prompt engineering: system prompt specifies output format, citation requirements, classification handling instructions, and role (e.g., “You are a T&amp;E analyst”).</w:t>
      </w:r>
    </w:p>
    <w:p>
      <w:pPr>
        <w:pStyle w:val="ListParagraph"/>
        <w:numPr>
          <w:ilvl w:val="0"/>
          <w:numId w:val="2"/>
        </w:numPr>
        <w:spacing w:before="40" w:after="40"/>
      </w:pPr>
      <w:r>
        <w:rPr>
          <w:rFonts w:ascii="Arial" w:cs="Arial" w:eastAsia="Arial" w:hAnsi="Arial"/>
          <w:sz w:val="22"/>
          <w:szCs w:val="22"/>
        </w:rPr>
        <w:t xml:space="preserve">Few-shot examples: 3–5 example input/output pairs demonstrating the target report format (see Section IV).</w:t>
      </w:r>
    </w:p>
    <w:p>
      <w:pPr>
        <w:pStyle w:val="Heading3"/>
        <w:spacing w:before="160" w:after="60"/>
      </w:pPr>
      <w:r>
        <w:rPr>
          <w:rFonts w:ascii="Arial" w:cs="Arial" w:eastAsia="Arial" w:hAnsi="Arial"/>
          <w:b/>
          <w:bCs/>
          <w:sz w:val="24"/>
          <w:szCs w:val="24"/>
        </w:rPr>
        <w:t xml:space="preserve">Layer 5: Observability, CI/CD, and Governance</w:t>
      </w:r>
    </w:p>
    <w:p>
      <w:pPr>
        <w:pStyle w:val="ListParagraph"/>
        <w:numPr>
          <w:ilvl w:val="0"/>
          <w:numId w:val="2"/>
        </w:numPr>
        <w:spacing w:before="40" w:after="40"/>
      </w:pPr>
      <w:r>
        <w:rPr>
          <w:rFonts w:ascii="Arial" w:cs="Arial" w:eastAsia="Arial" w:hAnsi="Arial"/>
          <w:sz w:val="22"/>
          <w:szCs w:val="22"/>
        </w:rPr>
        <w:t xml:space="preserve">Logging: every query, retrieved chunk set, and generated response is logged to an immutable audit trail; mandatory for ATO and STIG compliance (CDAO AI Cybersecurity RMF, 2024).</w:t>
      </w:r>
    </w:p>
    <w:p>
      <w:pPr>
        <w:pStyle w:val="ListParagraph"/>
        <w:numPr>
          <w:ilvl w:val="0"/>
          <w:numId w:val="2"/>
        </w:numPr>
        <w:spacing w:before="40" w:after="40"/>
      </w:pPr>
      <w:r>
        <w:rPr>
          <w:rFonts w:ascii="Arial" w:cs="Arial" w:eastAsia="Arial" w:hAnsi="Arial"/>
          <w:sz w:val="22"/>
          <w:szCs w:val="22"/>
        </w:rPr>
        <w:t xml:space="preserve">Monitoring: retrieval quality metrics (NDCG, Hit Rate), generation quality metrics (faithfulness, relevance), latency, and cost tracked via OpenLLMetry/Splunk.</w:t>
      </w:r>
    </w:p>
    <w:p>
      <w:pPr>
        <w:pStyle w:val="ListParagraph"/>
        <w:numPr>
          <w:ilvl w:val="0"/>
          <w:numId w:val="2"/>
        </w:numPr>
        <w:spacing w:before="40" w:after="40"/>
      </w:pPr>
      <w:r>
        <w:rPr>
          <w:rFonts w:ascii="Arial" w:cs="Arial" w:eastAsia="Arial" w:hAnsi="Arial"/>
          <w:sz w:val="22"/>
          <w:szCs w:val="22"/>
        </w:rPr>
        <w:t xml:space="preserve">AI CI/CD: version-controlled prompt templates, chunking logic, embedding models, re-ranker configurations; regression tests on representative T&amp;E queries before any pipeline update.</w:t>
      </w:r>
    </w:p>
    <w:p>
      <w:pPr>
        <w:pStyle w:val="ListParagraph"/>
        <w:numPr>
          <w:ilvl w:val="0"/>
          <w:numId w:val="2"/>
        </w:numPr>
        <w:spacing w:before="40" w:after="40"/>
      </w:pPr>
      <w:r>
        <w:rPr>
          <w:rFonts w:ascii="Arial" w:cs="Arial" w:eastAsia="Arial" w:hAnsi="Arial"/>
          <w:sz w:val="22"/>
          <w:szCs w:val="22"/>
        </w:rPr>
        <w:t xml:space="preserve">Human-in-the-loop: all generated T&amp;E deliverables flagged for mandatory analyst review before distribution; system does not auto-release reports.</w:t>
      </w:r>
    </w:p>
    <w:p>
      <w:pPr>
        <w:spacing w:before="60" w:after="60"/>
      </w:pPr>
      <w:r>
        <w:t xml:space="preserve"/>
      </w:r>
    </w:p>
    <w:p>
      <w:pPr>
        <w:pStyle w:val="Heading2"/>
        <w:spacing w:before="240" w:after="80"/>
      </w:pPr>
      <w:r>
        <w:rPr>
          <w:rFonts w:ascii="Arial" w:cs="Arial" w:eastAsia="Arial" w:hAnsi="Arial"/>
          <w:b/>
          <w:bCs/>
          <w:sz w:val="26"/>
          <w:szCs w:val="26"/>
        </w:rPr>
        <w:t xml:space="preserve">II.B  DoD-Specific Deployment Topology</w:t>
      </w:r>
    </w:p>
    <w:p>
      <w:pPr>
        <w:pStyle w:val="Heading3"/>
        <w:spacing w:before="160" w:after="60"/>
      </w:pPr>
      <w:r>
        <w:rPr>
          <w:rFonts w:ascii="Arial" w:cs="Arial" w:eastAsia="Arial" w:hAnsi="Arial"/>
          <w:b/>
          <w:bCs/>
          <w:sz w:val="24"/>
          <w:szCs w:val="24"/>
        </w:rPr>
        <w:t xml:space="preserve">II.B.1  Joint Warfighting Cloud Capability (JWCC) Integration</w:t>
      </w:r>
    </w:p>
    <w:p>
      <w:pPr>
        <w:pStyle w:val="ListParagraph"/>
        <w:numPr>
          <w:ilvl w:val="0"/>
          <w:numId w:val="2"/>
        </w:numPr>
        <w:spacing w:before="40" w:after="40"/>
      </w:pPr>
      <w:r>
        <w:rPr>
          <w:rFonts w:ascii="Arial" w:cs="Arial" w:eastAsia="Arial" w:hAnsi="Arial"/>
          <w:sz w:val="22"/>
          <w:szCs w:val="22"/>
        </w:rPr>
        <w:t xml:space="preserve">JWCC provides four enterprise cloud on-ramps (AWS, Microsoft Azure, Google Cloud, Oracle); RAG infrastructure can be deployed on any JWCC provider at IL2–IL6 (DefenseScoop, 2024).</w:t>
      </w:r>
    </w:p>
    <w:p>
      <w:pPr>
        <w:pStyle w:val="ListParagraph"/>
        <w:numPr>
          <w:ilvl w:val="0"/>
          <w:numId w:val="2"/>
        </w:numPr>
        <w:spacing w:before="40" w:after="40"/>
      </w:pPr>
      <w:r>
        <w:rPr>
          <w:rFonts w:ascii="Arial" w:cs="Arial" w:eastAsia="Arial" w:hAnsi="Arial"/>
          <w:sz w:val="22"/>
          <w:szCs w:val="22"/>
        </w:rPr>
        <w:t xml:space="preserve">CDAO AI RCC sandboxes (January 2025 launch): cloud-hosted development and test environments at multiple impact levels for rapid prototyping (CDAO AI RCC Fact Sheet, 2024).</w:t>
      </w:r>
    </w:p>
    <w:p>
      <w:pPr>
        <w:pStyle w:val="Heading3"/>
        <w:spacing w:before="160" w:after="60"/>
      </w:pPr>
      <w:r>
        <w:rPr>
          <w:rFonts w:ascii="Arial" w:cs="Arial" w:eastAsia="Arial" w:hAnsi="Arial"/>
          <w:b/>
          <w:bCs/>
          <w:sz w:val="24"/>
          <w:szCs w:val="24"/>
        </w:rPr>
        <w:t xml:space="preserve">II.B.2  Deployment Reference Architectures</w:t>
      </w:r>
    </w:p>
    <w:p>
      <w:pPr>
        <w:pStyle w:val="ListParagraph"/>
        <w:numPr>
          <w:ilvl w:val="0"/>
          <w:numId w:val="2"/>
        </w:numPr>
        <w:spacing w:before="40" w:after="40"/>
      </w:pPr>
      <w:r>
        <w:rPr>
          <w:rFonts w:ascii="Arial" w:cs="Arial" w:eastAsia="Arial" w:hAnsi="Arial"/>
          <w:sz w:val="22"/>
          <w:szCs w:val="22"/>
        </w:rPr>
        <w:t xml:space="preserve">NIPRNet (IL4): multi-tenant cloud RAG with CAC-authenticated API gateway, Azure AD/Entra integration, FIPS 140-2 encryption at rest and in transit.</w:t>
      </w:r>
    </w:p>
    <w:p>
      <w:pPr>
        <w:pStyle w:val="ListParagraph"/>
        <w:numPr>
          <w:ilvl w:val="0"/>
          <w:numId w:val="2"/>
        </w:numPr>
        <w:spacing w:before="40" w:after="40"/>
      </w:pPr>
      <w:r>
        <w:rPr>
          <w:rFonts w:ascii="Arial" w:cs="Arial" w:eastAsia="Arial" w:hAnsi="Arial"/>
          <w:sz w:val="22"/>
          <w:szCs w:val="22"/>
        </w:rPr>
        <w:t xml:space="preserve">NIPRNet sensitive (IL5): dedicated cloud enclave (physically isolated), U.S.-citizen personnel requirement, 421+ NIST 800-53 controls, continuous monitoring (AKamai, 2024; Konfirmity, 2025).</w:t>
      </w:r>
    </w:p>
    <w:p>
      <w:pPr>
        <w:pStyle w:val="ListParagraph"/>
        <w:numPr>
          <w:ilvl w:val="0"/>
          <w:numId w:val="2"/>
        </w:numPr>
        <w:spacing w:before="40" w:after="40"/>
      </w:pPr>
      <w:r>
        <w:rPr>
          <w:rFonts w:ascii="Arial" w:cs="Arial" w:eastAsia="Arial" w:hAnsi="Arial"/>
          <w:sz w:val="22"/>
          <w:szCs w:val="22"/>
        </w:rPr>
        <w:t xml:space="preserve">SIPRNet (IL6): SECRET enclave connected to SIPRNet, active SECRET clearances for all administrators, TEMPEST-shielded data centers, disconnected-from-internet inference nodes.</w:t>
      </w:r>
    </w:p>
    <w:p>
      <w:pPr>
        <w:pStyle w:val="ListParagraph"/>
        <w:numPr>
          <w:ilvl w:val="0"/>
          <w:numId w:val="2"/>
        </w:numPr>
        <w:spacing w:before="40" w:after="40"/>
      </w:pPr>
      <w:r>
        <w:rPr>
          <w:rFonts w:ascii="Arial" w:cs="Arial" w:eastAsia="Arial" w:hAnsi="Arial"/>
          <w:sz w:val="22"/>
          <w:szCs w:val="22"/>
        </w:rPr>
        <w:t xml:space="preserve">Tactical/DDIL edge: Ask Sage Edge, containerized RAG stack deployable on forward operating bases, naval vessels, or disconnected operational environments (Ask Sage DIB, 2025).</w:t>
      </w:r>
    </w:p>
    <w:p>
      <w:pPr>
        <w:pStyle w:val="Heading3"/>
        <w:spacing w:before="160" w:after="60"/>
      </w:pPr>
      <w:r>
        <w:rPr>
          <w:rFonts w:ascii="Arial" w:cs="Arial" w:eastAsia="Arial" w:hAnsi="Arial"/>
          <w:b/>
          <w:bCs/>
          <w:sz w:val="24"/>
          <w:szCs w:val="24"/>
        </w:rPr>
        <w:t xml:space="preserve">II.B.3  Real-World DoD RAG Deployments (2024–2025)</w:t>
      </w:r>
    </w:p>
    <w:p>
      <w:pPr>
        <w:pStyle w:val="ListParagraph"/>
        <w:numPr>
          <w:ilvl w:val="0"/>
          <w:numId w:val="2"/>
        </w:numPr>
        <w:spacing w:before="40" w:after="40"/>
      </w:pPr>
      <w:r>
        <w:rPr>
          <w:rFonts w:ascii="Arial" w:cs="Arial" w:eastAsia="Arial" w:hAnsi="Arial"/>
          <w:sz w:val="22"/>
          <w:szCs w:val="22"/>
        </w:rPr>
        <w:t xml:space="preserve">GenAI.mil (December 2025): DoD-wide platform providing Google Gemini with multimodal RAG and web-grounded search to 3 million DoD employees; built on Google Cloud with Anthropic, OpenAI, and xAI contracts each up to $200M (DefenseScoop, December 2025).</w:t>
      </w:r>
    </w:p>
    <w:p>
      <w:pPr>
        <w:pStyle w:val="ListParagraph"/>
        <w:numPr>
          <w:ilvl w:val="0"/>
          <w:numId w:val="2"/>
        </w:numPr>
        <w:spacing w:before="40" w:after="40"/>
      </w:pPr>
      <w:r>
        <w:rPr>
          <w:rFonts w:ascii="Arial" w:cs="Arial" w:eastAsia="Arial" w:hAnsi="Arial"/>
          <w:sz w:val="22"/>
          <w:szCs w:val="22"/>
        </w:rPr>
        <w:t xml:space="preserve">NIPRGPT (June 2024): AFRL-developed ChatGPT-for-military on NIPRNet at IL4, CAC-gated; 100,000 users in 3 months; early adopters built manual RAG workflows by providing reference texts (Ben Van Roo, 2025).</w:t>
      </w:r>
    </w:p>
    <w:p>
      <w:pPr>
        <w:pStyle w:val="ListParagraph"/>
        <w:numPr>
          <w:ilvl w:val="0"/>
          <w:numId w:val="2"/>
        </w:numPr>
        <w:spacing w:before="40" w:after="40"/>
      </w:pPr>
      <w:r>
        <w:rPr>
          <w:rFonts w:ascii="Arial" w:cs="Arial" w:eastAsia="Arial" w:hAnsi="Arial"/>
          <w:sz w:val="22"/>
          <w:szCs w:val="22"/>
        </w:rPr>
        <w:t xml:space="preserve">CamoGPT (Army), CENTGPT (CENTCOM), AskSage (CDAO enterprise, all Combatant Commands): each incorporating RAG at varying classification levels (Ben Van Roo, 2025; Ask Sage, 2025).</w:t>
      </w:r>
    </w:p>
    <w:p>
      <w:pPr>
        <w:spacing w:before="60" w:after="60"/>
      </w:pPr>
      <w:r>
        <w:t xml:space="preserve"/>
      </w:r>
    </w:p>
    <w:p>
      <w:pPr>
        <w:pStyle w:val="Heading2"/>
        <w:spacing w:before="240" w:after="80"/>
      </w:pPr>
      <w:r>
        <w:rPr>
          <w:rFonts w:ascii="Arial" w:cs="Arial" w:eastAsia="Arial" w:hAnsi="Arial"/>
          <w:b/>
          <w:bCs/>
          <w:sz w:val="26"/>
          <w:szCs w:val="26"/>
        </w:rPr>
        <w:t xml:space="preserve">II.C  LangChain and LlamaIndex Orchestration Frameworks</w:t>
      </w:r>
    </w:p>
    <w:p>
      <w:pPr>
        <w:pStyle w:val="ListParagraph"/>
        <w:numPr>
          <w:ilvl w:val="0"/>
          <w:numId w:val="2"/>
        </w:numPr>
        <w:spacing w:before="40" w:after="40"/>
      </w:pPr>
      <w:r>
        <w:rPr>
          <w:rFonts w:ascii="Arial" w:cs="Arial" w:eastAsia="Arial" w:hAnsi="Arial"/>
          <w:sz w:val="22"/>
          <w:szCs w:val="22"/>
        </w:rPr>
        <w:t xml:space="preserve">LangChain: modular pipeline construction; widely used for chaining retrieval, re-ranking, and generation steps; integrates with all major vector databases and LLM APIs.</w:t>
      </w:r>
    </w:p>
    <w:p>
      <w:pPr>
        <w:pStyle w:val="ListParagraph"/>
        <w:numPr>
          <w:ilvl w:val="0"/>
          <w:numId w:val="2"/>
        </w:numPr>
        <w:spacing w:before="40" w:after="40"/>
      </w:pPr>
      <w:r>
        <w:rPr>
          <w:rFonts w:ascii="Arial" w:cs="Arial" w:eastAsia="Arial" w:hAnsi="Arial"/>
          <w:sz w:val="22"/>
          <w:szCs w:val="22"/>
        </w:rPr>
        <w:t xml:space="preserve">LlamaIndex: optimized for performant retrieval; strong support for structured document indexing, multi-document routing, and sub-question decomposition (Paragon, 2024).</w:t>
      </w:r>
    </w:p>
    <w:p>
      <w:pPr>
        <w:pStyle w:val="ListParagraph"/>
        <w:numPr>
          <w:ilvl w:val="0"/>
          <w:numId w:val="2"/>
        </w:numPr>
        <w:spacing w:before="40" w:after="40"/>
      </w:pPr>
      <w:r>
        <w:rPr>
          <w:rFonts w:ascii="Arial" w:cs="Arial" w:eastAsia="Arial" w:hAnsi="Arial"/>
          <w:sz w:val="22"/>
          <w:szCs w:val="22"/>
        </w:rPr>
        <w:t xml:space="preserve">Both frameworks support FIPS-compliant configurations and air-gapped deployment when combined with self-hosted models.</w:t>
      </w:r>
    </w:p>
    <w:p>
      <w:pPr>
        <w:spacing w:before="60" w:after="60"/>
      </w:pPr>
      <w:r>
        <w:t xml:space="preserve"/>
      </w:r>
    </w:p>
    <w:p>
      <w:pPr>
        <w:pStyle w:val="Heading1"/>
        <w:spacing w:before="360" w:after="120"/>
      </w:pPr>
      <w:r>
        <w:rPr>
          <w:rFonts w:ascii="Arial" w:cs="Arial" w:eastAsia="Arial" w:hAnsi="Arial"/>
          <w:b/>
          <w:bCs/>
          <w:sz w:val="32"/>
          <w:szCs w:val="32"/>
        </w:rPr>
        <w:t xml:space="preserve">Section III: Security Controls for RAG Systems Handling CUI and Classified Data</w:t>
      </w:r>
    </w:p>
    <w:p>
      <w:pPr>
        <w:pStyle w:val="Heading2"/>
        <w:spacing w:before="240" w:after="80"/>
      </w:pPr>
      <w:r>
        <w:rPr>
          <w:rFonts w:ascii="Arial" w:cs="Arial" w:eastAsia="Arial" w:hAnsi="Arial"/>
          <w:b/>
          <w:bCs/>
          <w:sz w:val="26"/>
          <w:szCs w:val="26"/>
        </w:rPr>
        <w:t xml:space="preserve">III.A  Regulatory and Policy Framework</w:t>
      </w:r>
    </w:p>
    <w:p>
      <w:pPr>
        <w:pStyle w:val="ListParagraph"/>
        <w:numPr>
          <w:ilvl w:val="0"/>
          <w:numId w:val="2"/>
        </w:numPr>
        <w:spacing w:before="40" w:after="40"/>
      </w:pPr>
      <w:r>
        <w:rPr>
          <w:rFonts w:ascii="Arial" w:cs="Arial" w:eastAsia="Arial" w:hAnsi="Arial"/>
          <w:sz w:val="22"/>
          <w:szCs w:val="22"/>
        </w:rPr>
        <w:t xml:space="preserve">DoD Instruction 8510.01 (RMF): mandates Risk Management Framework for all DoD IT; AI systems including RAG pipelines are subject to full RMF authorization before operational deployment (DoD AI Cybersecurity RMF Tailoring Guide, 2024).</w:t>
      </w:r>
    </w:p>
    <w:p>
      <w:pPr>
        <w:pStyle w:val="ListParagraph"/>
        <w:numPr>
          <w:ilvl w:val="0"/>
          <w:numId w:val="2"/>
        </w:numPr>
        <w:spacing w:before="40" w:after="40"/>
      </w:pPr>
      <w:r>
        <w:rPr>
          <w:rFonts w:ascii="Arial" w:cs="Arial" w:eastAsia="Arial" w:hAnsi="Arial"/>
          <w:sz w:val="22"/>
          <w:szCs w:val="22"/>
        </w:rPr>
        <w:t xml:space="preserve">NIST SP 800-53 Rev 5: authoritative control catalog; RAG systems must implement controls from AC (Access Control), AU (Audit and Accountability), SC (System and Communications Protection), SI (System and Information Integrity), and RA (Risk Assessment) families.</w:t>
      </w:r>
    </w:p>
    <w:p>
      <w:pPr>
        <w:pStyle w:val="ListParagraph"/>
        <w:numPr>
          <w:ilvl w:val="0"/>
          <w:numId w:val="2"/>
        </w:numPr>
        <w:spacing w:before="40" w:after="40"/>
      </w:pPr>
      <w:r>
        <w:rPr>
          <w:rFonts w:ascii="Arial" w:cs="Arial" w:eastAsia="Arial" w:hAnsi="Arial"/>
          <w:sz w:val="22"/>
          <w:szCs w:val="22"/>
        </w:rPr>
        <w:t xml:space="preserve">NIST SP 800-171 Rev 3 / CMMC Level 2–3: applicable to contractors processing CUI; as of November 2025, CMMC is in effect for DoD contracts; RAG systems storing CUI must meet CMMC Level 2 (110 controls) minimum (Wiley, 2025).</w:t>
      </w:r>
    </w:p>
    <w:p>
      <w:pPr>
        <w:pStyle w:val="ListParagraph"/>
        <w:numPr>
          <w:ilvl w:val="0"/>
          <w:numId w:val="2"/>
        </w:numPr>
        <w:spacing w:before="40" w:after="40"/>
      </w:pPr>
      <w:r>
        <w:rPr>
          <w:rFonts w:ascii="Arial" w:cs="Arial" w:eastAsia="Arial" w:hAnsi="Arial"/>
          <w:sz w:val="22"/>
          <w:szCs w:val="22"/>
        </w:rPr>
        <w:t xml:space="preserve">NIST AI RMF 1.0 (GOVERN, MAP, MEASURE, MANAGE) and Generative AI Profile (NIST AI 600-1, July 2024): voluntary but strongly recommended; DoD CDAO’s Responsible AI Toolkit is built on these frameworks (NIST, 2025; CDAO RAI, 2024).</w:t>
      </w:r>
    </w:p>
    <w:p>
      <w:pPr>
        <w:pStyle w:val="ListParagraph"/>
        <w:numPr>
          <w:ilvl w:val="0"/>
          <w:numId w:val="2"/>
        </w:numPr>
        <w:spacing w:before="40" w:after="40"/>
      </w:pPr>
      <w:r>
        <w:rPr>
          <w:rFonts w:ascii="Arial" w:cs="Arial" w:eastAsia="Arial" w:hAnsi="Arial"/>
          <w:sz w:val="22"/>
          <w:szCs w:val="22"/>
        </w:rPr>
        <w:t xml:space="preserve">DoD Zero Trust Strategy and ZT Execution Roadmap: 152 ZT activities across five phases; RAG systems must implement identity, device, network, application, and data pillars of ZT (DoD ZT Primer, January 2026).</w:t>
      </w:r>
    </w:p>
    <w:p>
      <w:pPr>
        <w:pStyle w:val="ListParagraph"/>
        <w:numPr>
          <w:ilvl w:val="0"/>
          <w:numId w:val="2"/>
        </w:numPr>
        <w:spacing w:before="40" w:after="40"/>
      </w:pPr>
      <w:r>
        <w:rPr>
          <w:rFonts w:ascii="Arial" w:cs="Arial" w:eastAsia="Arial" w:hAnsi="Arial"/>
          <w:sz w:val="22"/>
          <w:szCs w:val="22"/>
        </w:rPr>
        <w:t xml:space="preserve">Executive Order 13556 (CUI Program) and EO 13526 (Classified National Security Information): govern marking, handling, and transmission rules directly applicable to RAG knowledge base content.</w:t>
      </w:r>
    </w:p>
    <w:p>
      <w:pPr>
        <w:spacing w:before="60" w:after="60"/>
      </w:pPr>
      <w:r>
        <w:t xml:space="preserve"/>
      </w:r>
    </w:p>
    <w:p>
      <w:pPr>
        <w:pStyle w:val="Heading2"/>
        <w:spacing w:before="240" w:after="80"/>
      </w:pPr>
      <w:r>
        <w:rPr>
          <w:rFonts w:ascii="Arial" w:cs="Arial" w:eastAsia="Arial" w:hAnsi="Arial"/>
          <w:b/>
          <w:bCs/>
          <w:sz w:val="26"/>
          <w:szCs w:val="26"/>
        </w:rPr>
        <w:t xml:space="preserve">III.B  Data Security Controls for the RAG Knowledge Base</w:t>
      </w:r>
    </w:p>
    <w:p>
      <w:pPr>
        <w:pStyle w:val="Heading3"/>
        <w:spacing w:before="160" w:after="60"/>
      </w:pPr>
      <w:r>
        <w:rPr>
          <w:rFonts w:ascii="Arial" w:cs="Arial" w:eastAsia="Arial" w:hAnsi="Arial"/>
          <w:b/>
          <w:bCs/>
          <w:sz w:val="24"/>
          <w:szCs w:val="24"/>
        </w:rPr>
        <w:t xml:space="preserve">III.B.1  Classification-Aware Ingestion</w:t>
      </w:r>
    </w:p>
    <w:p>
      <w:pPr>
        <w:pStyle w:val="ListParagraph"/>
        <w:numPr>
          <w:ilvl w:val="0"/>
          <w:numId w:val="2"/>
        </w:numPr>
        <w:spacing w:before="40" w:after="40"/>
      </w:pPr>
      <w:r>
        <w:rPr>
          <w:rFonts w:ascii="Arial" w:cs="Arial" w:eastAsia="Arial" w:hAnsi="Arial"/>
          <w:sz w:val="22"/>
          <w:szCs w:val="22"/>
        </w:rPr>
        <w:t xml:space="preserve">Every document ingested must have its classification marking parsed and stored as a vector metadata field (e.g., classification: "SECRET//NOFORN").</w:t>
      </w:r>
    </w:p>
    <w:p>
      <w:pPr>
        <w:pStyle w:val="ListParagraph"/>
        <w:numPr>
          <w:ilvl w:val="0"/>
          <w:numId w:val="2"/>
        </w:numPr>
        <w:spacing w:before="40" w:after="40"/>
      </w:pPr>
      <w:r>
        <w:rPr>
          <w:rFonts w:ascii="Arial" w:cs="Arial" w:eastAsia="Arial" w:hAnsi="Arial"/>
          <w:sz w:val="22"/>
          <w:szCs w:val="22"/>
        </w:rPr>
        <w:t xml:space="preserve">Automated classification recognition: use NLP classifiers trained on DoD marking conventions to detect and enforce markings; reject malformed or unclassified documents submitted to classified stores.</w:t>
      </w:r>
    </w:p>
    <w:p>
      <w:pPr>
        <w:pStyle w:val="ListParagraph"/>
        <w:numPr>
          <w:ilvl w:val="0"/>
          <w:numId w:val="2"/>
        </w:numPr>
        <w:spacing w:before="40" w:after="40"/>
      </w:pPr>
      <w:r>
        <w:rPr>
          <w:rFonts w:ascii="Arial" w:cs="Arial" w:eastAsia="Arial" w:hAnsi="Arial"/>
          <w:sz w:val="22"/>
          <w:szCs w:val="22"/>
        </w:rPr>
        <w:t xml:space="preserve">Separate vector indexes by classification level: UNCLASSIFIED, CUI, SECRET, and TOP SECRET corpora must reside in logically or physically isolated index namespaces.</w:t>
      </w:r>
    </w:p>
    <w:p>
      <w:pPr>
        <w:pStyle w:val="Heading3"/>
        <w:spacing w:before="160" w:after="60"/>
      </w:pPr>
      <w:r>
        <w:rPr>
          <w:rFonts w:ascii="Arial" w:cs="Arial" w:eastAsia="Arial" w:hAnsi="Arial"/>
          <w:b/>
          <w:bCs/>
          <w:sz w:val="24"/>
          <w:szCs w:val="24"/>
        </w:rPr>
        <w:t xml:space="preserve">III.B.2  Access Control and Least Privilege</w:t>
      </w:r>
    </w:p>
    <w:p>
      <w:pPr>
        <w:pStyle w:val="ListParagraph"/>
        <w:numPr>
          <w:ilvl w:val="0"/>
          <w:numId w:val="2"/>
        </w:numPr>
        <w:spacing w:before="40" w:after="40"/>
      </w:pPr>
      <w:r>
        <w:rPr>
          <w:rFonts w:ascii="Arial" w:cs="Arial" w:eastAsia="Arial" w:hAnsi="Arial"/>
          <w:sz w:val="22"/>
          <w:szCs w:val="22"/>
        </w:rPr>
        <w:t xml:space="preserve">Attribute-Based Access Control (ABAC): query-time metadata filters enforce that users only retrieve chunks at or below their clearance and need-to-know; queries from IL4-cleared users cannot traverse IL6 vector indexes.</w:t>
      </w:r>
    </w:p>
    <w:p>
      <w:pPr>
        <w:pStyle w:val="ListParagraph"/>
        <w:numPr>
          <w:ilvl w:val="0"/>
          <w:numId w:val="2"/>
        </w:numPr>
        <w:spacing w:before="40" w:after="40"/>
      </w:pPr>
      <w:r>
        <w:rPr>
          <w:rFonts w:ascii="Arial" w:cs="Arial" w:eastAsia="Arial" w:hAnsi="Arial"/>
          <w:sz w:val="22"/>
          <w:szCs w:val="22"/>
        </w:rPr>
        <w:t xml:space="preserve">CAC/PKI authentication: all DoD RAG endpoints must be gated by Common Access Card (CAC) / PIV authentication; no username/password access to sensitive stores.</w:t>
      </w:r>
    </w:p>
    <w:p>
      <w:pPr>
        <w:pStyle w:val="ListParagraph"/>
        <w:numPr>
          <w:ilvl w:val="0"/>
          <w:numId w:val="2"/>
        </w:numPr>
        <w:spacing w:before="40" w:after="40"/>
      </w:pPr>
      <w:r>
        <w:rPr>
          <w:rFonts w:ascii="Arial" w:cs="Arial" w:eastAsia="Arial" w:hAnsi="Arial"/>
          <w:sz w:val="22"/>
          <w:szCs w:val="22"/>
        </w:rPr>
        <w:t xml:space="preserve">Role-Based Access Control (RBAC): T&amp;E program office staff, test directors, and administrators have differentiated permissions for query, ingest, delete, and model configuration.</w:t>
      </w:r>
    </w:p>
    <w:p>
      <w:pPr>
        <w:pStyle w:val="Heading3"/>
        <w:spacing w:before="160" w:after="60"/>
      </w:pPr>
      <w:r>
        <w:rPr>
          <w:rFonts w:ascii="Arial" w:cs="Arial" w:eastAsia="Arial" w:hAnsi="Arial"/>
          <w:b/>
          <w:bCs/>
          <w:sz w:val="24"/>
          <w:szCs w:val="24"/>
        </w:rPr>
        <w:t xml:space="preserve">III.B.3  Encryption Requirements</w:t>
      </w:r>
    </w:p>
    <w:p>
      <w:pPr>
        <w:pStyle w:val="ListParagraph"/>
        <w:numPr>
          <w:ilvl w:val="0"/>
          <w:numId w:val="2"/>
        </w:numPr>
        <w:spacing w:before="40" w:after="40"/>
      </w:pPr>
      <w:r>
        <w:rPr>
          <w:rFonts w:ascii="Arial" w:cs="Arial" w:eastAsia="Arial" w:hAnsi="Arial"/>
          <w:sz w:val="22"/>
          <w:szCs w:val="22"/>
        </w:rPr>
        <w:t xml:space="preserve">Data at rest: AES-256 encryption on all vector database storage volumes; FIPS 140-2/140-3 validated cryptographic modules required (DISA CC SRG, IL4–IL6).</w:t>
      </w:r>
    </w:p>
    <w:p>
      <w:pPr>
        <w:pStyle w:val="ListParagraph"/>
        <w:numPr>
          <w:ilvl w:val="0"/>
          <w:numId w:val="2"/>
        </w:numPr>
        <w:spacing w:before="40" w:after="40"/>
      </w:pPr>
      <w:r>
        <w:rPr>
          <w:rFonts w:ascii="Arial" w:cs="Arial" w:eastAsia="Arial" w:hAnsi="Arial"/>
          <w:sz w:val="22"/>
          <w:szCs w:val="22"/>
        </w:rPr>
        <w:t xml:space="preserve">Data in transit: TLS 1.2 minimum (TLS 1.3 preferred) for all API calls between RAG components; mutual TLS for service-to-service communication.</w:t>
      </w:r>
    </w:p>
    <w:p>
      <w:pPr>
        <w:pStyle w:val="ListParagraph"/>
        <w:numPr>
          <w:ilvl w:val="0"/>
          <w:numId w:val="2"/>
        </w:numPr>
        <w:spacing w:before="40" w:after="40"/>
      </w:pPr>
      <w:r>
        <w:rPr>
          <w:rFonts w:ascii="Arial" w:cs="Arial" w:eastAsia="Arial" w:hAnsi="Arial"/>
          <w:sz w:val="22"/>
          <w:szCs w:val="22"/>
        </w:rPr>
        <w:t xml:space="preserve">Embedding vector confidentiality: embedding models can leak information via vector similarity attacks; dedicated inference nodes and secure enclaves prevent embedding exfiltration.</w:t>
      </w:r>
    </w:p>
    <w:p>
      <w:pPr>
        <w:spacing w:before="60" w:after="60"/>
      </w:pPr>
      <w:r>
        <w:t xml:space="preserve"/>
      </w:r>
    </w:p>
    <w:p>
      <w:pPr>
        <w:pStyle w:val="Heading2"/>
        <w:spacing w:before="240" w:after="80"/>
      </w:pPr>
      <w:r>
        <w:rPr>
          <w:rFonts w:ascii="Arial" w:cs="Arial" w:eastAsia="Arial" w:hAnsi="Arial"/>
          <w:b/>
          <w:bCs/>
          <w:sz w:val="26"/>
          <w:szCs w:val="26"/>
        </w:rPr>
        <w:t xml:space="preserve">III.C  AI-Specific Threats and Mitigations</w:t>
      </w:r>
    </w:p>
    <w:p>
      <w:pPr>
        <w:pStyle w:val="Heading3"/>
        <w:spacing w:before="160" w:after="60"/>
      </w:pPr>
      <w:r>
        <w:rPr>
          <w:rFonts w:ascii="Arial" w:cs="Arial" w:eastAsia="Arial" w:hAnsi="Arial"/>
          <w:b/>
          <w:bCs/>
          <w:sz w:val="24"/>
          <w:szCs w:val="24"/>
        </w:rPr>
        <w:t xml:space="preserve">III.C.1  Prompt Injection and Indirect Prompt Injection</w:t>
      </w:r>
    </w:p>
    <w:p>
      <w:pPr>
        <w:pStyle w:val="ListParagraph"/>
        <w:numPr>
          <w:ilvl w:val="0"/>
          <w:numId w:val="2"/>
        </w:numPr>
        <w:spacing w:before="40" w:after="40"/>
      </w:pPr>
      <w:r>
        <w:rPr>
          <w:rFonts w:ascii="Arial" w:cs="Arial" w:eastAsia="Arial" w:hAnsi="Arial"/>
          <w:sz w:val="22"/>
          <w:szCs w:val="22"/>
        </w:rPr>
        <w:t xml:space="preserve">Threat: adversarial input in retrieved documents instructs the LLM to override system prompt instructions (OWASP LLM Top 10 — LLM01, LLM08).</w:t>
      </w:r>
    </w:p>
    <w:p>
      <w:pPr>
        <w:pStyle w:val="ListParagraph"/>
        <w:numPr>
          <w:ilvl w:val="0"/>
          <w:numId w:val="2"/>
        </w:numPr>
        <w:spacing w:before="40" w:after="40"/>
      </w:pPr>
      <w:r>
        <w:rPr>
          <w:rFonts w:ascii="Arial" w:cs="Arial" w:eastAsia="Arial" w:hAnsi="Arial"/>
          <w:sz w:val="22"/>
          <w:szCs w:val="22"/>
        </w:rPr>
        <w:t xml:space="preserve">Mitigation: input sanitization at ingestion, prompt shields (Azure AI Content Safety, LLMGuard), output validation to detect instruction-following anomalies (Microsoft, 2026).</w:t>
      </w:r>
    </w:p>
    <w:p>
      <w:pPr>
        <w:pStyle w:val="Heading3"/>
        <w:spacing w:before="160" w:after="60"/>
      </w:pPr>
      <w:r>
        <w:rPr>
          <w:rFonts w:ascii="Arial" w:cs="Arial" w:eastAsia="Arial" w:hAnsi="Arial"/>
          <w:b/>
          <w:bCs/>
          <w:sz w:val="24"/>
          <w:szCs w:val="24"/>
        </w:rPr>
        <w:t xml:space="preserve">III.C.2  Knowledge Base Poisoning (PoisonedRAG)</w:t>
      </w:r>
    </w:p>
    <w:p>
      <w:pPr>
        <w:pStyle w:val="ListParagraph"/>
        <w:numPr>
          <w:ilvl w:val="0"/>
          <w:numId w:val="2"/>
        </w:numPr>
        <w:spacing w:before="40" w:after="40"/>
      </w:pPr>
      <w:r>
        <w:rPr>
          <w:rFonts w:ascii="Arial" w:cs="Arial" w:eastAsia="Arial" w:hAnsi="Arial"/>
          <w:sz w:val="22"/>
          <w:szCs w:val="22"/>
        </w:rPr>
        <w:t xml:space="preserve">Threat: adversary injects malicious documents into the vector store that cause the RAG system to produce attacker-controlled outputs (Zou et al., USENIX Security 2025).</w:t>
      </w:r>
    </w:p>
    <w:p>
      <w:pPr>
        <w:pStyle w:val="ListParagraph"/>
        <w:numPr>
          <w:ilvl w:val="0"/>
          <w:numId w:val="2"/>
        </w:numPr>
        <w:spacing w:before="40" w:after="40"/>
      </w:pPr>
      <w:r>
        <w:rPr>
          <w:rFonts w:ascii="Arial" w:cs="Arial" w:eastAsia="Arial" w:hAnsi="Arial"/>
          <w:sz w:val="22"/>
          <w:szCs w:val="22"/>
        </w:rPr>
        <w:t xml:space="preserve">Mitigation: document provenance verification, integrity hashing of all ingested content, access-controlled ingest pipelines, and periodic adversarial audits of retrieval behavior.</w:t>
      </w:r>
    </w:p>
    <w:p>
      <w:pPr>
        <w:pStyle w:val="Heading3"/>
        <w:spacing w:before="160" w:after="60"/>
      </w:pPr>
      <w:r>
        <w:rPr>
          <w:rFonts w:ascii="Arial" w:cs="Arial" w:eastAsia="Arial" w:hAnsi="Arial"/>
          <w:b/>
          <w:bCs/>
          <w:sz w:val="24"/>
          <w:szCs w:val="24"/>
        </w:rPr>
        <w:t xml:space="preserve">III.C.3  Model Inversion and Embedding Leakage</w:t>
      </w:r>
    </w:p>
    <w:p>
      <w:pPr>
        <w:pStyle w:val="ListParagraph"/>
        <w:numPr>
          <w:ilvl w:val="0"/>
          <w:numId w:val="2"/>
        </w:numPr>
        <w:spacing w:before="40" w:after="40"/>
      </w:pPr>
      <w:r>
        <w:rPr>
          <w:rFonts w:ascii="Arial" w:cs="Arial" w:eastAsia="Arial" w:hAnsi="Arial"/>
          <w:sz w:val="22"/>
          <w:szCs w:val="22"/>
        </w:rPr>
        <w:t xml:space="preserve">Mitigation: restrict API access to authorized users only; audit logs on all embedding queries; prohibit external embedding service calls for classified data (use on-premise embedding models).</w:t>
      </w:r>
    </w:p>
    <w:p>
      <w:pPr>
        <w:pStyle w:val="Heading3"/>
        <w:spacing w:before="160" w:after="60"/>
      </w:pPr>
      <w:r>
        <w:rPr>
          <w:rFonts w:ascii="Arial" w:cs="Arial" w:eastAsia="Arial" w:hAnsi="Arial"/>
          <w:b/>
          <w:bCs/>
          <w:sz w:val="24"/>
          <w:szCs w:val="24"/>
        </w:rPr>
        <w:t xml:space="preserve">III.C.4  Hallucination in Safety-Critical Outputs</w:t>
      </w:r>
    </w:p>
    <w:p>
      <w:pPr>
        <w:pStyle w:val="ListParagraph"/>
        <w:numPr>
          <w:ilvl w:val="0"/>
          <w:numId w:val="2"/>
        </w:numPr>
        <w:spacing w:before="40" w:after="40"/>
      </w:pPr>
      <w:r>
        <w:rPr>
          <w:rFonts w:ascii="Arial" w:cs="Arial" w:eastAsia="Arial" w:hAnsi="Arial"/>
          <w:sz w:val="22"/>
          <w:szCs w:val="22"/>
        </w:rPr>
        <w:t xml:space="preserve">Mitigation: groundedness scoring (faithfulness metric) automated pre-release; human-in-the-loop review for all T&amp;E deliverables; citation required for every factual claim in generated output.</w:t>
      </w:r>
    </w:p>
    <w:p>
      <w:pPr>
        <w:spacing w:before="60" w:after="60"/>
      </w:pPr>
      <w:r>
        <w:t xml:space="preserve"/>
      </w:r>
    </w:p>
    <w:p>
      <w:pPr>
        <w:pStyle w:val="Heading2"/>
        <w:spacing w:before="240" w:after="80"/>
      </w:pPr>
      <w:r>
        <w:rPr>
          <w:rFonts w:ascii="Arial" w:cs="Arial" w:eastAsia="Arial" w:hAnsi="Arial"/>
          <w:b/>
          <w:bCs/>
          <w:sz w:val="26"/>
          <w:szCs w:val="26"/>
        </w:rPr>
        <w:t xml:space="preserve">III.D  Authorization to Operate (ATO) and Continuous ATO (cATO) for AI Systems</w:t>
      </w:r>
    </w:p>
    <w:p>
      <w:pPr>
        <w:pStyle w:val="ListParagraph"/>
        <w:numPr>
          <w:ilvl w:val="0"/>
          <w:numId w:val="2"/>
        </w:numPr>
        <w:spacing w:before="40" w:after="40"/>
      </w:pPr>
      <w:r>
        <w:rPr>
          <w:rFonts w:ascii="Arial" w:cs="Arial" w:eastAsia="Arial" w:hAnsi="Arial"/>
          <w:sz w:val="22"/>
          <w:szCs w:val="22"/>
        </w:rPr>
        <w:t xml:space="preserve">DoD AI Cybersecurity RMF Tailoring Guide (2024): AI-specific RMF tailoring; authorizing officials must validate cybersecurity evidence at each model lifecycle phase (develop, test, deploy, sustain).</w:t>
      </w:r>
    </w:p>
    <w:p>
      <w:pPr>
        <w:pStyle w:val="ListParagraph"/>
        <w:numPr>
          <w:ilvl w:val="0"/>
          <w:numId w:val="2"/>
        </w:numPr>
        <w:spacing w:before="40" w:after="40"/>
      </w:pPr>
      <w:r>
        <w:rPr>
          <w:rFonts w:ascii="Arial" w:cs="Arial" w:eastAsia="Arial" w:hAnsi="Arial"/>
          <w:sz w:val="22"/>
          <w:szCs w:val="22"/>
        </w:rPr>
        <w:t xml:space="preserve">DevSecOps integration: RAG pipeline must be embedded in a DevSecOps platform (e.g., Platform One, CNAP); container images scanned with DISA STIGs; automated SAST/DAST in CI/CD pipeline.</w:t>
      </w:r>
    </w:p>
    <w:p>
      <w:pPr>
        <w:pStyle w:val="ListParagraph"/>
        <w:numPr>
          <w:ilvl w:val="0"/>
          <w:numId w:val="2"/>
        </w:numPr>
        <w:spacing w:before="40" w:after="40"/>
      </w:pPr>
      <w:r>
        <w:rPr>
          <w:rFonts w:ascii="Arial" w:cs="Arial" w:eastAsia="Arial" w:hAnsi="Arial"/>
          <w:sz w:val="22"/>
          <w:szCs w:val="22"/>
        </w:rPr>
        <w:t xml:space="preserve">cATO pathway: continuous monitoring with automated control assessment enables provisional ATO to be sustained without full re-authorization at each update; CDAO’s tools support this approach (CDAO AI RMF, 2024).</w:t>
      </w:r>
    </w:p>
    <w:p>
      <w:pPr>
        <w:pStyle w:val="ListParagraph"/>
        <w:numPr>
          <w:ilvl w:val="0"/>
          <w:numId w:val="2"/>
        </w:numPr>
        <w:spacing w:before="40" w:after="40"/>
      </w:pPr>
      <w:r>
        <w:rPr>
          <w:rFonts w:ascii="Arial" w:cs="Arial" w:eastAsia="Arial" w:hAnsi="Arial"/>
          <w:sz w:val="22"/>
          <w:szCs w:val="22"/>
        </w:rPr>
        <w:t xml:space="preserve">CMMC Level 3 for high-value CUI: 24 enhanced controls from NIST SP 800-172 for RAG systems handling acquisition-sensitive or weapons-system CUI; DIBCAC assessment required (Wiley, 2025).</w:t>
      </w:r>
    </w:p>
    <w:p>
      <w:pPr>
        <w:spacing w:before="60" w:after="60"/>
      </w:pPr>
      <w:r>
        <w:t xml:space="preserve"/>
      </w:r>
    </w:p>
    <w:p>
      <w:pPr>
        <w:pStyle w:val="Heading2"/>
        <w:spacing w:before="240" w:after="80"/>
      </w:pPr>
      <w:r>
        <w:rPr>
          <w:rFonts w:ascii="Arial" w:cs="Arial" w:eastAsia="Arial" w:hAnsi="Arial"/>
          <w:b/>
          <w:bCs/>
          <w:sz w:val="26"/>
          <w:szCs w:val="26"/>
        </w:rPr>
        <w:t xml:space="preserve">III.E  Zero Trust Architecture Integration</w:t>
      </w:r>
    </w:p>
    <w:p>
      <w:pPr>
        <w:pStyle w:val="ListParagraph"/>
        <w:numPr>
          <w:ilvl w:val="0"/>
          <w:numId w:val="2"/>
        </w:numPr>
        <w:spacing w:before="40" w:after="40"/>
      </w:pPr>
      <w:r>
        <w:rPr>
          <w:rFonts w:ascii="Arial" w:cs="Arial" w:eastAsia="Arial" w:hAnsi="Arial"/>
          <w:sz w:val="22"/>
          <w:szCs w:val="22"/>
        </w:rPr>
        <w:t xml:space="preserve">Identity pillar: every human and non-human (service account, API key) identity continuously verified; no implicit trust for in-network components.</w:t>
      </w:r>
    </w:p>
    <w:p>
      <w:pPr>
        <w:pStyle w:val="ListParagraph"/>
        <w:numPr>
          <w:ilvl w:val="0"/>
          <w:numId w:val="2"/>
        </w:numPr>
        <w:spacing w:before="40" w:after="40"/>
      </w:pPr>
      <w:r>
        <w:rPr>
          <w:rFonts w:ascii="Arial" w:cs="Arial" w:eastAsia="Arial" w:hAnsi="Arial"/>
          <w:sz w:val="22"/>
          <w:szCs w:val="22"/>
        </w:rPr>
        <w:t xml:space="preserve">Data pillar: data-centric access control; RAG query router enforces classification-boundary enforcement per the Federal Zero Trust Data Security Guide (CISO Council, revised May 2025).</w:t>
      </w:r>
    </w:p>
    <w:p>
      <w:pPr>
        <w:pStyle w:val="ListParagraph"/>
        <w:numPr>
          <w:ilvl w:val="0"/>
          <w:numId w:val="2"/>
        </w:numPr>
        <w:spacing w:before="40" w:after="40"/>
      </w:pPr>
      <w:r>
        <w:rPr>
          <w:rFonts w:ascii="Arial" w:cs="Arial" w:eastAsia="Arial" w:hAnsi="Arial"/>
          <w:sz w:val="22"/>
          <w:szCs w:val="22"/>
        </w:rPr>
        <w:t xml:space="preserve">Device pillar: only DoD-managed, STIG-compliant endpoints permitted to access RAG interfaces; continuous device posture assessment.</w:t>
      </w:r>
    </w:p>
    <w:p>
      <w:pPr>
        <w:pStyle w:val="ListParagraph"/>
        <w:numPr>
          <w:ilvl w:val="0"/>
          <w:numId w:val="2"/>
        </w:numPr>
        <w:spacing w:before="40" w:after="40"/>
      </w:pPr>
      <w:r>
        <w:rPr>
          <w:rFonts w:ascii="Arial" w:cs="Arial" w:eastAsia="Arial" w:hAnsi="Arial"/>
          <w:sz w:val="22"/>
          <w:szCs w:val="22"/>
        </w:rPr>
        <w:t xml:space="preserve">Network pillar: micro-segmented virtual networks isolating vector database, embedding service, and LLM inference from each other; east-west traffic logged and anomaly-detected.</w:t>
      </w:r>
    </w:p>
    <w:p>
      <w:pPr>
        <w:spacing w:before="60" w:after="60"/>
      </w:pPr>
      <w:r>
        <w:t xml:space="preserve"/>
      </w:r>
    </w:p>
    <w:p>
      <w:pPr>
        <w:pStyle w:val="Heading1"/>
        <w:spacing w:before="360" w:after="120"/>
      </w:pPr>
      <w:r>
        <w:rPr>
          <w:rFonts w:ascii="Arial" w:cs="Arial" w:eastAsia="Arial" w:hAnsi="Arial"/>
          <w:b/>
          <w:bCs/>
          <w:sz w:val="32"/>
          <w:szCs w:val="32"/>
        </w:rPr>
        <w:t xml:space="preserve">Section IV: Few-Shot Prompting Transforms RAG into an Automated T&amp;E Report Generation Capability</w:t>
      </w:r>
    </w:p>
    <w:p>
      <w:pPr>
        <w:pStyle w:val="Heading2"/>
        <w:spacing w:before="240" w:after="80"/>
      </w:pPr>
      <w:r>
        <w:rPr>
          <w:rFonts w:ascii="Arial" w:cs="Arial" w:eastAsia="Arial" w:hAnsi="Arial"/>
          <w:b/>
          <w:bCs/>
          <w:sz w:val="26"/>
          <w:szCs w:val="26"/>
        </w:rPr>
        <w:t xml:space="preserve">IV.A  The Conceptual Shift: From QA Tool to Report Generator</w:t>
      </w:r>
    </w:p>
    <w:p>
      <w:pPr>
        <w:spacing w:before="60" w:after="60"/>
      </w:pPr>
      <w:r>
        <w:rPr>
          <w:rFonts w:ascii="Arial" w:cs="Arial" w:eastAsia="Arial" w:hAnsi="Arial"/>
          <w:sz w:val="22"/>
          <w:szCs w:val="22"/>
        </w:rPr>
        <w:t xml:space="preserve">A baseline RAG system answers questions. A few-shot-prompted RAG system produces structured, formatted deliverables. The difference is entirely in the prompt engineering layer—the retrieval and generation architecture is unchanged. This section explains how that transformation occurs and what it means for T&amp;E analyst workload and deliverable cycle time.</w:t>
      </w:r>
    </w:p>
    <w:p>
      <w:pPr>
        <w:spacing w:before="60" w:after="60"/>
      </w:pPr>
      <w:r>
        <w:t xml:space="preserve"/>
      </w:r>
    </w:p>
    <w:p>
      <w:pPr>
        <w:pStyle w:val="Heading2"/>
        <w:spacing w:before="240" w:after="80"/>
      </w:pPr>
      <w:r>
        <w:rPr>
          <w:rFonts w:ascii="Arial" w:cs="Arial" w:eastAsia="Arial" w:hAnsi="Arial"/>
          <w:b/>
          <w:bCs/>
          <w:sz w:val="26"/>
          <w:szCs w:val="26"/>
        </w:rPr>
        <w:t xml:space="preserve">IV.B  Few-Shot Prompting: Mechanism and Efficacy</w:t>
      </w:r>
    </w:p>
    <w:p>
      <w:pPr>
        <w:pStyle w:val="ListParagraph"/>
        <w:numPr>
          <w:ilvl w:val="0"/>
          <w:numId w:val="2"/>
        </w:numPr>
        <w:spacing w:before="40" w:after="40"/>
      </w:pPr>
      <w:r>
        <w:rPr>
          <w:rFonts w:ascii="Arial" w:cs="Arial" w:eastAsia="Arial" w:hAnsi="Arial"/>
          <w:sz w:val="22"/>
          <w:szCs w:val="22"/>
        </w:rPr>
        <w:t xml:space="preserve">Definition: few-shot prompting provides 3–8 input/output demonstration pairs in the system or user prompt, conditioning the LLM to produce outputs that match the demonstrated format, style, and structure (Brown et al., 2020; Promptingguide.ai, 2024).</w:t>
      </w:r>
    </w:p>
    <w:p>
      <w:pPr>
        <w:pStyle w:val="ListParagraph"/>
        <w:numPr>
          <w:ilvl w:val="0"/>
          <w:numId w:val="2"/>
        </w:numPr>
        <w:spacing w:before="40" w:after="40"/>
      </w:pPr>
      <w:r>
        <w:rPr>
          <w:rFonts w:ascii="Arial" w:cs="Arial" w:eastAsia="Arial" w:hAnsi="Arial"/>
          <w:sz w:val="22"/>
          <w:szCs w:val="22"/>
        </w:rPr>
        <w:t xml:space="preserve">In-context learning: LLMs at sufficient scale exhibit emergent in-context learning—the ability to infer a task from examples without gradient updates (Touvron et al., 2023; Kaplan et al., 2020).</w:t>
      </w:r>
    </w:p>
    <w:p>
      <w:pPr>
        <w:pStyle w:val="ListParagraph"/>
        <w:numPr>
          <w:ilvl w:val="0"/>
          <w:numId w:val="2"/>
        </w:numPr>
        <w:spacing w:before="40" w:after="40"/>
      </w:pPr>
      <w:r>
        <w:rPr>
          <w:rFonts w:ascii="Arial" w:cs="Arial" w:eastAsia="Arial" w:hAnsi="Arial"/>
          <w:sz w:val="22"/>
          <w:szCs w:val="22"/>
        </w:rPr>
        <w:t xml:space="preserve">Demonstrated improvement: few-shot prompts paired with RAG context show substantially higher accuracy than zero-shot RAG on structured output tasks; medical phenotyping studies demonstrate PPV improvements of 15–25 percentage points from zero-shot to few-shot configurations (medRxiv, 2025).</w:t>
      </w:r>
    </w:p>
    <w:p>
      <w:pPr>
        <w:pStyle w:val="ListParagraph"/>
        <w:numPr>
          <w:ilvl w:val="0"/>
          <w:numId w:val="2"/>
        </w:numPr>
        <w:spacing w:before="40" w:after="40"/>
      </w:pPr>
      <w:r>
        <w:rPr>
          <w:rFonts w:ascii="Arial" w:cs="Arial" w:eastAsia="Arial" w:hAnsi="Arial"/>
          <w:sz w:val="22"/>
          <w:szCs w:val="22"/>
        </w:rPr>
        <w:t xml:space="preserve">Synergy with RAG: retrieved context provides factual grounding; few-shot examples specify format and reasoning style; together they produce outputs that are both factually correct and structurally compliant with T&amp;E report templates.</w:t>
      </w:r>
    </w:p>
    <w:p>
      <w:pPr>
        <w:spacing w:before="60" w:after="60"/>
      </w:pPr>
      <w:r>
        <w:t xml:space="preserve"/>
      </w:r>
    </w:p>
    <w:p>
      <w:pPr>
        <w:pStyle w:val="Heading2"/>
        <w:spacing w:before="240" w:after="80"/>
      </w:pPr>
      <w:r>
        <w:rPr>
          <w:rFonts w:ascii="Arial" w:cs="Arial" w:eastAsia="Arial" w:hAnsi="Arial"/>
          <w:b/>
          <w:bCs/>
          <w:sz w:val="26"/>
          <w:szCs w:val="26"/>
        </w:rPr>
        <w:t xml:space="preserve">IV.C  Designing T&amp;E-Specific Few-Shot Prompts</w:t>
      </w:r>
    </w:p>
    <w:p>
      <w:pPr>
        <w:pStyle w:val="Heading3"/>
        <w:spacing w:before="160" w:after="60"/>
      </w:pPr>
      <w:r>
        <w:rPr>
          <w:rFonts w:ascii="Arial" w:cs="Arial" w:eastAsia="Arial" w:hAnsi="Arial"/>
          <w:b/>
          <w:bCs/>
          <w:sz w:val="24"/>
          <w:szCs w:val="24"/>
        </w:rPr>
        <w:t xml:space="preserve">IV.C.1  Example Selection Principles</w:t>
      </w:r>
    </w:p>
    <w:p>
      <w:pPr>
        <w:pStyle w:val="ListParagraph"/>
        <w:numPr>
          <w:ilvl w:val="0"/>
          <w:numId w:val="2"/>
        </w:numPr>
        <w:spacing w:before="40" w:after="40"/>
      </w:pPr>
      <w:r>
        <w:rPr>
          <w:rFonts w:ascii="Arial" w:cs="Arial" w:eastAsia="Arial" w:hAnsi="Arial"/>
          <w:sz w:val="22"/>
          <w:szCs w:val="22"/>
        </w:rPr>
        <w:t xml:space="preserve">Representativeness: select examples spanning multiple system types, test phases (DT, OT, LFT&amp;E), and outcome categories (pass, conditional pass, fail).</w:t>
      </w:r>
    </w:p>
    <w:p>
      <w:pPr>
        <w:pStyle w:val="ListParagraph"/>
        <w:numPr>
          <w:ilvl w:val="0"/>
          <w:numId w:val="2"/>
        </w:numPr>
        <w:spacing w:before="40" w:after="40"/>
      </w:pPr>
      <w:r>
        <w:rPr>
          <w:rFonts w:ascii="Arial" w:cs="Arial" w:eastAsia="Arial" w:hAnsi="Arial"/>
          <w:sz w:val="22"/>
          <w:szCs w:val="22"/>
        </w:rPr>
        <w:t xml:space="preserve">Format fidelity: examples must exactly replicate the target report schema—section headers, table formats, finding codes, and citation style.</w:t>
      </w:r>
    </w:p>
    <w:p>
      <w:pPr>
        <w:pStyle w:val="ListParagraph"/>
        <w:numPr>
          <w:ilvl w:val="0"/>
          <w:numId w:val="2"/>
        </w:numPr>
        <w:spacing w:before="40" w:after="40"/>
      </w:pPr>
      <w:r>
        <w:rPr>
          <w:rFonts w:ascii="Arial" w:cs="Arial" w:eastAsia="Arial" w:hAnsi="Arial"/>
          <w:sz w:val="22"/>
          <w:szCs w:val="22"/>
        </w:rPr>
        <w:t xml:space="preserve">Minimal sufficient set: 3–5 high-quality examples typically outperform 10+ lower-quality examples; quality of exemplars matters more than quantity (ARES paper, 2024).</w:t>
      </w:r>
    </w:p>
    <w:p>
      <w:pPr>
        <w:pStyle w:val="ListParagraph"/>
        <w:numPr>
          <w:ilvl w:val="0"/>
          <w:numId w:val="2"/>
        </w:numPr>
        <w:spacing w:before="40" w:after="40"/>
      </w:pPr>
      <w:r>
        <w:rPr>
          <w:rFonts w:ascii="Arial" w:cs="Arial" w:eastAsia="Arial" w:hAnsi="Arial"/>
          <w:sz w:val="22"/>
          <w:szCs w:val="22"/>
        </w:rPr>
        <w:t xml:space="preserve">Security alignment: all few-shot examples must be at or below the operational classification level; do not embed SECRET examples in a NIPR-facing prompt.</w:t>
      </w:r>
    </w:p>
    <w:p>
      <w:pPr>
        <w:pStyle w:val="Heading3"/>
        <w:spacing w:before="160" w:after="60"/>
      </w:pPr>
      <w:r>
        <w:rPr>
          <w:rFonts w:ascii="Arial" w:cs="Arial" w:eastAsia="Arial" w:hAnsi="Arial"/>
          <w:b/>
          <w:bCs/>
          <w:sz w:val="24"/>
          <w:szCs w:val="24"/>
        </w:rPr>
        <w:t xml:space="preserve">IV.C.2  Prompt Architecture for Report Generation</w:t>
      </w:r>
    </w:p>
    <w:p>
      <w:pPr>
        <w:pStyle w:val="ListParagraph"/>
        <w:numPr>
          <w:ilvl w:val="0"/>
          <w:numId w:val="2"/>
        </w:numPr>
        <w:spacing w:before="40" w:after="40"/>
      </w:pPr>
      <w:r>
        <w:rPr>
          <w:rFonts w:ascii="Arial" w:cs="Arial" w:eastAsia="Arial" w:hAnsi="Arial"/>
          <w:sz w:val="22"/>
          <w:szCs w:val="22"/>
        </w:rPr>
        <w:t xml:space="preserve">System prompt: defines role (“You are a DoD T&amp;E analyst”), output constraints (format, citation requirements, classification handling), chain-of-thought instruction (“Reason step by step before producing findings”).</w:t>
      </w:r>
    </w:p>
    <w:p>
      <w:pPr>
        <w:pStyle w:val="ListParagraph"/>
        <w:numPr>
          <w:ilvl w:val="0"/>
          <w:numId w:val="2"/>
        </w:numPr>
        <w:spacing w:before="40" w:after="40"/>
      </w:pPr>
      <w:r>
        <w:rPr>
          <w:rFonts w:ascii="Arial" w:cs="Arial" w:eastAsia="Arial" w:hAnsi="Arial"/>
          <w:sz w:val="22"/>
          <w:szCs w:val="22"/>
        </w:rPr>
        <w:t xml:space="preserve">Few-shot block: 3–5 complete example report sections with annotated retrieved context showing how evidence maps to each finding.</w:t>
      </w:r>
    </w:p>
    <w:p>
      <w:pPr>
        <w:pStyle w:val="ListParagraph"/>
        <w:numPr>
          <w:ilvl w:val="0"/>
          <w:numId w:val="2"/>
        </w:numPr>
        <w:spacing w:before="40" w:after="40"/>
      </w:pPr>
      <w:r>
        <w:rPr>
          <w:rFonts w:ascii="Arial" w:cs="Arial" w:eastAsia="Arial" w:hAnsi="Arial"/>
          <w:sz w:val="22"/>
          <w:szCs w:val="22"/>
        </w:rPr>
        <w:t xml:space="preserve">Query block: the analyst’s actual request (e.g., “Generate Section 3 Findings for the [system] [test phase] test based on the attached test data”).</w:t>
      </w:r>
    </w:p>
    <w:p>
      <w:pPr>
        <w:pStyle w:val="ListParagraph"/>
        <w:numPr>
          <w:ilvl w:val="0"/>
          <w:numId w:val="2"/>
        </w:numPr>
        <w:spacing w:before="40" w:after="40"/>
      </w:pPr>
      <w:r>
        <w:rPr>
          <w:rFonts w:ascii="Arial" w:cs="Arial" w:eastAsia="Arial" w:hAnsi="Arial"/>
          <w:sz w:val="22"/>
          <w:szCs w:val="22"/>
        </w:rPr>
        <w:t xml:space="preserve">Context window: top-k retrieved chunks from the T&amp;E knowledge base inserted between few-shot block and query.</w:t>
      </w:r>
    </w:p>
    <w:p>
      <w:pPr>
        <w:spacing w:before="60" w:after="60"/>
      </w:pPr>
      <w:r>
        <w:t xml:space="preserve"/>
      </w:r>
    </w:p>
    <w:p>
      <w:pPr>
        <w:pStyle w:val="Heading2"/>
        <w:spacing w:before="240" w:after="80"/>
      </w:pPr>
      <w:r>
        <w:rPr>
          <w:rFonts w:ascii="Arial" w:cs="Arial" w:eastAsia="Arial" w:hAnsi="Arial"/>
          <w:b/>
          <w:bCs/>
          <w:sz w:val="26"/>
          <w:szCs w:val="26"/>
        </w:rPr>
        <w:t xml:space="preserve">IV.D  Specific T&amp;E Report Types Amenable to Automated Generation</w:t>
      </w:r>
    </w:p>
    <w:p>
      <w:pPr>
        <w:pStyle w:val="ListParagraph"/>
        <w:numPr>
          <w:ilvl w:val="0"/>
          <w:numId w:val="2"/>
        </w:numPr>
        <w:spacing w:before="40" w:after="40"/>
      </w:pPr>
      <w:r>
        <w:rPr>
          <w:rFonts w:ascii="Arial" w:cs="Arial" w:eastAsia="Arial" w:hAnsi="Arial"/>
          <w:sz w:val="22"/>
          <w:szCs w:val="22"/>
        </w:rPr>
        <w:t xml:space="preserve">Test and Evaluation Master Plan (TEMP) sections: background, test objectives, resource requirements—templated sections populated from program documents.</w:t>
      </w:r>
    </w:p>
    <w:p>
      <w:pPr>
        <w:pStyle w:val="ListParagraph"/>
        <w:numPr>
          <w:ilvl w:val="0"/>
          <w:numId w:val="2"/>
        </w:numPr>
        <w:spacing w:before="40" w:after="40"/>
      </w:pPr>
      <w:r>
        <w:rPr>
          <w:rFonts w:ascii="Arial" w:cs="Arial" w:eastAsia="Arial" w:hAnsi="Arial"/>
          <w:sz w:val="22"/>
          <w:szCs w:val="22"/>
        </w:rPr>
        <w:t xml:space="preserve">Test Execution Reports (TERs) / Test Incident Reports (TIRs): structured findings with condition, deviation, severity, and corrective action fields; ideal for few-shot templating.</w:t>
      </w:r>
    </w:p>
    <w:p>
      <w:pPr>
        <w:pStyle w:val="ListParagraph"/>
        <w:numPr>
          <w:ilvl w:val="0"/>
          <w:numId w:val="2"/>
        </w:numPr>
        <w:spacing w:before="40" w:after="40"/>
      </w:pPr>
      <w:r>
        <w:rPr>
          <w:rFonts w:ascii="Arial" w:cs="Arial" w:eastAsia="Arial" w:hAnsi="Arial"/>
          <w:sz w:val="22"/>
          <w:szCs w:val="22"/>
        </w:rPr>
        <w:t xml:space="preserve">Interim Fielding Assessment (IFA): synthesizes operational effectiveness and suitability data from multiple test events; RAG enables multi-document synthesis at scale.</w:t>
      </w:r>
    </w:p>
    <w:p>
      <w:pPr>
        <w:pStyle w:val="ListParagraph"/>
        <w:numPr>
          <w:ilvl w:val="0"/>
          <w:numId w:val="2"/>
        </w:numPr>
        <w:spacing w:before="40" w:after="40"/>
      </w:pPr>
      <w:r>
        <w:rPr>
          <w:rFonts w:ascii="Arial" w:cs="Arial" w:eastAsia="Arial" w:hAnsi="Arial"/>
          <w:sz w:val="22"/>
          <w:szCs w:val="22"/>
        </w:rPr>
        <w:t xml:space="preserve">Deficiency Reports and FRACAS entries: condition/cause/corrective action structure amenable to RAG retrieval from previous deficiency databases.</w:t>
      </w:r>
    </w:p>
    <w:p>
      <w:pPr>
        <w:pStyle w:val="ListParagraph"/>
        <w:numPr>
          <w:ilvl w:val="0"/>
          <w:numId w:val="2"/>
        </w:numPr>
        <w:spacing w:before="40" w:after="40"/>
      </w:pPr>
      <w:r>
        <w:rPr>
          <w:rFonts w:ascii="Arial" w:cs="Arial" w:eastAsia="Arial" w:hAnsi="Arial"/>
          <w:sz w:val="22"/>
          <w:szCs w:val="22"/>
        </w:rPr>
        <w:t xml:space="preserve">Metrics dashboards: few-shot prompting can generate formatted Measure of Performance (MOP) and Measure of Effectiveness (MOE) tables from raw test data.</w:t>
      </w:r>
    </w:p>
    <w:p>
      <w:pPr>
        <w:spacing w:before="60" w:after="60"/>
      </w:pPr>
      <w:r>
        <w:t xml:space="preserve"/>
      </w:r>
    </w:p>
    <w:p>
      <w:pPr>
        <w:pStyle w:val="Heading2"/>
        <w:spacing w:before="240" w:after="80"/>
      </w:pPr>
      <w:r>
        <w:rPr>
          <w:rFonts w:ascii="Arial" w:cs="Arial" w:eastAsia="Arial" w:hAnsi="Arial"/>
          <w:b/>
          <w:bCs/>
          <w:sz w:val="26"/>
          <w:szCs w:val="26"/>
        </w:rPr>
        <w:t xml:space="preserve">IV.E  Analyst Workload Reduction and Cycle Time Acceleration</w:t>
      </w:r>
    </w:p>
    <w:p>
      <w:pPr>
        <w:pStyle w:val="ListParagraph"/>
        <w:numPr>
          <w:ilvl w:val="0"/>
          <w:numId w:val="2"/>
        </w:numPr>
        <w:spacing w:before="40" w:after="40"/>
      </w:pPr>
      <w:r>
        <w:rPr>
          <w:rFonts w:ascii="Arial" w:cs="Arial" w:eastAsia="Arial" w:hAnsi="Arial"/>
          <w:sz w:val="22"/>
          <w:szCs w:val="22"/>
        </w:rPr>
        <w:t xml:space="preserve">NIPRGPT evidence: 100,000+ DoD users immediately adopted the tool for drafting, summarizing, and code generation; demand signal validates broad applicability (GDIT, 2024; Ben Van Roo, 2025).</w:t>
      </w:r>
    </w:p>
    <w:p>
      <w:pPr>
        <w:pStyle w:val="ListParagraph"/>
        <w:numPr>
          <w:ilvl w:val="0"/>
          <w:numId w:val="2"/>
        </w:numPr>
        <w:spacing w:before="40" w:after="40"/>
      </w:pPr>
      <w:r>
        <w:rPr>
          <w:rFonts w:ascii="Arial" w:cs="Arial" w:eastAsia="Arial" w:hAnsi="Arial"/>
          <w:sz w:val="22"/>
          <w:szCs w:val="22"/>
        </w:rPr>
        <w:t xml:space="preserve">Ask Sage T&amp;E case: 95% reported savings on ATO documentation generation; CDAO Combatant Command teams use it to generate RFPs and acquisition strategy documents (Ask Sage, 2025).</w:t>
      </w:r>
    </w:p>
    <w:p>
      <w:pPr>
        <w:pStyle w:val="ListParagraph"/>
        <w:numPr>
          <w:ilvl w:val="0"/>
          <w:numId w:val="2"/>
        </w:numPr>
        <w:spacing w:before="40" w:after="40"/>
      </w:pPr>
      <w:r>
        <w:rPr>
          <w:rFonts w:ascii="Arial" w:cs="Arial" w:eastAsia="Arial" w:hAnsi="Arial"/>
          <w:sz w:val="22"/>
          <w:szCs w:val="22"/>
        </w:rPr>
        <w:t xml:space="preserve">Quantified time savings (enterprise analogs): RAG-powered report generation in legal and regulatory domains reduces initial draft time by 60–80%; T&amp;E analog studies pending but consistent patterns expected given comparable document complexity.</w:t>
      </w:r>
    </w:p>
    <w:p>
      <w:pPr>
        <w:pStyle w:val="ListParagraph"/>
        <w:numPr>
          <w:ilvl w:val="0"/>
          <w:numId w:val="2"/>
        </w:numPr>
        <w:spacing w:before="40" w:after="40"/>
      </w:pPr>
      <w:r>
        <w:rPr>
          <w:rFonts w:ascii="Arial" w:cs="Arial" w:eastAsia="Arial" w:hAnsi="Arial"/>
          <w:sz w:val="22"/>
          <w:szCs w:val="22"/>
        </w:rPr>
        <w:t xml:space="preserve">Quality improvement: automated first-pass drafts enforce completeness (all required sections present), consistency (uniform terminology), and citation coverage—errors of omission that commonly delay T&amp;E reports are reduced.</w:t>
      </w:r>
    </w:p>
    <w:p>
      <w:pPr>
        <w:pStyle w:val="ListParagraph"/>
        <w:numPr>
          <w:ilvl w:val="0"/>
          <w:numId w:val="2"/>
        </w:numPr>
        <w:spacing w:before="40" w:after="40"/>
      </w:pPr>
      <w:r>
        <w:rPr>
          <w:rFonts w:ascii="Arial" w:cs="Arial" w:eastAsia="Arial" w:hAnsi="Arial"/>
          <w:sz w:val="22"/>
          <w:szCs w:val="22"/>
        </w:rPr>
        <w:t xml:space="preserve">Analyst role shift: from document drafter to document reviewer; analyst attention focused on technical accuracy, edge cases, and judgment calls rather than boilerplate generation.</w:t>
      </w:r>
    </w:p>
    <w:p>
      <w:pPr>
        <w:spacing w:before="60" w:after="60"/>
      </w:pPr>
      <w:r>
        <w:t xml:space="preserve"/>
      </w:r>
    </w:p>
    <w:p>
      <w:pPr>
        <w:pStyle w:val="Heading2"/>
        <w:spacing w:before="240" w:after="80"/>
      </w:pPr>
      <w:r>
        <w:rPr>
          <w:rFonts w:ascii="Arial" w:cs="Arial" w:eastAsia="Arial" w:hAnsi="Arial"/>
          <w:b/>
          <w:bCs/>
          <w:sz w:val="26"/>
          <w:szCs w:val="26"/>
        </w:rPr>
        <w:t xml:space="preserve">IV.F  Evaluation Framework for RAG-Powered T&amp;E Report Quality</w:t>
      </w:r>
    </w:p>
    <w:p>
      <w:pPr>
        <w:pStyle w:val="ListParagraph"/>
        <w:numPr>
          <w:ilvl w:val="0"/>
          <w:numId w:val="2"/>
        </w:numPr>
        <w:spacing w:before="40" w:after="40"/>
      </w:pPr>
      <w:r>
        <w:rPr>
          <w:rFonts w:ascii="Arial" w:cs="Arial" w:eastAsia="Arial" w:hAnsi="Arial"/>
          <w:sz w:val="22"/>
          <w:szCs w:val="22"/>
        </w:rPr>
        <w:t xml:space="preserve">RAGAS metrics (faithfulness, context relevance, answer relevance): automated pipeline quality scoring before analyst review (Promptingguide.ai RAG, 2024).</w:t>
      </w:r>
    </w:p>
    <w:p>
      <w:pPr>
        <w:pStyle w:val="ListParagraph"/>
        <w:numPr>
          <w:ilvl w:val="0"/>
          <w:numId w:val="2"/>
        </w:numPr>
        <w:spacing w:before="40" w:after="40"/>
      </w:pPr>
      <w:r>
        <w:rPr>
          <w:rFonts w:ascii="Arial" w:cs="Arial" w:eastAsia="Arial" w:hAnsi="Arial"/>
          <w:sz w:val="22"/>
          <w:szCs w:val="22"/>
        </w:rPr>
        <w:t xml:space="preserve">ARES framework: few-shot-seeded LLM judges evaluate context relevance, answer faithfulness, and answer relevance; validated against human preference annotations (arxiv 2311.09476, 2024).</w:t>
      </w:r>
    </w:p>
    <w:p>
      <w:pPr>
        <w:pStyle w:val="ListParagraph"/>
        <w:numPr>
          <w:ilvl w:val="0"/>
          <w:numId w:val="2"/>
        </w:numPr>
        <w:spacing w:before="40" w:after="40"/>
      </w:pPr>
      <w:r>
        <w:rPr>
          <w:rFonts w:ascii="Arial" w:cs="Arial" w:eastAsia="Arial" w:hAnsi="Arial"/>
          <w:sz w:val="22"/>
          <w:szCs w:val="22"/>
        </w:rPr>
        <w:t xml:space="preserve">T&amp;E-specific metrics: citation coverage rate (% of factual claims with source citation), format compliance rate (% of sections matching template schema), deficiency detection rate (comparison to ground-truth test records).</w:t>
      </w:r>
    </w:p>
    <w:p>
      <w:pPr>
        <w:pStyle w:val="ListParagraph"/>
        <w:numPr>
          <w:ilvl w:val="0"/>
          <w:numId w:val="2"/>
        </w:numPr>
        <w:spacing w:before="40" w:after="40"/>
      </w:pPr>
      <w:r>
        <w:rPr>
          <w:rFonts w:ascii="Arial" w:cs="Arial" w:eastAsia="Arial" w:hAnsi="Arial"/>
          <w:sz w:val="22"/>
          <w:szCs w:val="22"/>
        </w:rPr>
        <w:t xml:space="preserve">Red-team evaluation: adversarial testing of prompt injection, knowledge base poisoning, and hallucination under missing-data conditions prior to operational deployment.</w:t>
      </w:r>
    </w:p>
    <w:p>
      <w:pPr>
        <w:spacing w:before="60" w:after="60"/>
      </w:pPr>
      <w:r>
        <w:t xml:space="preserve"/>
      </w:r>
    </w:p>
    <w:p>
      <w:pPr>
        <w:pStyle w:val="Heading2"/>
        <w:spacing w:before="240" w:after="80"/>
      </w:pPr>
      <w:r>
        <w:rPr>
          <w:rFonts w:ascii="Arial" w:cs="Arial" w:eastAsia="Arial" w:hAnsi="Arial"/>
          <w:b/>
          <w:bCs/>
          <w:sz w:val="26"/>
          <w:szCs w:val="26"/>
        </w:rPr>
        <w:t xml:space="preserve">IV.G  Integration with CDAO T&amp;E Frameworks</w:t>
      </w:r>
    </w:p>
    <w:p>
      <w:pPr>
        <w:pStyle w:val="ListParagraph"/>
        <w:numPr>
          <w:ilvl w:val="0"/>
          <w:numId w:val="2"/>
        </w:numPr>
        <w:spacing w:before="40" w:after="40"/>
      </w:pPr>
      <w:r>
        <w:rPr>
          <w:rFonts w:ascii="Arial" w:cs="Arial" w:eastAsia="Arial" w:hAnsi="Arial"/>
          <w:sz w:val="22"/>
          <w:szCs w:val="22"/>
        </w:rPr>
        <w:t xml:space="preserve">CDAO T&amp;E of AI Models Framework (April 2024): six areas—Performance, Testing Methods, Data, AI Models, Context, Documentation—all applicable to evaluating a RAG-based report generation system (CDAO AI RCC, 2024; Domino, 2025).</w:t>
      </w:r>
    </w:p>
    <w:p>
      <w:pPr>
        <w:pStyle w:val="ListParagraph"/>
        <w:numPr>
          <w:ilvl w:val="0"/>
          <w:numId w:val="2"/>
        </w:numPr>
        <w:spacing w:before="40" w:after="40"/>
      </w:pPr>
      <w:r>
        <w:rPr>
          <w:rFonts w:ascii="Arial" w:cs="Arial" w:eastAsia="Arial" w:hAnsi="Arial"/>
          <w:sz w:val="22"/>
          <w:szCs w:val="22"/>
        </w:rPr>
        <w:t xml:space="preserve">OT&amp;E of AI-Enabled Capabilities (April 2024): operational realism requirements apply to RAG evaluation; test with operationally representative document corpora and realistic analyst queries.</w:t>
      </w:r>
    </w:p>
    <w:p>
      <w:pPr>
        <w:pStyle w:val="ListParagraph"/>
        <w:numPr>
          <w:ilvl w:val="0"/>
          <w:numId w:val="2"/>
        </w:numPr>
        <w:spacing w:before="40" w:after="40"/>
      </w:pPr>
      <w:r>
        <w:rPr>
          <w:rFonts w:ascii="Arial" w:cs="Arial" w:eastAsia="Arial" w:hAnsi="Arial"/>
          <w:sz w:val="22"/>
          <w:szCs w:val="22"/>
        </w:rPr>
        <w:t xml:space="preserve">DT&amp;E Guidebook (February 2025): regression testing requirements for ML systems apply; RAG pipeline must be regression-tested on a fixed evaluation set at each software update (DTE&amp;A, 2025).</w:t>
      </w:r>
    </w:p>
    <w:p>
      <w:pPr>
        <w:pStyle w:val="ListParagraph"/>
        <w:numPr>
          <w:ilvl w:val="0"/>
          <w:numId w:val="2"/>
        </w:numPr>
        <w:spacing w:before="40" w:after="40"/>
      </w:pPr>
      <w:r>
        <w:rPr>
          <w:rFonts w:ascii="Arial" w:cs="Arial" w:eastAsia="Arial" w:hAnsi="Arial"/>
          <w:sz w:val="22"/>
          <w:szCs w:val="22"/>
        </w:rPr>
        <w:t xml:space="preserve">CDAO TEVV: Test, Evaluation, Validation, and Verification as an integrated lifecycle activity; RAG report generator must demonstrate TEVV evidence for ATO (NAS T&amp;E Challenges report, 2023).</w:t>
      </w:r>
    </w:p>
    <w:p>
      <w:pPr>
        <w:spacing w:before="60" w:after="60"/>
      </w:pPr>
      <w:r>
        <w:t xml:space="preserve"/>
      </w:r>
    </w:p>
    <w:p>
      <w:pPr>
        <w:pStyle w:val="Heading1"/>
        <w:spacing w:before="360" w:after="120"/>
      </w:pPr>
      <w:r>
        <w:rPr>
          <w:rFonts w:ascii="Arial" w:cs="Arial" w:eastAsia="Arial" w:hAnsi="Arial"/>
          <w:b/>
          <w:bCs/>
          <w:sz w:val="32"/>
          <w:szCs w:val="32"/>
        </w:rPr>
        <w:t xml:space="preserve">Section V: Conclusion and Research Agenda</w:t>
      </w:r>
    </w:p>
    <w:p>
      <w:pPr>
        <w:spacing w:before="60" w:after="60"/>
      </w:pPr>
      <w:r>
        <w:rPr>
          <w:rFonts w:ascii="Arial" w:cs="Arial" w:eastAsia="Arial" w:hAnsi="Arial"/>
          <w:sz w:val="22"/>
          <w:szCs w:val="22"/>
        </w:rPr>
        <w:t xml:space="preserve">RAG represents the highest-value, lowest-risk AI capability available to DoD T&amp;E programs today. It does not require retraining, does not demand classified training data to be exported to a vendor, and can be deployed incrementally—beginning with unclassified document corpora on NIPRNet before scaling to CUI and SECRET levels. The combination of RAG with few-shot prompting creates an automated T&amp;E report generation capability that is achievable within current DoD cloud infrastructure, security frameworks, and AI governance policies.</w:t>
      </w:r>
    </w:p>
    <w:p>
      <w:pPr>
        <w:spacing w:before="60" w:after="60"/>
      </w:pPr>
      <w:r>
        <w:t xml:space="preserve"/>
      </w:r>
    </w:p>
    <w:p>
      <w:pPr>
        <w:pStyle w:val="Heading2"/>
        <w:spacing w:before="240" w:after="80"/>
      </w:pPr>
      <w:r>
        <w:rPr>
          <w:rFonts w:ascii="Arial" w:cs="Arial" w:eastAsia="Arial" w:hAnsi="Arial"/>
          <w:b/>
          <w:bCs/>
          <w:sz w:val="26"/>
          <w:szCs w:val="26"/>
        </w:rPr>
        <w:t xml:space="preserve">V.A  Key Research Gaps</w:t>
      </w:r>
    </w:p>
    <w:p>
      <w:pPr>
        <w:pStyle w:val="ListParagraph"/>
        <w:numPr>
          <w:ilvl w:val="0"/>
          <w:numId w:val="2"/>
        </w:numPr>
        <w:spacing w:before="40" w:after="40"/>
      </w:pPr>
      <w:r>
        <w:rPr>
          <w:rFonts w:ascii="Arial" w:cs="Arial" w:eastAsia="Arial" w:hAnsi="Arial"/>
          <w:sz w:val="22"/>
          <w:szCs w:val="22"/>
        </w:rPr>
        <w:t xml:space="preserve">Domain-specific embedding model evaluation: no published benchmark compares embedding models on T&amp;E-specific corpora (MIL-STDs, test procedures, DT&amp;E reports).</w:t>
      </w:r>
    </w:p>
    <w:p>
      <w:pPr>
        <w:pStyle w:val="ListParagraph"/>
        <w:numPr>
          <w:ilvl w:val="0"/>
          <w:numId w:val="2"/>
        </w:numPr>
        <w:spacing w:before="40" w:after="40"/>
      </w:pPr>
      <w:r>
        <w:rPr>
          <w:rFonts w:ascii="Arial" w:cs="Arial" w:eastAsia="Arial" w:hAnsi="Arial"/>
          <w:sz w:val="22"/>
          <w:szCs w:val="22"/>
        </w:rPr>
        <w:t xml:space="preserve">Classification-boundary safety: formal verification methods for RAG access-control enforcement at inference time are immature; adversarial classification-bypass testing needed.</w:t>
      </w:r>
    </w:p>
    <w:p>
      <w:pPr>
        <w:pStyle w:val="ListParagraph"/>
        <w:numPr>
          <w:ilvl w:val="0"/>
          <w:numId w:val="2"/>
        </w:numPr>
        <w:spacing w:before="40" w:after="40"/>
      </w:pPr>
      <w:r>
        <w:rPr>
          <w:rFonts w:ascii="Arial" w:cs="Arial" w:eastAsia="Arial" w:hAnsi="Arial"/>
          <w:sz w:val="22"/>
          <w:szCs w:val="22"/>
        </w:rPr>
        <w:t xml:space="preserve">Analyst trust calibration: empirical studies on how T&amp;E analysts develop appropriate reliance on RAG-generated outputs; over-reliance and under-reliance both degrade mission outcomes.</w:t>
      </w:r>
    </w:p>
    <w:p>
      <w:pPr>
        <w:pStyle w:val="ListParagraph"/>
        <w:numPr>
          <w:ilvl w:val="0"/>
          <w:numId w:val="2"/>
        </w:numPr>
        <w:spacing w:before="40" w:after="40"/>
      </w:pPr>
      <w:r>
        <w:rPr>
          <w:rFonts w:ascii="Arial" w:cs="Arial" w:eastAsia="Arial" w:hAnsi="Arial"/>
          <w:sz w:val="22"/>
          <w:szCs w:val="22"/>
        </w:rPr>
        <w:t xml:space="preserve">TEVV methodology for RAG pipelines: CDAO frameworks provide high-level guidance; specific quantitative pass/fail criteria for RAG system readiness reviews are not yet standardized.</w:t>
      </w:r>
    </w:p>
    <w:p>
      <w:pPr>
        <w:spacing w:before="60" w:after="60"/>
      </w:pPr>
      <w:r>
        <w:t xml:space="preserve"/>
      </w:r>
    </w:p>
    <w:p>
      <w:pPr>
        <w:pStyle w:val="Heading2"/>
        <w:spacing w:before="240" w:after="80"/>
      </w:pPr>
      <w:r>
        <w:rPr>
          <w:rFonts w:ascii="Arial" w:cs="Arial" w:eastAsia="Arial" w:hAnsi="Arial"/>
          <w:b/>
          <w:bCs/>
          <w:sz w:val="26"/>
          <w:szCs w:val="26"/>
        </w:rPr>
        <w:t xml:space="preserve">V.B  Recommended Next Steps</w:t>
      </w:r>
    </w:p>
    <w:p>
      <w:pPr>
        <w:pStyle w:val="ListParagraph"/>
        <w:numPr>
          <w:ilvl w:val="0"/>
          <w:numId w:val="2"/>
        </w:numPr>
        <w:spacing w:before="40" w:after="40"/>
      </w:pPr>
      <w:r>
        <w:rPr>
          <w:rFonts w:ascii="Arial" w:cs="Arial" w:eastAsia="Arial" w:hAnsi="Arial"/>
          <w:sz w:val="22"/>
          <w:szCs w:val="22"/>
        </w:rPr>
        <w:t xml:space="preserve">Pilot deployment: stand up a NIPRNet (IL4) RAG knowledge base against an unclassified T&amp;E document corpus; instrument with RAGAS metrics; run a 90-day analyst evaluation consistent with CDAO AI RCC sprint methodology.</w:t>
      </w:r>
    </w:p>
    <w:p>
      <w:pPr>
        <w:pStyle w:val="ListParagraph"/>
        <w:numPr>
          <w:ilvl w:val="0"/>
          <w:numId w:val="2"/>
        </w:numPr>
        <w:spacing w:before="40" w:after="40"/>
      </w:pPr>
      <w:r>
        <w:rPr>
          <w:rFonts w:ascii="Arial" w:cs="Arial" w:eastAsia="Arial" w:hAnsi="Arial"/>
          <w:sz w:val="22"/>
          <w:szCs w:val="22"/>
        </w:rPr>
        <w:t xml:space="preserve">Security architecture review: engage with CDAO and DISA to establish classification-aware RAG data flows in advance of an IL5/IL6 ATO package.</w:t>
      </w:r>
    </w:p>
    <w:p>
      <w:pPr>
        <w:pStyle w:val="ListParagraph"/>
        <w:numPr>
          <w:ilvl w:val="0"/>
          <w:numId w:val="2"/>
        </w:numPr>
        <w:spacing w:before="40" w:after="40"/>
      </w:pPr>
      <w:r>
        <w:rPr>
          <w:rFonts w:ascii="Arial" w:cs="Arial" w:eastAsia="Arial" w:hAnsi="Arial"/>
          <w:sz w:val="22"/>
          <w:szCs w:val="22"/>
        </w:rPr>
        <w:t xml:space="preserve">Few-shot template library: develop and validate a library of few-shot prompt templates for the five highest-frequency T&amp;E deliverable types; version-control in a prompt management system.</w:t>
      </w:r>
    </w:p>
    <w:p>
      <w:pPr>
        <w:pStyle w:val="ListParagraph"/>
        <w:numPr>
          <w:ilvl w:val="0"/>
          <w:numId w:val="2"/>
        </w:numPr>
        <w:spacing w:before="40" w:after="40"/>
      </w:pPr>
      <w:r>
        <w:rPr>
          <w:rFonts w:ascii="Arial" w:cs="Arial" w:eastAsia="Arial" w:hAnsi="Arial"/>
          <w:sz w:val="22"/>
          <w:szCs w:val="22"/>
        </w:rPr>
        <w:t xml:space="preserve">Red-team exercise: conduct a dedicated adversarial evaluation of the RAG pipeline (prompt injection, poisoning, exfiltration) before any operational deployment.</w:t>
      </w:r>
    </w:p>
    <w:p>
      <w:pPr>
        <w:spacing w:before="60" w:after="60"/>
      </w:pPr>
      <w:r>
        <w:t xml:space="preserve"/>
      </w:r>
    </w:p>
    <w:p>
      <w:pPr>
        <w:pStyle w:val="Heading1"/>
        <w:spacing w:before="360" w:after="120"/>
      </w:pPr>
      <w:r>
        <w:rPr>
          <w:rFonts w:ascii="Arial" w:cs="Arial" w:eastAsia="Arial" w:hAnsi="Arial"/>
          <w:b/>
          <w:bCs/>
          <w:sz w:val="32"/>
          <w:szCs w:val="32"/>
        </w:rPr>
        <w:t xml:space="preserve">Annotated Bibliography</w:t>
      </w:r>
    </w:p>
    <w:p>
      <w:pPr>
        <w:spacing w:before="60" w:after="60"/>
      </w:pPr>
      <w:r>
        <w:rPr>
          <w:rFonts w:ascii="Arial" w:cs="Arial" w:eastAsia="Arial" w:hAnsi="Arial"/>
          <w:sz w:val="22"/>
          <w:szCs w:val="22"/>
        </w:rPr>
        <w:t xml:space="preserve">All sources are publicly available unless noted. Sources are organized by topical category.</w:t>
      </w:r>
    </w:p>
    <w:p>
      <w:pPr>
        <w:spacing w:before="60" w:after="60"/>
      </w:pPr>
      <w:r>
        <w:t xml:space="preserve"/>
      </w:r>
    </w:p>
    <w:p>
      <w:pPr>
        <w:pStyle w:val="Heading2"/>
        <w:spacing w:before="240" w:after="80"/>
      </w:pPr>
      <w:r>
        <w:rPr>
          <w:rFonts w:ascii="Arial" w:cs="Arial" w:eastAsia="Arial" w:hAnsi="Arial"/>
          <w:b/>
          <w:bCs/>
          <w:sz w:val="26"/>
          <w:szCs w:val="26"/>
        </w:rPr>
        <w:t xml:space="preserve">Category 1: RAG Foundations and Architecture</w:t>
      </w:r>
    </w:p>
    <w:p>
      <w:pPr>
        <w:spacing w:before="60" w:after="40"/>
      </w:pPr>
      <w:r>
        <w:rPr>
          <w:rFonts w:ascii="Arial" w:cs="Arial" w:eastAsia="Arial" w:hAnsi="Arial"/>
          <w:b/>
          <w:bCs/>
          <w:sz w:val="22"/>
          <w:szCs w:val="22"/>
        </w:rPr>
        <w:t xml:space="preserve">Lewis, P., et al. (2020). </w:t>
      </w:r>
      <w:r>
        <w:rPr>
          <w:rFonts w:ascii="Arial" w:cs="Arial" w:eastAsia="Arial" w:hAnsi="Arial"/>
          <w:i/>
          <w:iCs/>
          <w:sz w:val="22"/>
          <w:szCs w:val="22"/>
        </w:rPr>
        <w:t xml:space="preserve">Retrieval-Augmented Generation for Knowledge-Intensive NLP Tasks. </w:t>
      </w:r>
      <w:r>
        <w:rPr>
          <w:rFonts w:ascii="Arial" w:cs="Arial" w:eastAsia="Arial" w:hAnsi="Arial"/>
          <w:sz w:val="22"/>
          <w:szCs w:val="22"/>
        </w:rPr>
        <w:t xml:space="preserve">NeurIPS 2020. https://arxiv.org/abs/2005.11401 — The original Meta AI research paper introducing the RAG paradigm; foundational for Sections I and IV.</w:t>
      </w:r>
    </w:p>
    <w:p>
      <w:pPr>
        <w:spacing w:before="60" w:after="40"/>
      </w:pPr>
      <w:r>
        <w:rPr>
          <w:rFonts w:ascii="Arial" w:cs="Arial" w:eastAsia="Arial" w:hAnsi="Arial"/>
          <w:b/>
          <w:bCs/>
          <w:sz w:val="22"/>
          <w:szCs w:val="22"/>
        </w:rPr>
        <w:t xml:space="preserve">Gao, Y., et al. (2023). </w:t>
      </w:r>
      <w:r>
        <w:rPr>
          <w:rFonts w:ascii="Arial" w:cs="Arial" w:eastAsia="Arial" w:hAnsi="Arial"/>
          <w:i/>
          <w:iCs/>
          <w:sz w:val="22"/>
          <w:szCs w:val="22"/>
        </w:rPr>
        <w:t xml:space="preserve">Retrieval-Augmented Generation for Large Language Models: A Survey. </w:t>
      </w:r>
      <w:r>
        <w:rPr>
          <w:rFonts w:ascii="Arial" w:cs="Arial" w:eastAsia="Arial" w:hAnsi="Arial"/>
          <w:sz w:val="22"/>
          <w:szCs w:val="22"/>
        </w:rPr>
        <w:t xml:space="preserve">arXiv:2312.10997. https://arxiv.org/abs/2312.10997 — Comprehensive survey covering Naive, Advanced, and Modular RAG paradigms; primary reference for RAG taxonomy in Section I.B.</w:t>
      </w:r>
    </w:p>
    <w:p>
      <w:pPr>
        <w:spacing w:before="60" w:after="40"/>
      </w:pPr>
      <w:r>
        <w:rPr>
          <w:rFonts w:ascii="Arial" w:cs="Arial" w:eastAsia="Arial" w:hAnsi="Arial"/>
          <w:b/>
          <w:bCs/>
          <w:sz w:val="22"/>
          <w:szCs w:val="22"/>
        </w:rPr>
        <w:t xml:space="preserve">Wikipedia (2026, February). </w:t>
      </w:r>
      <w:r>
        <w:rPr>
          <w:rFonts w:ascii="Arial" w:cs="Arial" w:eastAsia="Arial" w:hAnsi="Arial"/>
          <w:i/>
          <w:iCs/>
          <w:sz w:val="22"/>
          <w:szCs w:val="22"/>
        </w:rPr>
        <w:t xml:space="preserve">Retrieval-Augmented Generation. </w:t>
      </w:r>
      <w:r>
        <w:rPr>
          <w:rFonts w:ascii="Arial" w:cs="Arial" w:eastAsia="Arial" w:hAnsi="Arial"/>
          <w:sz w:val="22"/>
          <w:szCs w:val="22"/>
        </w:rPr>
        <w:t xml:space="preserve">https://en.wikipedia.org/wiki/Retrieval-augmented_generation — Accessible overview; useful for hallucination discussion and benchmark list (BEIR, NQ).</w:t>
      </w:r>
    </w:p>
    <w:p>
      <w:pPr>
        <w:spacing w:before="60" w:after="40"/>
      </w:pPr>
      <w:r>
        <w:rPr>
          <w:rFonts w:ascii="Arial" w:cs="Arial" w:eastAsia="Arial" w:hAnsi="Arial"/>
          <w:b/>
          <w:bCs/>
          <w:sz w:val="22"/>
          <w:szCs w:val="22"/>
        </w:rPr>
        <w:t xml:space="preserve">IBM (2025). </w:t>
      </w:r>
      <w:r>
        <w:rPr>
          <w:rFonts w:ascii="Arial" w:cs="Arial" w:eastAsia="Arial" w:hAnsi="Arial"/>
          <w:i/>
          <w:iCs/>
          <w:sz w:val="22"/>
          <w:szCs w:val="22"/>
        </w:rPr>
        <w:t xml:space="preserve">What is Retrieval-Augmented Generation (RAG)? </w:t>
      </w:r>
      <w:r>
        <w:rPr>
          <w:rFonts w:ascii="Arial" w:cs="Arial" w:eastAsia="Arial" w:hAnsi="Arial"/>
          <w:sz w:val="22"/>
          <w:szCs w:val="22"/>
        </w:rPr>
        <w:t xml:space="preserve">https://www.ibm.com/think/topics/retrieval-augmented-generation — Enterprise-grade overview distinguishing RAG from fine-tuning; supports Section I.C cost arguments.</w:t>
      </w:r>
    </w:p>
    <w:p>
      <w:pPr>
        <w:spacing w:before="60" w:after="40"/>
      </w:pPr>
      <w:r>
        <w:rPr>
          <w:rFonts w:ascii="Arial" w:cs="Arial" w:eastAsia="Arial" w:hAnsi="Arial"/>
          <w:b/>
          <w:bCs/>
          <w:sz w:val="22"/>
          <w:szCs w:val="22"/>
        </w:rPr>
        <w:t xml:space="preserve">AWS (2025). </w:t>
      </w:r>
      <w:r>
        <w:rPr>
          <w:rFonts w:ascii="Arial" w:cs="Arial" w:eastAsia="Arial" w:hAnsi="Arial"/>
          <w:i/>
          <w:iCs/>
          <w:sz w:val="22"/>
          <w:szCs w:val="22"/>
        </w:rPr>
        <w:t xml:space="preserve">What is RAG? </w:t>
      </w:r>
      <w:r>
        <w:rPr>
          <w:rFonts w:ascii="Arial" w:cs="Arial" w:eastAsia="Arial" w:hAnsi="Arial"/>
          <w:sz w:val="22"/>
          <w:szCs w:val="22"/>
        </w:rPr>
        <w:t xml:space="preserve">https://aws.amazon.com/what-is/retrieval-augmented-generation — Source attribution and semantic search discussion; supports traceability argument in Section I.C.</w:t>
      </w:r>
    </w:p>
    <w:p>
      <w:pPr>
        <w:spacing w:before="60" w:after="40"/>
      </w:pPr>
      <w:r>
        <w:rPr>
          <w:rFonts w:ascii="Arial" w:cs="Arial" w:eastAsia="Arial" w:hAnsi="Arial"/>
          <w:b/>
          <w:bCs/>
          <w:sz w:val="22"/>
          <w:szCs w:val="22"/>
        </w:rPr>
        <w:t xml:space="preserve">Stack Overflow (2023). </w:t>
      </w:r>
      <w:r>
        <w:rPr>
          <w:rFonts w:ascii="Arial" w:cs="Arial" w:eastAsia="Arial" w:hAnsi="Arial"/>
          <w:i/>
          <w:iCs/>
          <w:sz w:val="22"/>
          <w:szCs w:val="22"/>
        </w:rPr>
        <w:t xml:space="preserve">Retrieval Augmented Generation: Keeping LLMs Relevant and Current. </w:t>
      </w:r>
      <w:r>
        <w:rPr>
          <w:rFonts w:ascii="Arial" w:cs="Arial" w:eastAsia="Arial" w:hAnsi="Arial"/>
          <w:sz w:val="22"/>
          <w:szCs w:val="22"/>
        </w:rPr>
        <w:t xml:space="preserve">https://stackoverflow.blog/2023/10/18/retrieval-augmented-generation-keeping-llms-relevant-and-current — RAG vs. fine-tuning comparison; supports Section I.C.</w:t>
      </w:r>
    </w:p>
    <w:p>
      <w:pPr>
        <w:spacing w:before="60" w:after="40"/>
      </w:pPr>
      <w:r>
        <w:rPr>
          <w:rFonts w:ascii="Arial" w:cs="Arial" w:eastAsia="Arial" w:hAnsi="Arial"/>
          <w:b/>
          <w:bCs/>
          <w:sz w:val="22"/>
          <w:szCs w:val="22"/>
        </w:rPr>
        <w:t xml:space="preserve">Promptingguide.ai (2024). </w:t>
      </w:r>
      <w:r>
        <w:rPr>
          <w:rFonts w:ascii="Arial" w:cs="Arial" w:eastAsia="Arial" w:hAnsi="Arial"/>
          <w:i/>
          <w:iCs/>
          <w:sz w:val="22"/>
          <w:szCs w:val="22"/>
        </w:rPr>
        <w:t xml:space="preserve">Retrieval Augmented Generation (RAG) for LLMs. </w:t>
      </w:r>
      <w:r>
        <w:rPr>
          <w:rFonts w:ascii="Arial" w:cs="Arial" w:eastAsia="Arial" w:hAnsi="Arial"/>
          <w:sz w:val="22"/>
          <w:szCs w:val="22"/>
        </w:rPr>
        <w:t xml:space="preserve">https://www.promptingguide.ai/research/rag — Survey findings on RAGAS evaluation; iterative/recursive retrieval; supports Sections I and IV.F.</w:t>
      </w:r>
    </w:p>
    <w:p>
      <w:pPr>
        <w:spacing w:before="60" w:after="40"/>
      </w:pPr>
      <w:r>
        <w:rPr>
          <w:rFonts w:ascii="Arial" w:cs="Arial" w:eastAsia="Arial" w:hAnsi="Arial"/>
          <w:b/>
          <w:bCs/>
          <w:sz w:val="22"/>
          <w:szCs w:val="22"/>
        </w:rPr>
        <w:t xml:space="preserve">MDPI (2025, December). </w:t>
      </w:r>
      <w:r>
        <w:rPr>
          <w:rFonts w:ascii="Arial" w:cs="Arial" w:eastAsia="Arial" w:hAnsi="Arial"/>
          <w:i/>
          <w:iCs/>
          <w:sz w:val="22"/>
          <w:szCs w:val="22"/>
        </w:rPr>
        <w:t xml:space="preserve">RAG and LLMs for Enterprise Knowledge Management: A Systematic Literature Review. </w:t>
      </w:r>
      <w:r>
        <w:rPr>
          <w:rFonts w:ascii="Arial" w:cs="Arial" w:eastAsia="Arial" w:hAnsi="Arial"/>
          <w:sz w:val="22"/>
          <w:szCs w:val="22"/>
        </w:rPr>
        <w:t xml:space="preserve">Applied Sciences 16(1):368. https://www.mdpi.com/2076-3417/16/1/368 — 63-study SLR; FAISS/Elasticsearch usage statistics; lab-to-market gap finding.</w:t>
      </w:r>
    </w:p>
    <w:p>
      <w:pPr>
        <w:spacing w:before="60" w:after="40"/>
      </w:pPr>
      <w:r>
        <w:rPr>
          <w:rFonts w:ascii="Arial" w:cs="Arial" w:eastAsia="Arial" w:hAnsi="Arial"/>
          <w:b/>
          <w:bCs/>
          <w:sz w:val="22"/>
          <w:szCs w:val="22"/>
        </w:rPr>
        <w:t xml:space="preserve">arxiv:2511.03261 (2025). </w:t>
      </w:r>
      <w:r>
        <w:rPr>
          <w:rFonts w:ascii="Arial" w:cs="Arial" w:eastAsia="Arial" w:hAnsi="Arial"/>
          <w:i/>
          <w:iCs/>
          <w:sz w:val="22"/>
          <w:szCs w:val="22"/>
        </w:rPr>
        <w:t xml:space="preserve">Comparing the Performance of LLMs in RAG-Based Question-Answering. </w:t>
      </w:r>
      <w:r>
        <w:rPr>
          <w:rFonts w:ascii="Arial" w:cs="Arial" w:eastAsia="Arial" w:hAnsi="Arial"/>
          <w:sz w:val="22"/>
          <w:szCs w:val="22"/>
        </w:rPr>
        <w:t xml:space="preserve">https://arxiv.org/html/2511.03261v1 — Empirical comparison of five LLMs with RAG; 107% accuracy / 177% usefulness improvement data for Section I.C.</w:t>
      </w:r>
    </w:p>
    <w:p>
      <w:pPr>
        <w:spacing w:before="60" w:after="60"/>
      </w:pPr>
      <w:r>
        <w:t xml:space="preserve"/>
      </w:r>
    </w:p>
    <w:p>
      <w:pPr>
        <w:pStyle w:val="Heading2"/>
        <w:spacing w:before="240" w:after="80"/>
      </w:pPr>
      <w:r>
        <w:rPr>
          <w:rFonts w:ascii="Arial" w:cs="Arial" w:eastAsia="Arial" w:hAnsi="Arial"/>
          <w:b/>
          <w:bCs/>
          <w:sz w:val="26"/>
          <w:szCs w:val="26"/>
        </w:rPr>
        <w:t xml:space="preserve">Category 2: RAG Architecture and Technology Stack</w:t>
      </w:r>
    </w:p>
    <w:p>
      <w:pPr>
        <w:spacing w:before="60" w:after="40"/>
      </w:pPr>
      <w:r>
        <w:rPr>
          <w:rFonts w:ascii="Arial" w:cs="Arial" w:eastAsia="Arial" w:hAnsi="Arial"/>
          <w:b/>
          <w:bCs/>
          <w:sz w:val="22"/>
          <w:szCs w:val="22"/>
        </w:rPr>
        <w:t xml:space="preserve">DEV Community (2025). </w:t>
      </w:r>
      <w:r>
        <w:rPr>
          <w:rFonts w:ascii="Arial" w:cs="Arial" w:eastAsia="Arial" w:hAnsi="Arial"/>
          <w:i/>
          <w:iCs/>
          <w:sz w:val="22"/>
          <w:szCs w:val="22"/>
        </w:rPr>
        <w:t xml:space="preserve">Inside a Production RAG System: Architecture, Stack, and Lessons Learned. </w:t>
      </w:r>
      <w:r>
        <w:rPr>
          <w:rFonts w:ascii="Arial" w:cs="Arial" w:eastAsia="Arial" w:hAnsi="Arial"/>
          <w:sz w:val="22"/>
          <w:szCs w:val="22"/>
        </w:rPr>
        <w:t xml:space="preserve">https://dev.to/seasia_infotech_899dc2c59/inside-a-production-rag-system-architecture-stack-and-lessons-learned-28h7 — Five-layer production architecture; CI/CD and governance requirements; primary reference for Section II.A.</w:t>
      </w:r>
    </w:p>
    <w:p>
      <w:pPr>
        <w:spacing w:before="60" w:after="40"/>
      </w:pPr>
      <w:r>
        <w:rPr>
          <w:rFonts w:ascii="Arial" w:cs="Arial" w:eastAsia="Arial" w:hAnsi="Arial"/>
          <w:b/>
          <w:bCs/>
          <w:sz w:val="22"/>
          <w:szCs w:val="22"/>
        </w:rPr>
        <w:t xml:space="preserve">IJONIS (2026, January). </w:t>
      </w:r>
      <w:r>
        <w:rPr>
          <w:rFonts w:ascii="Arial" w:cs="Arial" w:eastAsia="Arial" w:hAnsi="Arial"/>
          <w:i/>
          <w:iCs/>
          <w:sz w:val="22"/>
          <w:szCs w:val="22"/>
        </w:rPr>
        <w:t xml:space="preserve">RAG Systems for Enterprise: Build a RAG Pipeline Step by Step. </w:t>
      </w:r>
      <w:r>
        <w:rPr>
          <w:rFonts w:ascii="Arial" w:cs="Arial" w:eastAsia="Arial" w:hAnsi="Arial"/>
          <w:sz w:val="22"/>
          <w:szCs w:val="22"/>
        </w:rPr>
        <w:t xml:space="preserve">https://ijonis.com/en/rag-systems-enterprise — Indexing and retrieval pipeline construction; chunking strategies; cross-lingual retrieval; Section II.A Layer 2.</w:t>
      </w:r>
    </w:p>
    <w:p>
      <w:pPr>
        <w:spacing w:before="60" w:after="40"/>
      </w:pPr>
      <w:r>
        <w:rPr>
          <w:rFonts w:ascii="Arial" w:cs="Arial" w:eastAsia="Arial" w:hAnsi="Arial"/>
          <w:b/>
          <w:bCs/>
          <w:sz w:val="22"/>
          <w:szCs w:val="22"/>
        </w:rPr>
        <w:t xml:space="preserve">GigaSpaces (2025, December). </w:t>
      </w:r>
      <w:r>
        <w:rPr>
          <w:rFonts w:ascii="Arial" w:cs="Arial" w:eastAsia="Arial" w:hAnsi="Arial"/>
          <w:i/>
          <w:iCs/>
          <w:sz w:val="22"/>
          <w:szCs w:val="22"/>
        </w:rPr>
        <w:t xml:space="preserve">The 6 Best Vector Database Solutions for RAG Applications. </w:t>
      </w:r>
      <w:r>
        <w:rPr>
          <w:rFonts w:ascii="Arial" w:cs="Arial" w:eastAsia="Arial" w:hAnsi="Arial"/>
          <w:sz w:val="22"/>
          <w:szCs w:val="22"/>
        </w:rPr>
        <w:t xml:space="preserve">https://www.gigaspaces.com/blog/best-vector-database-solutions-for-rag-applications — Comparative analysis of Pinecone, Weaviate, Milvus, Qdrant, Chroma; Section II.A Layer 2.</w:t>
      </w:r>
    </w:p>
    <w:p>
      <w:pPr>
        <w:spacing w:before="60" w:after="40"/>
      </w:pPr>
      <w:r>
        <w:rPr>
          <w:rFonts w:ascii="Arial" w:cs="Arial" w:eastAsia="Arial" w:hAnsi="Arial"/>
          <w:b/>
          <w:bCs/>
          <w:sz w:val="22"/>
          <w:szCs w:val="22"/>
        </w:rPr>
        <w:t xml:space="preserve">ZenML (2025, October). </w:t>
      </w:r>
      <w:r>
        <w:rPr>
          <w:rFonts w:ascii="Arial" w:cs="Arial" w:eastAsia="Arial" w:hAnsi="Arial"/>
          <w:i/>
          <w:iCs/>
          <w:sz w:val="22"/>
          <w:szCs w:val="22"/>
        </w:rPr>
        <w:t xml:space="preserve">We Tried and Tested 10 Best Vector Databases for RAG Pipelines. </w:t>
      </w:r>
      <w:r>
        <w:rPr>
          <w:rFonts w:ascii="Arial" w:cs="Arial" w:eastAsia="Arial" w:hAnsi="Arial"/>
          <w:sz w:val="22"/>
          <w:szCs w:val="22"/>
        </w:rPr>
        <w:t xml:space="preserve">https://www.zenml.io/blog/vector-databases-for-rag — Empirical benchmarks; HNSW/IVF algorithms; Redis in-memory search; supports Section II.A Layer 2.</w:t>
      </w:r>
    </w:p>
    <w:p>
      <w:pPr>
        <w:spacing w:before="60" w:after="40"/>
      </w:pPr>
      <w:r>
        <w:rPr>
          <w:rFonts w:ascii="Arial" w:cs="Arial" w:eastAsia="Arial" w:hAnsi="Arial"/>
          <w:b/>
          <w:bCs/>
          <w:sz w:val="22"/>
          <w:szCs w:val="22"/>
        </w:rPr>
        <w:t xml:space="preserve">Paragon Blog (2024). </w:t>
      </w:r>
      <w:r>
        <w:rPr>
          <w:rFonts w:ascii="Arial" w:cs="Arial" w:eastAsia="Arial" w:hAnsi="Arial"/>
          <w:i/>
          <w:iCs/>
          <w:sz w:val="22"/>
          <w:szCs w:val="22"/>
        </w:rPr>
        <w:t xml:space="preserve">Comprehensive Guide to the RAG Tech Stack. </w:t>
      </w:r>
      <w:r>
        <w:rPr>
          <w:rFonts w:ascii="Arial" w:cs="Arial" w:eastAsia="Arial" w:hAnsi="Arial"/>
          <w:sz w:val="22"/>
          <w:szCs w:val="22"/>
        </w:rPr>
        <w:t xml:space="preserve">https://www.useparagon.com/blog/comprehensive-guide-to-the-rag-tech-stack — LlamaIndex recommendation; monitoring (OpenLLMetry); security (LLMGuard); Section II.C.</w:t>
      </w:r>
    </w:p>
    <w:p>
      <w:pPr>
        <w:spacing w:before="60" w:after="60"/>
      </w:pPr>
      <w:r>
        <w:t xml:space="preserve"/>
      </w:r>
    </w:p>
    <w:p>
      <w:pPr>
        <w:pStyle w:val="Heading2"/>
        <w:spacing w:before="240" w:after="80"/>
      </w:pPr>
      <w:r>
        <w:rPr>
          <w:rFonts w:ascii="Arial" w:cs="Arial" w:eastAsia="Arial" w:hAnsi="Arial"/>
          <w:b/>
          <w:bCs/>
          <w:sz w:val="26"/>
          <w:szCs w:val="26"/>
        </w:rPr>
        <w:t xml:space="preserve">Category 3: DoD AI Deployment and Policy</w:t>
      </w:r>
    </w:p>
    <w:p>
      <w:pPr>
        <w:spacing w:before="60" w:after="40"/>
      </w:pPr>
      <w:r>
        <w:rPr>
          <w:rFonts w:ascii="Arial" w:cs="Arial" w:eastAsia="Arial" w:hAnsi="Arial"/>
          <w:b/>
          <w:bCs/>
          <w:sz w:val="22"/>
          <w:szCs w:val="22"/>
        </w:rPr>
        <w:t xml:space="preserve">DefenseScoop (December 9, 2025). </w:t>
      </w:r>
      <w:r>
        <w:rPr>
          <w:rFonts w:ascii="Arial" w:cs="Arial" w:eastAsia="Arial" w:hAnsi="Arial"/>
          <w:i/>
          <w:iCs/>
          <w:sz w:val="22"/>
          <w:szCs w:val="22"/>
        </w:rPr>
        <w:t xml:space="preserve">DOD Initiates Large-Scale Rollout of Commercial AI Models. </w:t>
      </w:r>
      <w:r>
        <w:rPr>
          <w:rFonts w:ascii="Arial" w:cs="Arial" w:eastAsia="Arial" w:hAnsi="Arial"/>
          <w:sz w:val="22"/>
          <w:szCs w:val="22"/>
        </w:rPr>
        <w:t xml:space="preserve">https://defensescoop.com/2025/12/09/genai-mil-platform-dod-commercial-ai-models-agentic-tools-google-gemini — GenAI.mil launch; RAG+web-grounding; $200M contracts; primary reference for Section II.B.3.</w:t>
      </w:r>
    </w:p>
    <w:p>
      <w:pPr>
        <w:spacing w:before="60" w:after="40"/>
      </w:pPr>
      <w:r>
        <w:rPr>
          <w:rFonts w:ascii="Arial" w:cs="Arial" w:eastAsia="Arial" w:hAnsi="Arial"/>
          <w:b/>
          <w:bCs/>
          <w:sz w:val="22"/>
          <w:szCs w:val="22"/>
        </w:rPr>
        <w:t xml:space="preserve">DefenseScoop (December 18, 2025). </w:t>
      </w:r>
      <w:r>
        <w:rPr>
          <w:rFonts w:ascii="Arial" w:cs="Arial" w:eastAsia="Arial" w:hAnsi="Arial"/>
          <w:i/>
          <w:iCs/>
          <w:sz w:val="22"/>
          <w:szCs w:val="22"/>
        </w:rPr>
        <w:t xml:space="preserve">The Era of GenAI.mil is Here. </w:t>
      </w:r>
      <w:r>
        <w:rPr>
          <w:rFonts w:ascii="Arial" w:cs="Arial" w:eastAsia="Arial" w:hAnsi="Arial"/>
          <w:sz w:val="22"/>
          <w:szCs w:val="22"/>
        </w:rPr>
        <w:t xml:space="preserve">https://defensescoop.com/2025/12/18/genai-mil-users-have-mixed-reactions-and-many-questions — Multimodal RAG; curated dataset curation; user adoption patterns; Section II.B.3.</w:t>
      </w:r>
    </w:p>
    <w:p>
      <w:pPr>
        <w:spacing w:before="60" w:after="40"/>
      </w:pPr>
      <w:r>
        <w:rPr>
          <w:rFonts w:ascii="Arial" w:cs="Arial" w:eastAsia="Arial" w:hAnsi="Arial"/>
          <w:b/>
          <w:bCs/>
          <w:sz w:val="22"/>
          <w:szCs w:val="22"/>
        </w:rPr>
        <w:t xml:space="preserve">CDAO (December 2024). </w:t>
      </w:r>
      <w:r>
        <w:rPr>
          <w:rFonts w:ascii="Arial" w:cs="Arial" w:eastAsia="Arial" w:hAnsi="Arial"/>
          <w:i/>
          <w:iCs/>
          <w:sz w:val="22"/>
          <w:szCs w:val="22"/>
        </w:rPr>
        <w:t xml:space="preserve">Artificial Intelligence Rapid Capabilities Cell Fact Sheet. </w:t>
      </w:r>
      <w:r>
        <w:rPr>
          <w:rFonts w:ascii="Arial" w:cs="Arial" w:eastAsia="Arial" w:hAnsi="Arial"/>
          <w:sz w:val="22"/>
          <w:szCs w:val="22"/>
        </w:rPr>
        <w:t xml:space="preserve">https://www.ai.mil/Portals/137/Documents/Resources%20Page/2024-12-CDAO-Artificial-Intelligence-Rapid-Capabilities-Cell.pdf — AI RCC structure; 15 GenAI use cases; $100M FY24–25 investment; weapons development and T&amp;E as warfighting use case.</w:t>
      </w:r>
    </w:p>
    <w:p>
      <w:pPr>
        <w:spacing w:before="60" w:after="40"/>
      </w:pPr>
      <w:r>
        <w:rPr>
          <w:rFonts w:ascii="Arial" w:cs="Arial" w:eastAsia="Arial" w:hAnsi="Arial"/>
          <w:b/>
          <w:bCs/>
          <w:sz w:val="22"/>
          <w:szCs w:val="22"/>
        </w:rPr>
        <w:t xml:space="preserve">GDIT (2024). </w:t>
      </w:r>
      <w:r>
        <w:rPr>
          <w:rFonts w:ascii="Arial" w:cs="Arial" w:eastAsia="Arial" w:hAnsi="Arial"/>
          <w:i/>
          <w:iCs/>
          <w:sz w:val="22"/>
          <w:szCs w:val="22"/>
        </w:rPr>
        <w:t xml:space="preserve">How Adaptive RAG Makes Generative AI More Reliable for Defense Missions. </w:t>
      </w:r>
      <w:r>
        <w:rPr>
          <w:rFonts w:ascii="Arial" w:cs="Arial" w:eastAsia="Arial" w:hAnsi="Arial"/>
          <w:sz w:val="22"/>
          <w:szCs w:val="22"/>
        </w:rPr>
        <w:t xml:space="preserve">https://www.gdit.com/perspectives/latest/how-adaptive-rag-makes-generative-ai-more-reliable-for-defense-missions — NIPRGPT 100K user adoption; adaptive RAG; hallucination management; Section I and II.</w:t>
      </w:r>
    </w:p>
    <w:p>
      <w:pPr>
        <w:spacing w:before="60" w:after="40"/>
      </w:pPr>
      <w:r>
        <w:rPr>
          <w:rFonts w:ascii="Arial" w:cs="Arial" w:eastAsia="Arial" w:hAnsi="Arial"/>
          <w:b/>
          <w:bCs/>
          <w:sz w:val="22"/>
          <w:szCs w:val="22"/>
        </w:rPr>
        <w:t xml:space="preserve">Ben Van Roo (April 2025). </w:t>
      </w:r>
      <w:r>
        <w:rPr>
          <w:rFonts w:ascii="Arial" w:cs="Arial" w:eastAsia="Arial" w:hAnsi="Arial"/>
          <w:i/>
          <w:iCs/>
          <w:sz w:val="22"/>
          <w:szCs w:val="22"/>
        </w:rPr>
        <w:t xml:space="preserve">NIPRGPT: Success, Criticism, and Future. </w:t>
      </w:r>
      <w:r>
        <w:rPr>
          <w:rFonts w:ascii="Arial" w:cs="Arial" w:eastAsia="Arial" w:hAnsi="Arial"/>
          <w:sz w:val="22"/>
          <w:szCs w:val="22"/>
        </w:rPr>
        <w:t xml:space="preserve">https://benvanroo.substack.com/p/niprgpt-success-criticism-and-future — NIPRGPT technical architecture; IL4/CAC; CamoGPT/CENTGPT derivative programs; SLA requirements for classified AI.</w:t>
      </w:r>
    </w:p>
    <w:p>
      <w:pPr>
        <w:spacing w:before="60" w:after="40"/>
      </w:pPr>
      <w:r>
        <w:rPr>
          <w:rFonts w:ascii="Arial" w:cs="Arial" w:eastAsia="Arial" w:hAnsi="Arial"/>
          <w:b/>
          <w:bCs/>
          <w:sz w:val="22"/>
          <w:szCs w:val="22"/>
        </w:rPr>
        <w:t xml:space="preserve">Ask Sage (2025). </w:t>
      </w:r>
      <w:r>
        <w:rPr>
          <w:rFonts w:ascii="Arial" w:cs="Arial" w:eastAsia="Arial" w:hAnsi="Arial"/>
          <w:i/>
          <w:iCs/>
          <w:sz w:val="22"/>
          <w:szCs w:val="22"/>
        </w:rPr>
        <w:t xml:space="preserve">Defense Industrial Base Platform; Army IL5 Announcement. </w:t>
      </w:r>
      <w:r>
        <w:rPr>
          <w:rFonts w:ascii="Arial" w:cs="Arial" w:eastAsia="Arial" w:hAnsi="Arial"/>
          <w:sz w:val="22"/>
          <w:szCs w:val="22"/>
        </w:rPr>
        <w:t xml:space="preserve">https://www.asksage.ai/who-we-serve/defense-industrial-base — FedRAMP High, IL5, IL6, Top Secret authorizations; CDAO enterprise deployment; 95% ATO savings; tactical edge capability.</w:t>
      </w:r>
    </w:p>
    <w:p>
      <w:pPr>
        <w:spacing w:before="60" w:after="40"/>
      </w:pPr>
      <w:r>
        <w:rPr>
          <w:rFonts w:ascii="Arial" w:cs="Arial" w:eastAsia="Arial" w:hAnsi="Arial"/>
          <w:b/>
          <w:bCs/>
          <w:sz w:val="22"/>
          <w:szCs w:val="22"/>
        </w:rPr>
        <w:t xml:space="preserve">DoD AI Strategy for the Department of War (January 2026). </w:t>
      </w:r>
      <w:r>
        <w:rPr>
          <w:rFonts w:ascii="Arial" w:cs="Arial" w:eastAsia="Arial" w:hAnsi="Arial"/>
          <w:i/>
          <w:iCs/>
          <w:sz w:val="22"/>
          <w:szCs w:val="22"/>
        </w:rPr>
        <w:t xml:space="preserve">Artificial Intelligence Strategy for the Department of War. </w:t>
      </w:r>
      <w:r>
        <w:rPr>
          <w:rFonts w:ascii="Arial" w:cs="Arial" w:eastAsia="Arial" w:hAnsi="Arial"/>
          <w:sz w:val="22"/>
          <w:szCs w:val="22"/>
        </w:rPr>
        <w:t xml:space="preserve">https://media.defense.gov/2026/Jan/12/2003855671/-1/-1/0/ARTIFICIAL-INTELLIGENCE-STRATEGY-FOR-THE-DEPARTMENT-OF-WAR.PDF — Current DoD AI strategic direction; MOSA; federated data catalogs; "any lawful use" contract language.</w:t>
      </w:r>
    </w:p>
    <w:p>
      <w:pPr>
        <w:spacing w:before="60" w:after="60"/>
      </w:pPr>
      <w:r>
        <w:t xml:space="preserve"/>
      </w:r>
    </w:p>
    <w:p>
      <w:pPr>
        <w:pStyle w:val="Heading2"/>
        <w:spacing w:before="240" w:after="80"/>
      </w:pPr>
      <w:r>
        <w:rPr>
          <w:rFonts w:ascii="Arial" w:cs="Arial" w:eastAsia="Arial" w:hAnsi="Arial"/>
          <w:b/>
          <w:bCs/>
          <w:sz w:val="26"/>
          <w:szCs w:val="26"/>
        </w:rPr>
        <w:t xml:space="preserve">Category 4: Security, CUI, and DoD Impact Levels</w:t>
      </w:r>
    </w:p>
    <w:p>
      <w:pPr>
        <w:spacing w:before="60" w:after="40"/>
      </w:pPr>
      <w:r>
        <w:rPr>
          <w:rFonts w:ascii="Arial" w:cs="Arial" w:eastAsia="Arial" w:hAnsi="Arial"/>
          <w:b/>
          <w:bCs/>
          <w:sz w:val="22"/>
          <w:szCs w:val="22"/>
        </w:rPr>
        <w:t xml:space="preserve">DoD CIO (2024). </w:t>
      </w:r>
      <w:r>
        <w:rPr>
          <w:rFonts w:ascii="Arial" w:cs="Arial" w:eastAsia="Arial" w:hAnsi="Arial"/>
          <w:i/>
          <w:iCs/>
          <w:sz w:val="22"/>
          <w:szCs w:val="22"/>
        </w:rPr>
        <w:t xml:space="preserve">DoD AI Cybersecurity Risk Management Tailoring Guide. </w:t>
      </w:r>
      <w:r>
        <w:rPr>
          <w:rFonts w:ascii="Arial" w:cs="Arial" w:eastAsia="Arial" w:hAnsi="Arial"/>
          <w:sz w:val="22"/>
          <w:szCs w:val="22"/>
        </w:rPr>
        <w:t xml:space="preserve">https://dodcio.defense.gov/Portals/0/Documents/Library/AI-CybersecurityRMTailoringGuide.pdf — AI-specific RMF tailoring; CNSSI 1253 controls; DevSecOps integration; cATO pathway; primary reference for Section III.D.</w:t>
      </w:r>
    </w:p>
    <w:p>
      <w:pPr>
        <w:spacing w:before="60" w:after="40"/>
      </w:pPr>
      <w:r>
        <w:rPr>
          <w:rFonts w:ascii="Arial" w:cs="Arial" w:eastAsia="Arial" w:hAnsi="Arial"/>
          <w:b/>
          <w:bCs/>
          <w:sz w:val="22"/>
          <w:szCs w:val="22"/>
        </w:rPr>
        <w:t xml:space="preserve">NIST (2025). </w:t>
      </w:r>
      <w:r>
        <w:rPr>
          <w:rFonts w:ascii="Arial" w:cs="Arial" w:eastAsia="Arial" w:hAnsi="Arial"/>
          <w:i/>
          <w:iCs/>
          <w:sz w:val="22"/>
          <w:szCs w:val="22"/>
        </w:rPr>
        <w:t xml:space="preserve">NIST AI Risk Management Framework (AI RMF 1.0) and AI RMF Playbook. </w:t>
      </w:r>
      <w:r>
        <w:rPr>
          <w:rFonts w:ascii="Arial" w:cs="Arial" w:eastAsia="Arial" w:hAnsi="Arial"/>
          <w:sz w:val="22"/>
          <w:szCs w:val="22"/>
        </w:rPr>
        <w:t xml:space="preserve">https://www.nist.gov/itl/ai-risk-management-framework — GOVERN/MAP/MEASURE/MANAGE functions; GenAI Profile (NIST AI 600-1); Section III.A.</w:t>
      </w:r>
    </w:p>
    <w:p>
      <w:pPr>
        <w:spacing w:before="60" w:after="40"/>
      </w:pPr>
      <w:r>
        <w:rPr>
          <w:rFonts w:ascii="Arial" w:cs="Arial" w:eastAsia="Arial" w:hAnsi="Arial"/>
          <w:b/>
          <w:bCs/>
          <w:sz w:val="22"/>
          <w:szCs w:val="22"/>
        </w:rPr>
        <w:t xml:space="preserve">Wiley Law (November 2025). </w:t>
      </w:r>
      <w:r>
        <w:rPr>
          <w:rFonts w:ascii="Arial" w:cs="Arial" w:eastAsia="Arial" w:hAnsi="Arial"/>
          <w:i/>
          <w:iCs/>
          <w:sz w:val="22"/>
          <w:szCs w:val="22"/>
        </w:rPr>
        <w:t xml:space="preserve">Updates to NIST Cybersecurity Guidance May Impact Government Contractors. </w:t>
      </w:r>
      <w:r>
        <w:rPr>
          <w:rFonts w:ascii="Arial" w:cs="Arial" w:eastAsia="Arial" w:hAnsi="Arial"/>
          <w:sz w:val="22"/>
          <w:szCs w:val="22"/>
        </w:rPr>
        <w:t xml:space="preserve">https://www.wiley.law/alert-Updates-to-NIST-Cybersecurity-Guidance-May-Impact-Government-Contractors — CMMC in effect November 2025; NIST 800-172 Rev 3; Section III.A and III.D.</w:t>
      </w:r>
    </w:p>
    <w:p>
      <w:pPr>
        <w:spacing w:before="60" w:after="40"/>
      </w:pPr>
      <w:r>
        <w:rPr>
          <w:rFonts w:ascii="Arial" w:cs="Arial" w:eastAsia="Arial" w:hAnsi="Arial"/>
          <w:b/>
          <w:bCs/>
          <w:sz w:val="22"/>
          <w:szCs w:val="22"/>
        </w:rPr>
        <w:t xml:space="preserve">DoD CIO (January 2026). </w:t>
      </w:r>
      <w:r>
        <w:rPr>
          <w:rFonts w:ascii="Arial" w:cs="Arial" w:eastAsia="Arial" w:hAnsi="Arial"/>
          <w:i/>
          <w:iCs/>
          <w:sz w:val="22"/>
          <w:szCs w:val="22"/>
        </w:rPr>
        <w:t xml:space="preserve">Zero Trust Implementation Guideline Primer. </w:t>
      </w:r>
      <w:r>
        <w:rPr>
          <w:rFonts w:ascii="Arial" w:cs="Arial" w:eastAsia="Arial" w:hAnsi="Arial"/>
          <w:sz w:val="22"/>
          <w:szCs w:val="22"/>
        </w:rPr>
        <w:t xml:space="preserve">https://media.defense.gov/2026/Jan/08/2003852320/-1/-1/0/CTR_ZERO_TRUST_IMPLEMENTATION_GUIDELINE_PRIMER.PDF — 152 ZT activities; five-phase roadmap; Section III.E.</w:t>
      </w:r>
    </w:p>
    <w:p>
      <w:pPr>
        <w:spacing w:before="60" w:after="40"/>
      </w:pPr>
      <w:r>
        <w:rPr>
          <w:rFonts w:ascii="Arial" w:cs="Arial" w:eastAsia="Arial" w:hAnsi="Arial"/>
          <w:b/>
          <w:bCs/>
          <w:sz w:val="22"/>
          <w:szCs w:val="22"/>
        </w:rPr>
        <w:t xml:space="preserve">CISO Council (May 2025). </w:t>
      </w:r>
      <w:r>
        <w:rPr>
          <w:rFonts w:ascii="Arial" w:cs="Arial" w:eastAsia="Arial" w:hAnsi="Arial"/>
          <w:i/>
          <w:iCs/>
          <w:sz w:val="22"/>
          <w:szCs w:val="22"/>
        </w:rPr>
        <w:t xml:space="preserve">Federal Zero Trust Data Security Guide. </w:t>
      </w:r>
      <w:r>
        <w:rPr>
          <w:rFonts w:ascii="Arial" w:cs="Arial" w:eastAsia="Arial" w:hAnsi="Arial"/>
          <w:sz w:val="22"/>
          <w:szCs w:val="22"/>
        </w:rPr>
        <w:t xml:space="preserve">https://resources.data.gov/assets/documents/Zero-Trust-DataSecurityGuide_RevisedMay2025_CIO.govVersion.pdf — Data pillar ZT controls; Section III.E.</w:t>
      </w:r>
    </w:p>
    <w:p>
      <w:pPr>
        <w:spacing w:before="60" w:after="40"/>
      </w:pPr>
      <w:r>
        <w:rPr>
          <w:rFonts w:ascii="Arial" w:cs="Arial" w:eastAsia="Arial" w:hAnsi="Arial"/>
          <w:b/>
          <w:bCs/>
          <w:sz w:val="22"/>
          <w:szCs w:val="22"/>
        </w:rPr>
        <w:t xml:space="preserve">GRSee Consulting (2025). </w:t>
      </w:r>
      <w:r>
        <w:rPr>
          <w:rFonts w:ascii="Arial" w:cs="Arial" w:eastAsia="Arial" w:hAnsi="Arial"/>
          <w:i/>
          <w:iCs/>
          <w:sz w:val="22"/>
          <w:szCs w:val="22"/>
        </w:rPr>
        <w:t xml:space="preserve">DoD Cloud Computing Security Requirements Guide: Impact Levels. </w:t>
      </w:r>
      <w:r>
        <w:rPr>
          <w:rFonts w:ascii="Arial" w:cs="Arial" w:eastAsia="Arial" w:hAnsi="Arial"/>
          <w:sz w:val="22"/>
          <w:szCs w:val="22"/>
        </w:rPr>
        <w:t xml:space="preserve">https://grsee.com/resources/fed-assess/dod-cloud-security-requirements-how-to-secure-cloud-adoption — IL4/IL5/IL6 technical requirements; 421+ controls at IL5; Section II.B and III.B.</w:t>
      </w:r>
    </w:p>
    <w:p>
      <w:pPr>
        <w:spacing w:before="60" w:after="40"/>
      </w:pPr>
      <w:r>
        <w:rPr>
          <w:rFonts w:ascii="Arial" w:cs="Arial" w:eastAsia="Arial" w:hAnsi="Arial"/>
          <w:b/>
          <w:bCs/>
          <w:sz w:val="22"/>
          <w:szCs w:val="22"/>
        </w:rPr>
        <w:t xml:space="preserve">Konfirmity (2025, December). </w:t>
      </w:r>
      <w:r>
        <w:rPr>
          <w:rFonts w:ascii="Arial" w:cs="Arial" w:eastAsia="Arial" w:hAnsi="Arial"/>
          <w:i/>
          <w:iCs/>
          <w:sz w:val="22"/>
          <w:szCs w:val="22"/>
        </w:rPr>
        <w:t xml:space="preserve">DoD Impact Levels: How They Support Data Protection Standards. </w:t>
      </w:r>
      <w:r>
        <w:rPr>
          <w:rFonts w:ascii="Arial" w:cs="Arial" w:eastAsia="Arial" w:hAnsi="Arial"/>
          <w:sz w:val="22"/>
          <w:szCs w:val="22"/>
        </w:rPr>
        <w:t xml:space="preserve">https://www.konfirmity.com/glossary/dod-impact-levels — IL2/4/5/6 mapping to data types; personnel requirements; infrastructure requirements.</w:t>
      </w:r>
    </w:p>
    <w:p>
      <w:pPr>
        <w:spacing w:before="60" w:after="40"/>
      </w:pPr>
      <w:r>
        <w:rPr>
          <w:rFonts w:ascii="Arial" w:cs="Arial" w:eastAsia="Arial" w:hAnsi="Arial"/>
          <w:b/>
          <w:bCs/>
          <w:sz w:val="22"/>
          <w:szCs w:val="22"/>
        </w:rPr>
        <w:t xml:space="preserve">USENIX Security 2025 / Zou et al. </w:t>
      </w:r>
      <w:r>
        <w:rPr>
          <w:rFonts w:ascii="Arial" w:cs="Arial" w:eastAsia="Arial" w:hAnsi="Arial"/>
          <w:i/>
          <w:iCs/>
          <w:sz w:val="22"/>
          <w:szCs w:val="22"/>
        </w:rPr>
        <w:t xml:space="preserve">PoisonedRAG: Knowledge Corruption Attacks to Retrieval-Augmented Generation. </w:t>
      </w:r>
      <w:r>
        <w:rPr>
          <w:rFonts w:ascii="Arial" w:cs="Arial" w:eastAsia="Arial" w:hAnsi="Arial"/>
          <w:sz w:val="22"/>
          <w:szCs w:val="22"/>
        </w:rPr>
        <w:t xml:space="preserve">https://www.usenix.org/system/files/usenixsecurity25-zou-poisonedrag.pdf — Knowledge base poisoning threat model; adversarial attack methodology and defenses; Section III.C.2.</w:t>
      </w:r>
    </w:p>
    <w:p>
      <w:pPr>
        <w:spacing w:before="60" w:after="40"/>
      </w:pPr>
      <w:r>
        <w:rPr>
          <w:rFonts w:ascii="Arial" w:cs="Arial" w:eastAsia="Arial" w:hAnsi="Arial"/>
          <w:b/>
          <w:bCs/>
          <w:sz w:val="22"/>
          <w:szCs w:val="22"/>
        </w:rPr>
        <w:t xml:space="preserve">Microsoft Community Hub (January 2026). </w:t>
      </w:r>
      <w:r>
        <w:rPr>
          <w:rFonts w:ascii="Arial" w:cs="Arial" w:eastAsia="Arial" w:hAnsi="Arial"/>
          <w:i/>
          <w:iCs/>
          <w:sz w:val="22"/>
          <w:szCs w:val="22"/>
        </w:rPr>
        <w:t xml:space="preserve">Architecting Trust: A NIST-Based Security Governance Framework for AI Agents. </w:t>
      </w:r>
      <w:r>
        <w:rPr>
          <w:rFonts w:ascii="Arial" w:cs="Arial" w:eastAsia="Arial" w:hAnsi="Arial"/>
          <w:sz w:val="22"/>
          <w:szCs w:val="22"/>
        </w:rPr>
        <w:t xml:space="preserve">https://techcommunity.microsoft.com/blog/microsoftdefendercloudblog/architecting-trust-a-nist-based-security-governance-framework-for-ai-agents/4490556 — OWASP Top 10 for agentic AI; NIST RMF mapping; Section III.C.</w:t>
      </w:r>
    </w:p>
    <w:p>
      <w:pPr>
        <w:spacing w:before="60" w:after="60"/>
      </w:pPr>
      <w:r>
        <w:t xml:space="preserve"/>
      </w:r>
    </w:p>
    <w:p>
      <w:pPr>
        <w:pStyle w:val="Heading2"/>
        <w:spacing w:before="240" w:after="80"/>
      </w:pPr>
      <w:r>
        <w:rPr>
          <w:rFonts w:ascii="Arial" w:cs="Arial" w:eastAsia="Arial" w:hAnsi="Arial"/>
          <w:b/>
          <w:bCs/>
          <w:sz w:val="26"/>
          <w:szCs w:val="26"/>
        </w:rPr>
        <w:t xml:space="preserve">Category 5: DoD T&amp;E Policy and AI-Enabled T&amp;E</w:t>
      </w:r>
    </w:p>
    <w:p>
      <w:pPr>
        <w:spacing w:before="60" w:after="40"/>
      </w:pPr>
      <w:r>
        <w:rPr>
          <w:rFonts w:ascii="Arial" w:cs="Arial" w:eastAsia="Arial" w:hAnsi="Arial"/>
          <w:b/>
          <w:bCs/>
          <w:sz w:val="22"/>
          <w:szCs w:val="22"/>
        </w:rPr>
        <w:t xml:space="preserve">CDAO (April 2024). </w:t>
      </w:r>
      <w:r>
        <w:rPr>
          <w:rFonts w:ascii="Arial" w:cs="Arial" w:eastAsia="Arial" w:hAnsi="Arial"/>
          <w:i/>
          <w:iCs/>
          <w:sz w:val="22"/>
          <w:szCs w:val="22"/>
        </w:rPr>
        <w:t xml:space="preserve">Operational Test and Evaluation of AI-Enabled Capabilities (T&amp;E Strategy Frameworks). </w:t>
      </w:r>
      <w:r>
        <w:rPr>
          <w:rFonts w:ascii="Arial" w:cs="Arial" w:eastAsia="Arial" w:hAnsi="Arial"/>
          <w:sz w:val="22"/>
          <w:szCs w:val="22"/>
        </w:rPr>
        <w:t xml:space="preserve">https://www.ai.mil/Portals/137/Documents/Resources%20Page/CDAO_TE_Framework_-_OTE_TES_2024-04-compressed.pdf — OT&amp;E framework for AIECs; operational realism requirements; Section IV.G.</w:t>
      </w:r>
    </w:p>
    <w:p>
      <w:pPr>
        <w:spacing w:before="60" w:after="40"/>
      </w:pPr>
      <w:r>
        <w:rPr>
          <w:rFonts w:ascii="Arial" w:cs="Arial" w:eastAsia="Arial" w:hAnsi="Arial"/>
          <w:b/>
          <w:bCs/>
          <w:sz w:val="22"/>
          <w:szCs w:val="22"/>
        </w:rPr>
        <w:t xml:space="preserve">OSD DTE&amp;A (February 2025). </w:t>
      </w:r>
      <w:r>
        <w:rPr>
          <w:rFonts w:ascii="Arial" w:cs="Arial" w:eastAsia="Arial" w:hAnsi="Arial"/>
          <w:i/>
          <w:iCs/>
          <w:sz w:val="22"/>
          <w:szCs w:val="22"/>
        </w:rPr>
        <w:t xml:space="preserve">Developmental Test and Evaluation (DT&amp;E) of AI-Enabled Systems Guidebook. </w:t>
      </w:r>
      <w:r>
        <w:rPr>
          <w:rFonts w:ascii="Arial" w:cs="Arial" w:eastAsia="Arial" w:hAnsi="Arial"/>
          <w:sz w:val="22"/>
          <w:szCs w:val="22"/>
        </w:rPr>
        <w:t xml:space="preserve">https://aaf.dau.edu/storage/2025/03/DTE_of_AIES_Guidebook_Final_26Feb25_signed.pdf — CDAO T&amp;E strategy frameworks; ML pipeline; regression testing; Section IV.G.</w:t>
      </w:r>
    </w:p>
    <w:p>
      <w:pPr>
        <w:spacing w:before="60" w:after="40"/>
      </w:pPr>
      <w:r>
        <w:rPr>
          <w:rFonts w:ascii="Arial" w:cs="Arial" w:eastAsia="Arial" w:hAnsi="Arial"/>
          <w:b/>
          <w:bCs/>
          <w:sz w:val="22"/>
          <w:szCs w:val="22"/>
        </w:rPr>
        <w:t xml:space="preserve">Domino Data Lab (June 2025). </w:t>
      </w:r>
      <w:r>
        <w:rPr>
          <w:rFonts w:ascii="Arial" w:cs="Arial" w:eastAsia="Arial" w:hAnsi="Arial"/>
          <w:i/>
          <w:iCs/>
          <w:sz w:val="22"/>
          <w:szCs w:val="22"/>
        </w:rPr>
        <w:t xml:space="preserve">Automating the CDAO AI Test and Evaluation Framework. </w:t>
      </w:r>
      <w:r>
        <w:rPr>
          <w:rFonts w:ascii="Arial" w:cs="Arial" w:eastAsia="Arial" w:hAnsi="Arial"/>
          <w:sz w:val="22"/>
          <w:szCs w:val="22"/>
        </w:rPr>
        <w:t xml:space="preserve">https://domino.ai/blog/domino-automates-the-cdao-ai-test-and-evaluation-framework — CDAO framework six areas; Lockheed Martin T&amp;E use case; Project AMMO; Section IV.G.</w:t>
      </w:r>
    </w:p>
    <w:p>
      <w:pPr>
        <w:spacing w:before="60" w:after="40"/>
      </w:pPr>
      <w:r>
        <w:rPr>
          <w:rFonts w:ascii="Arial" w:cs="Arial" w:eastAsia="Arial" w:hAnsi="Arial"/>
          <w:b/>
          <w:bCs/>
          <w:sz w:val="22"/>
          <w:szCs w:val="22"/>
        </w:rPr>
        <w:t xml:space="preserve">National Academies of Sciences (2023). </w:t>
      </w:r>
      <w:r>
        <w:rPr>
          <w:rFonts w:ascii="Arial" w:cs="Arial" w:eastAsia="Arial" w:hAnsi="Arial"/>
          <w:i/>
          <w:iCs/>
          <w:sz w:val="22"/>
          <w:szCs w:val="22"/>
        </w:rPr>
        <w:t xml:space="preserve">Test and Evaluation Challenges in AI-Enabled Systems for the Department of the Air Force. </w:t>
      </w:r>
      <w:r>
        <w:rPr>
          <w:rFonts w:ascii="Arial" w:cs="Arial" w:eastAsia="Arial" w:hAnsi="Arial"/>
          <w:sz w:val="22"/>
          <w:szCs w:val="22"/>
        </w:rPr>
        <w:t xml:space="preserve">https://www.nationalacademies.org/read/27092/chapter/3 — TEVV purpose; Project Maven T&amp;E lessons; AI T&amp;E CoI formation; Section IV.G and V.A.</w:t>
      </w:r>
    </w:p>
    <w:p>
      <w:pPr>
        <w:spacing w:before="60" w:after="60"/>
      </w:pPr>
      <w:r>
        <w:t xml:space="preserve"/>
      </w:r>
    </w:p>
    <w:p>
      <w:pPr>
        <w:pStyle w:val="Heading2"/>
        <w:spacing w:before="240" w:after="80"/>
      </w:pPr>
      <w:r>
        <w:rPr>
          <w:rFonts w:ascii="Arial" w:cs="Arial" w:eastAsia="Arial" w:hAnsi="Arial"/>
          <w:b/>
          <w:bCs/>
          <w:sz w:val="26"/>
          <w:szCs w:val="26"/>
        </w:rPr>
        <w:t xml:space="preserve">Category 6: Few-Shot Prompting and Automated Generation</w:t>
      </w:r>
    </w:p>
    <w:p>
      <w:pPr>
        <w:spacing w:before="60" w:after="40"/>
      </w:pPr>
      <w:r>
        <w:rPr>
          <w:rFonts w:ascii="Arial" w:cs="Arial" w:eastAsia="Arial" w:hAnsi="Arial"/>
          <w:b/>
          <w:bCs/>
          <w:sz w:val="22"/>
          <w:szCs w:val="22"/>
        </w:rPr>
        <w:t xml:space="preserve">Brown, T., et al. (2020). </w:t>
      </w:r>
      <w:r>
        <w:rPr>
          <w:rFonts w:ascii="Arial" w:cs="Arial" w:eastAsia="Arial" w:hAnsi="Arial"/>
          <w:i/>
          <w:iCs/>
          <w:sz w:val="22"/>
          <w:szCs w:val="22"/>
        </w:rPr>
        <w:t xml:space="preserve">Language Models are Few-Shot Learners. </w:t>
      </w:r>
      <w:r>
        <w:rPr>
          <w:rFonts w:ascii="Arial" w:cs="Arial" w:eastAsia="Arial" w:hAnsi="Arial"/>
          <w:sz w:val="22"/>
          <w:szCs w:val="22"/>
        </w:rPr>
        <w:t xml:space="preserve">NeurIPS 2020. arXiv:2005.14165 — Original GPT-3 paper establishing few-shot prompting; foundational for Section IV.B.</w:t>
      </w:r>
    </w:p>
    <w:p>
      <w:pPr>
        <w:spacing w:before="60" w:after="40"/>
      </w:pPr>
      <w:r>
        <w:rPr>
          <w:rFonts w:ascii="Arial" w:cs="Arial" w:eastAsia="Arial" w:hAnsi="Arial"/>
          <w:b/>
          <w:bCs/>
          <w:sz w:val="22"/>
          <w:szCs w:val="22"/>
        </w:rPr>
        <w:t xml:space="preserve">Promptingguide.ai (2024). </w:t>
      </w:r>
      <w:r>
        <w:rPr>
          <w:rFonts w:ascii="Arial" w:cs="Arial" w:eastAsia="Arial" w:hAnsi="Arial"/>
          <w:i/>
          <w:iCs/>
          <w:sz w:val="22"/>
          <w:szCs w:val="22"/>
        </w:rPr>
        <w:t xml:space="preserve">Few-Shot Prompting. </w:t>
      </w:r>
      <w:r>
        <w:rPr>
          <w:rFonts w:ascii="Arial" w:cs="Arial" w:eastAsia="Arial" w:hAnsi="Arial"/>
          <w:sz w:val="22"/>
          <w:szCs w:val="22"/>
        </w:rPr>
        <w:t xml:space="preserve">https://www.promptingguide.ai/techniques/fewshot — In-context learning mechanism; demonstration design; Section IV.B.</w:t>
      </w:r>
    </w:p>
    <w:p>
      <w:pPr>
        <w:spacing w:before="60" w:after="40"/>
      </w:pPr>
      <w:r>
        <w:rPr>
          <w:rFonts w:ascii="Arial" w:cs="Arial" w:eastAsia="Arial" w:hAnsi="Arial"/>
          <w:b/>
          <w:bCs/>
          <w:sz w:val="22"/>
          <w:szCs w:val="22"/>
        </w:rPr>
        <w:t xml:space="preserve">arxiv:2311.09476 / Saad-Falcon et al. (2024). </w:t>
      </w:r>
      <w:r>
        <w:rPr>
          <w:rFonts w:ascii="Arial" w:cs="Arial" w:eastAsia="Arial" w:hAnsi="Arial"/>
          <w:i/>
          <w:iCs/>
          <w:sz w:val="22"/>
          <w:szCs w:val="22"/>
        </w:rPr>
        <w:t xml:space="preserve">ARES: An Automated Evaluation Framework for Retrieval-Augmented Generation Systems. </w:t>
      </w:r>
      <w:r>
        <w:rPr>
          <w:rFonts w:ascii="Arial" w:cs="Arial" w:eastAsia="Arial" w:hAnsi="Arial"/>
          <w:sz w:val="22"/>
          <w:szCs w:val="22"/>
        </w:rPr>
        <w:t xml:space="preserve">https://arxiv.org/html/2311.09476v2 — Few-shot-seeded LLM judges; synthetic data generation for RAG evaluation; Section IV.F.</w:t>
      </w:r>
    </w:p>
    <w:p>
      <w:pPr>
        <w:spacing w:before="60" w:after="40"/>
      </w:pPr>
      <w:r>
        <w:rPr>
          <w:rFonts w:ascii="Arial" w:cs="Arial" w:eastAsia="Arial" w:hAnsi="Arial"/>
          <w:b/>
          <w:bCs/>
          <w:sz w:val="22"/>
          <w:szCs w:val="22"/>
        </w:rPr>
        <w:t xml:space="preserve">medRxiv (2025). </w:t>
      </w:r>
      <w:r>
        <w:rPr>
          <w:rFonts w:ascii="Arial" w:cs="Arial" w:eastAsia="Arial" w:hAnsi="Arial"/>
          <w:i/>
          <w:iCs/>
          <w:sz w:val="22"/>
          <w:szCs w:val="22"/>
        </w:rPr>
        <w:t xml:space="preserve">A Comprehensive Evaluation of LLM Phenotyping Using RAG. </w:t>
      </w:r>
      <w:r>
        <w:rPr>
          <w:rFonts w:ascii="Arial" w:cs="Arial" w:eastAsia="Arial" w:hAnsi="Arial"/>
          <w:sz w:val="22"/>
          <w:szCs w:val="22"/>
        </w:rPr>
        <w:t xml:space="preserve">https://www.medrxiv.org/content/10.1101/2025.04.29.25326696v3.full.pdf — Empirical few-shot vs zero-shot RAG comparison; PPV improvements; prompt curation methodology; Section IV.B.</w:t>
      </w:r>
    </w:p>
    <w:p>
      <w:pPr>
        <w:spacing w:before="60" w:after="40"/>
      </w:pPr>
      <w:r>
        <w:rPr>
          <w:rFonts w:ascii="Arial" w:cs="Arial" w:eastAsia="Arial" w:hAnsi="Arial"/>
          <w:b/>
          <w:bCs/>
          <w:sz w:val="22"/>
          <w:szCs w:val="22"/>
        </w:rPr>
        <w:t xml:space="preserve">PeerJ Computer Science (2025). </w:t>
      </w:r>
      <w:r>
        <w:rPr>
          <w:rFonts w:ascii="Arial" w:cs="Arial" w:eastAsia="Arial" w:hAnsi="Arial"/>
          <w:i/>
          <w:iCs/>
          <w:sz w:val="22"/>
          <w:szCs w:val="22"/>
        </w:rPr>
        <w:t xml:space="preserve">LLM-Powered Threat Intelligence: A RAG Approach for Cyber Attack Investigation. </w:t>
      </w:r>
      <w:r>
        <w:rPr>
          <w:rFonts w:ascii="Arial" w:cs="Arial" w:eastAsia="Arial" w:hAnsi="Arial"/>
          <w:sz w:val="22"/>
          <w:szCs w:val="22"/>
        </w:rPr>
        <w:t xml:space="preserve">https://peerj.com/articles/cs-3371.pdf — Few-shot query expansion (Query2doc); MITRE ATT&amp;CK RAG application; defense domain applicability; Section IV.</w:t>
      </w:r>
    </w:p>
    <w:p>
      <w:pPr>
        <w:spacing w:before="60" w:after="60"/>
      </w:pPr>
      <w:r>
        <w:t xml:space="preserve"/>
      </w:r>
    </w:p>
    <w:p>
      <w:pPr>
        <w:pBdr>
          <w:top w:val="single" w:color="2E75B6" w:sz="6" w:space="1"/>
        </w:pBdr>
        <w:spacing w:before="240" w:after="120"/>
      </w:pPr>
      <w:r>
        <w:rPr>
          <w:rFonts w:ascii="Arial" w:cs="Arial" w:eastAsia="Arial" w:hAnsi="Arial"/>
          <w:b/>
          <w:bCs/>
          <w:color w:val="888888"/>
          <w:sz w:val="20"/>
          <w:szCs w:val="20"/>
        </w:rPr>
        <w:t xml:space="preserve">END OF DOCUMENT</w:t>
      </w:r>
    </w:p>
    <w:p>
      <w:r>
        <w:rPr>
          <w:rFonts w:ascii="Arial" w:cs="Arial" w:eastAsia="Arial" w:hAnsi="Arial"/>
          <w:color w:val="CC0000"/>
          <w:sz w:val="18"/>
          <w:szCs w:val="18"/>
        </w:rPr>
        <w:t xml:space="preserve">UNCLASSIFIED // FOR OFFICIAL USE ONLY (DRAFT) — Not for public release.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FOR OFFICIAL USE ONLY — DRAFT</w:t>
    </w:r>
    <w:r>
      <w:rPr>
        <w:sz w:val="18"/>
        <w:szCs w:val="18"/>
      </w:rPr>
      <w:tab/>
      <w:tab/>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RAG-Enabled AI for DoD T&amp;E: Research Paper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F549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2026-03-22T02:11:01.071Z</dcterms:created>
  <dcterms:modified xsi:type="dcterms:W3CDTF">2026-03-22T02:11:01.072Z</dcterms:modified>
</cp:coreProperties>
</file>

<file path=docProps/custom.xml><?xml version="1.0" encoding="utf-8"?>
<Properties xmlns="http://schemas.openxmlformats.org/officeDocument/2006/custom-properties" xmlns:vt="http://schemas.openxmlformats.org/officeDocument/2006/docPropsVTypes"/>
</file>