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Figure</w:t>
      </w:r>
      <w:r>
        <w:t xml:space="preserve"> </w:t>
      </w:r>
      <w:r>
        <w:t xml:space="preserve">Captions</w:t>
      </w:r>
    </w:p>
    <w:p>
      <w:pPr>
        <w:pStyle w:val="Subtitle"/>
      </w:pPr>
      <w:r>
        <w:t xml:space="preserve">Manuscript</w:t>
      </w:r>
      <w:r>
        <w:t xml:space="preserve"> </w:t>
      </w:r>
      <w:r>
        <w:t xml:space="preserve">WRENG-7643</w:t>
      </w:r>
    </w:p>
    <w:p>
      <w:pPr>
        <w:pStyle w:val="FirstParagraph"/>
      </w:pPr>
      <w:r>
        <w:rPr>
          <w:bCs/>
          <w:b/>
        </w:rPr>
        <w:t xml:space="preserve">Figure 1.</w:t>
      </w:r>
      <w:r>
        <w:t xml:space="preserve"> </w:t>
      </w:r>
      <w:r>
        <w:t xml:space="preserve">Two-level schedule representation. The aggregate variable specifies 2, 3, 3, 2, 1, and 0 active pumps over six hours, while</w:t>
      </w:r>
      <w:r>
        <w:t xml:space="preserve"> </w:t>
      </w:r>
      <m:oMath>
        <m:sSubSup>
          <m:e>
            <m:r>
              <m:rPr>
                <m:sty m:val="b"/>
              </m:rPr>
              <m:t>x</m:t>
            </m:r>
          </m:e>
          <m:sub>
            <m:r>
              <m:t>h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supplies the fixed canonical representative simulated hydraulically. The disaggregation tracks feasible identity assignments separately and reconstructs the binary actuation schedule.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Task decomposition by prefix. The search tree is partitioned at depth</w:t>
      </w:r>
      <w:r>
        <w:t xml:space="preserve"> </w:t>
      </w:r>
      <m:oMath>
        <m:r>
          <m:t>d</m:t>
        </m:r>
      </m:oMath>
      <w:r>
        <w:t xml:space="preserve">, yielding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d</m:t>
            </m:r>
          </m:sup>
        </m:sSup>
      </m:oMath>
      <w:r>
        <w:t xml:space="preserve"> </w:t>
      </w:r>
      <w:r>
        <w:t xml:space="preserve">independent subtrees distributed across MPI ranks. In this example,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generate 16 tasks assigned to 3 ranks via round-robin.</w:t>
      </w:r>
    </w:p>
    <w:p>
      <w:pPr>
        <w:pStyle w:val="BodyText"/>
      </w:pPr>
      <w:r>
        <w:rPr>
          <w:bCs/>
          <w:b/>
        </w:rPr>
        <w:t xml:space="preserve">Figure 3.</w:t>
      </w:r>
      <w:r>
        <w:t xml:space="preserve"> </w:t>
      </w:r>
      <w:r>
        <w:t xml:space="preserve">Topology of the AnyTown Modified network. The network includes a reservoir (node 10), three storage tanks (nodes 65, 165, 265), and 19 demand junctions connected by 41 pipes and three pump links.</w:t>
      </w:r>
    </w:p>
    <w:p>
      <w:pPr>
        <w:pStyle w:val="BodyText"/>
      </w:pPr>
      <w:r>
        <w:rPr>
          <w:bCs/>
          <w:b/>
        </w:rPr>
        <w:t xml:space="preserve">Figure 4.</w:t>
      </w:r>
      <w:r>
        <w:t xml:space="preserve"> </w:t>
      </w:r>
      <w:r>
        <w:t xml:space="preserve">Hourly energy price pattern used for pump operating cost calculations in the AnyTown Modified network.</w:t>
      </w:r>
    </w:p>
    <w:p>
      <w:pPr>
        <w:pStyle w:val="BodyText"/>
      </w:pPr>
      <w:r>
        <w:rPr>
          <w:bCs/>
          <w:b/>
        </w:rPr>
        <w:t xml:space="preserve">Figure 5.</w:t>
      </w:r>
      <w:r>
        <w:t xml:space="preserve"> </w:t>
      </w:r>
      <w:r>
        <w:t xml:space="preserve">Strong scaling on AnyTown Modified (</w:t>
      </w:r>
      <m:oMath>
        <m:r>
          <m:t>T</m:t>
        </m:r>
        <m:r>
          <m:rPr>
            <m:sty m:val="p"/>
          </m:rPr>
          <m:t>=</m:t>
        </m:r>
        <m:r>
          <m:t>24</m:t>
        </m:r>
      </m:oMath>
      <w:r>
        <w:t xml:space="preserve">,</w:t>
      </w:r>
      <w: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Figure 6.</w:t>
      </w:r>
      <w:r>
        <w:t xml:space="preserve"> </w:t>
      </w:r>
      <w:r>
        <w:t xml:space="preserve">Hydraulic trajectories for optimal schedules under different actuation limits (</w:t>
      </w:r>
      <m:oMath>
        <m:r>
          <m:t>N</m:t>
        </m:r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). Top: tank water levels; dashed lines show bounds, dotted line shows initial level. Bottom: nodal pressures; dashed lines show minimum thresholds.</w:t>
      </w:r>
    </w:p>
    <w:p>
      <w:pPr>
        <w:pStyle w:val="BodyText"/>
      </w:pPr>
      <w:r>
        <w:rPr>
          <w:bCs/>
          <w:b/>
        </w:rPr>
        <w:t xml:space="preserve">Figure 7.</w:t>
      </w:r>
      <w:r>
        <w:t xml:space="preserve"> </w:t>
      </w:r>
      <w:r>
        <w:t xml:space="preserve">Published schedules and replay status for</w:t>
      </w:r>
      <w: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Costs are comparable only among schedules marked feasible.</w:t>
      </w:r>
    </w:p>
    <w:p>
      <w:pPr>
        <w:pStyle w:val="BodyText"/>
      </w:pPr>
      <w:r>
        <w:rPr>
          <w:bCs/>
          <w:b/>
        </w:rPr>
        <w:t xml:space="preserve">Figure 8.</w:t>
      </w:r>
      <w:r>
        <w:t xml:space="preserve"> </w:t>
      </w:r>
      <w:r>
        <w:t xml:space="preserve">Published schedules and replay status for</w:t>
      </w:r>
      <w: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Infeasible schedules retain their published costs for identification, not comparison.</w:t>
      </w:r>
    </w:p>
    <w:p>
      <w:pPr>
        <w:pStyle w:val="BodyText"/>
      </w:pPr>
      <w:r>
        <w:rPr>
          <w:bCs/>
          <w:b/>
        </w:rPr>
        <w:t xml:space="preserve">Figure 9.</w:t>
      </w:r>
      <w:r>
        <w:t xml:space="preserve"> </w:t>
      </w:r>
      <w:r>
        <w:t xml:space="preserve">Published schedules and replay status for</w:t>
      </w:r>
      <w: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 Infeasible schedules retain their published costs for identification, not comparison.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Captions</dc:title>
  <dc:creator/>
  <cp:keywords/>
  <dcterms:created xsi:type="dcterms:W3CDTF">2026-07-30T21:05:24Z</dcterms:created>
  <dcterms:modified xsi:type="dcterms:W3CDTF">2026-07-30T21:05:24Z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Manuscript WRENG-7643</vt:lpwstr>
  </property>
</Properties>
</file>