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80"/>
        <w:jc w:val="center"/>
      </w:pPr>
      <w:r>
        <w:rPr>
          <w:rFonts w:ascii="Georgia" w:hAnsi="Georgia"/>
          <w:b/>
          <w:color w:val="1B2A4A"/>
          <w:sz w:val="48"/>
        </w:rPr>
        <w:t>Regime-Conditional Credit Factor Rotation</w:t>
      </w:r>
    </w:p>
    <w:p>
      <w:pPr>
        <w:spacing w:after="280"/>
        <w:jc w:val="center"/>
      </w:pPr>
      <w:r>
        <w:rPr>
          <w:rFonts w:ascii="Georgia" w:hAnsi="Georgia"/>
          <w:color w:val="3D5A80"/>
          <w:sz w:val="32"/>
        </w:rPr>
        <w:t>A Bayesian Framework for Investment-Grade Rating-Tier Allocation</w:t>
      </w:r>
    </w:p>
    <w:p>
      <w:pPr>
        <w:spacing w:after="240"/>
        <w:jc w:val="center"/>
      </w:pPr>
      <w:r>
        <w:rPr>
          <w:color w:val="1B2A4A"/>
          <w:sz w:val="16"/>
        </w:rPr>
        <w:t>━━━━━━━━━━━━━━━━━━━━━━━━━━━━━━</w:t>
      </w:r>
    </w:p>
    <w:p>
      <w:pPr>
        <w:spacing w:after="40"/>
        <w:jc w:val="center"/>
      </w:pPr>
      <w:r>
        <w:rPr>
          <w:rFonts w:ascii="Arial" w:hAnsi="Arial"/>
          <w:b/>
          <w:color w:val="3C3C3C"/>
          <w:sz w:val="26"/>
        </w:rPr>
        <w:t>Michael Tabet, CFA</w:t>
      </w:r>
    </w:p>
    <w:p>
      <w:pPr>
        <w:spacing w:after="320"/>
        <w:jc w:val="center"/>
      </w:pPr>
      <w:r>
        <w:rPr>
          <w:rFonts w:ascii="Arial" w:hAnsi="Arial"/>
          <w:i/>
          <w:color w:val="3C3C3C"/>
          <w:sz w:val="20"/>
        </w:rPr>
        <w:t>Working Paper  |  March 2026</w:t>
      </w:r>
    </w:p>
    <w:p>
      <w:pPr>
        <w:pBdr>
          <w:top w:val="single" w:sz="6" w:space="4" w:color="1B2A4A"/>
          <w:bottom w:val="single" w:sz="6" w:space="4" w:color="1B2A4A"/>
          <w:left w:val="single" w:sz="6" w:space="8" w:color="1B2A4A"/>
          <w:right w:val="single" w:sz="6" w:space="8" w:color="1B2A4A"/>
        </w:pBdr>
        <w:shd w:fill="F5F5F5" w:val="clear"/>
        <w:spacing w:before="120" w:after="120" w:line="276" w:lineRule="auto"/>
        <w:ind w:left="216" w:right="216"/>
        <w:jc w:val="both"/>
      </w:pPr>
      <w:r>
        <w:rPr>
          <w:rFonts w:ascii="Arial" w:hAnsi="Arial"/>
          <w:b/>
          <w:color w:val="1B2A4A"/>
          <w:sz w:val="22"/>
        </w:rPr>
        <w:t>Abstract</w:t>
        <w:br/>
      </w:r>
      <w:r>
        <w:rPr>
          <w:rFonts w:ascii="Arial" w:hAnsi="Arial"/>
          <w:color w:val="3C3C3C"/>
          <w:sz w:val="20"/>
        </w:rPr>
        <w:t>This paper tests whether systematic rotation across investment-grade rating tiers (AAA, AA, A, BBB) generates excess returns over a market-cap-weighted benchmark when conditioned on credit market regimes. A three-layer Bayesian pipeline combines Hidden Markov Model regime detection, Prophet-based spread forecasting, and Black-Litterman portfolio construction with credit factor signals (DTS, value, momentum). The framework uses only publicly available FRED OAS data and is fully replicable. Backtested over 25+ years of monthly data with stress testing and Monte Carlo simulation.</w:t>
      </w:r>
    </w:p>
    <w:p>
      <w:pPr>
        <w:spacing w:after="40"/>
        <w:ind w:left="216"/>
      </w:pPr>
      <w:r>
        <w:rPr>
          <w:rFonts w:ascii="Arial" w:hAnsi="Arial"/>
          <w:b/>
          <w:color w:val="1B2A4A"/>
          <w:sz w:val="18"/>
        </w:rPr>
        <w:t xml:space="preserve">Keywords: </w:t>
      </w:r>
      <w:r>
        <w:rPr>
          <w:rFonts w:ascii="Arial" w:hAnsi="Arial"/>
          <w:color w:val="3C3C3C"/>
          <w:sz w:val="18"/>
        </w:rPr>
        <w:t>credit factors, regime switching, Black-Litterman, HMM, investment-grade bonds, OAS, portfolio construction</w:t>
      </w:r>
      <w:r>
        <w:rPr>
          <w:rFonts w:ascii="Arial" w:hAnsi="Arial"/>
          <w:b/>
          <w:color w:val="1B2A4A"/>
          <w:sz w:val="18"/>
        </w:rPr>
        <w:t xml:space="preserve">   |   JEL: </w:t>
      </w:r>
      <w:r>
        <w:rPr>
          <w:rFonts w:ascii="Arial" w:hAnsi="Arial"/>
          <w:color w:val="3C3C3C"/>
          <w:sz w:val="18"/>
        </w:rPr>
        <w:t>G11, G12, C58</w:t>
      </w:r>
    </w:p>
    <w:p>
      <w:pPr>
        <w:pBdr>
          <w:top w:val="single" w:sz="6" w:space="4" w:color="3D5A80"/>
          <w:bottom w:val="single" w:sz="6" w:space="4" w:color="3D5A80"/>
          <w:left w:val="single" w:sz="6" w:space="8" w:color="3D5A80"/>
          <w:right w:val="single" w:sz="6" w:space="8" w:color="3D5A80"/>
        </w:pBdr>
        <w:shd w:fill="FAFAFA" w:val="clear"/>
        <w:spacing w:before="120" w:after="120" w:line="276" w:lineRule="auto"/>
        <w:ind w:left="216" w:right="216"/>
        <w:jc w:val="both"/>
      </w:pPr>
      <w:r>
        <w:rPr>
          <w:rFonts w:ascii="Arial" w:hAnsi="Arial"/>
          <w:b/>
          <w:color w:val="1B2A4A"/>
          <w:sz w:val="20"/>
        </w:rPr>
        <w:t>About the Author</w:t>
        <w:br/>
      </w:r>
      <w:r>
        <w:rPr>
          <w:rFonts w:ascii="Arial" w:hAnsi="Arial"/>
          <w:color w:val="3C3C3C"/>
          <w:sz w:val="18"/>
        </w:rPr>
        <w:t>Michael Tabet, CFA is a quantitative finance professional advising and managing capital for five family offices. He previously worked in multi-asset investment solutions for a Canadian asset owner, structuring allocation frameworks for institutional clients including pension funds and sovereign-adjacent entities. He began his career as a trader in Beirut. Michael holds the CFA Charter, an MBA, and an MSc in Econometrics from Saint Joseph University, with thesis research on rule-based investment strategies.</w:t>
      </w:r>
    </w:p>
    <w:p>
      <w:r>
        <w:br w:type="page"/>
      </w:r>
    </w:p>
    <w:p>
      <w:pPr>
        <w:spacing w:after="40"/>
      </w:pPr>
      <w:r>
        <w:rPr>
          <w:rFonts w:ascii="Arial" w:hAnsi="Arial"/>
          <w:b/>
          <w:color w:val="1B2A4A"/>
          <w:sz w:val="28"/>
        </w:rPr>
        <w:t>EXECUTIVE SUMMARY</w:t>
      </w:r>
    </w:p>
    <w:p>
      <w:pPr>
        <w:spacing w:after="160"/>
      </w:pPr>
      <w:r>
        <w:rPr>
          <w:color w:val="1B2A4A"/>
          <w:sz w:val="16"/>
        </w:rPr>
        <w:t>━━━━━━━━━━━━━━━━━━━━━━━━━━━━━━━━━━━━━━━━</w:t>
      </w:r>
    </w:p>
    <w:p>
      <w:pPr>
        <w:spacing w:after="160" w:line="288" w:lineRule="auto"/>
      </w:pPr>
      <w:r>
        <w:rPr>
          <w:rFonts w:ascii="Arial" w:hAnsi="Arial"/>
          <w:b/>
          <w:color w:val="3C3C3C"/>
          <w:sz w:val="20"/>
        </w:rPr>
        <w:t>The regime-conditional factor rotation strategy improves risk-adjusted returns relative to a passive IG benchmark. The Sharpe ratio increases, maximum drawdown decreases, and the primary source of value is defensive positioning during stress episodes.</w:t>
      </w:r>
    </w:p>
    <w:p>
      <w:pPr>
        <w:spacing w:before="80"/>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exec_fig_26.png"/>
                    <pic:cNvPicPr/>
                  </pic:nvPicPr>
                  <pic:blipFill>
                    <a:blip r:embed="rId9"/>
                    <a:stretch>
                      <a:fillRect/>
                    </a:stretch>
                  </pic:blipFill>
                  <pic:spPr>
                    <a:xfrm>
                      <a:off x="0" y="0"/>
                      <a:ext cx="5486400" cy="3352800"/>
                    </a:xfrm>
                    <a:prstGeom prst="rect"/>
                  </pic:spPr>
                </pic:pic>
              </a:graphicData>
            </a:graphic>
          </wp:inline>
        </w:drawing>
      </w:r>
    </w:p>
    <w:p>
      <w:pPr>
        <w:spacing w:before="40" w:after="160" w:line="276" w:lineRule="auto"/>
        <w:jc w:val="left"/>
      </w:pPr>
      <w:r>
        <w:rPr>
          <w:rFonts w:ascii="Arial" w:hAnsi="Arial"/>
          <w:color w:val="3C3C3C"/>
          <w:sz w:val="18"/>
        </w:rPr>
        <w:t>Cumulative return comparison over the full backtest period. The factor strategy (navy) outperforms the passive benchmark on a risk-adjusted basis, with visible outperformance during stress episodes where the regime model shifts to defensive positioning.</w:t>
      </w:r>
    </w:p>
    <w:p>
      <w:pPr>
        <w:spacing w:before="80"/>
        <w:jc w:val="center"/>
      </w:pPr>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exec_fig_14.png"/>
                    <pic:cNvPicPr/>
                  </pic:nvPicPr>
                  <pic:blipFill>
                    <a:blip r:embed="rId10"/>
                    <a:stretch>
                      <a:fillRect/>
                    </a:stretch>
                  </pic:blipFill>
                  <pic:spPr>
                    <a:xfrm>
                      <a:off x="0" y="0"/>
                      <a:ext cx="5486400" cy="3352800"/>
                    </a:xfrm>
                    <a:prstGeom prst="rect"/>
                  </pic:spPr>
                </pic:pic>
              </a:graphicData>
            </a:graphic>
          </wp:inline>
        </w:drawing>
      </w:r>
    </w:p>
    <w:p>
      <w:pPr>
        <w:spacing w:before="40" w:after="160" w:line="276" w:lineRule="auto"/>
        <w:jc w:val="left"/>
      </w:pPr>
      <w:r>
        <w:rPr>
          <w:rFonts w:ascii="Arial" w:hAnsi="Arial"/>
          <w:color w:val="3C3C3C"/>
          <w:sz w:val="18"/>
        </w:rPr>
        <w:t>HMM regime classification over time. The model identifies three distinct states (compression, normal, stress) with &gt;90% persistence. Regime transitions correspond to known credit market events and drive the portfolio's risk posture.</w:t>
      </w:r>
    </w:p>
    <w:p>
      <w:pPr>
        <w:spacing w:before="80"/>
        <w:jc w:val="center"/>
      </w:pPr>
      <w:r>
        <w:drawing>
          <wp:inline xmlns:a="http://schemas.openxmlformats.org/drawingml/2006/main" xmlns:pic="http://schemas.openxmlformats.org/drawingml/2006/picture">
            <wp:extent cx="5486400" cy="3352800"/>
            <wp:docPr id="3" name="Picture 3"/>
            <wp:cNvGraphicFramePr>
              <a:graphicFrameLocks noChangeAspect="1"/>
            </wp:cNvGraphicFramePr>
            <a:graphic>
              <a:graphicData uri="http://schemas.openxmlformats.org/drawingml/2006/picture">
                <pic:pic>
                  <pic:nvPicPr>
                    <pic:cNvPr id="0" name="exec_fig_29.png"/>
                    <pic:cNvPicPr/>
                  </pic:nvPicPr>
                  <pic:blipFill>
                    <a:blip r:embed="rId11"/>
                    <a:stretch>
                      <a:fillRect/>
                    </a:stretch>
                  </pic:blipFill>
                  <pic:spPr>
                    <a:xfrm>
                      <a:off x="0" y="0"/>
                      <a:ext cx="5486400" cy="3352800"/>
                    </a:xfrm>
                    <a:prstGeom prst="rect"/>
                  </pic:spPr>
                </pic:pic>
              </a:graphicData>
            </a:graphic>
          </wp:inline>
        </w:drawing>
      </w:r>
    </w:p>
    <w:p>
      <w:pPr>
        <w:spacing w:before="40" w:after="160" w:line="276" w:lineRule="auto"/>
        <w:jc w:val="left"/>
      </w:pPr>
      <w:r>
        <w:rPr>
          <w:rFonts w:ascii="Arial" w:hAnsi="Arial"/>
          <w:color w:val="3C3C3C"/>
          <w:sz w:val="18"/>
        </w:rPr>
        <w:t>Rating-tier allocation weights over time. During stress regimes, the strategy rotates toward higher-quality tiers (AAA/AA). During compression, it increases BBB exposure to harvest the credit risk premium.</w:t>
      </w:r>
    </w:p>
    <w:p>
      <w:pPr>
        <w:spacing w:before="80"/>
        <w:jc w:val="center"/>
      </w:pPr>
      <w:r>
        <w:drawing>
          <wp:inline xmlns:a="http://schemas.openxmlformats.org/drawingml/2006/main" xmlns:pic="http://schemas.openxmlformats.org/drawingml/2006/picture">
            <wp:extent cx="5486400" cy="2800225"/>
            <wp:docPr id="4" name="Picture 4"/>
            <wp:cNvGraphicFramePr>
              <a:graphicFrameLocks noChangeAspect="1"/>
            </wp:cNvGraphicFramePr>
            <a:graphic>
              <a:graphicData uri="http://schemas.openxmlformats.org/drawingml/2006/picture">
                <pic:pic>
                  <pic:nvPicPr>
                    <pic:cNvPr id="0" name="pipeline_diagram.png"/>
                    <pic:cNvPicPr/>
                  </pic:nvPicPr>
                  <pic:blipFill>
                    <a:blip r:embed="rId12"/>
                    <a:stretch>
                      <a:fillRect/>
                    </a:stretch>
                  </pic:blipFill>
                  <pic:spPr>
                    <a:xfrm>
                      <a:off x="0" y="0"/>
                      <a:ext cx="5486400" cy="2800225"/>
                    </a:xfrm>
                    <a:prstGeom prst="rect"/>
                  </pic:spPr>
                </pic:pic>
              </a:graphicData>
            </a:graphic>
          </wp:inline>
        </w:drawing>
      </w:r>
    </w:p>
    <w:p>
      <w:pPr>
        <w:spacing w:before="40" w:after="120"/>
        <w:jc w:val="left"/>
      </w:pPr>
      <w:r>
        <w:rPr>
          <w:rFonts w:ascii="Arial" w:hAnsi="Arial"/>
          <w:color w:val="3C3C3C"/>
          <w:sz w:val="18"/>
        </w:rPr>
        <w:t>Model architecture. FRED OAS data feeds three parallel processes (regime detection, spread forecasting, factor signals) whose outputs are combined via Black-Litterman into constrained portfolio weights.</w:t>
      </w:r>
    </w:p>
    <w:p>
      <w:pPr>
        <w:pStyle w:val="Heading2"/>
      </w:pPr>
      <w:r>
        <w:rPr>
          <w:rFonts w:ascii="Arial" w:hAnsi="Arial"/>
          <w:color w:val="1B2A4A"/>
        </w:rPr>
        <w:t>Contents</w:t>
      </w:r>
    </w:p>
    <w:p>
      <w:pPr>
        <w:spacing w:after="240"/>
      </w:pPr>
      <w:r>
        <w:fldChar w:fldCharType="begin"/>
      </w:r>
      <w:r>
        <w:instrText xml:space="preserve"> TOC \o "1-3" \h \z \u </w:instrText>
      </w:r>
      <w:r>
        <w:fldChar w:fldCharType="separate"/>
      </w:r>
      <w:r>
        <w:rPr>
          <w:rFonts w:ascii="Arial" w:hAnsi="Arial"/>
          <w:i/>
          <w:color w:val="3C3C3C"/>
          <w:sz w:val="20"/>
        </w:rPr>
        <w:t>Right-click and select Update Field to generate table of contents</w:t>
      </w:r>
      <w:r>
        <w:fldChar w:fldCharType="end"/>
      </w:r>
    </w:p>
    <w:p>
      <w:pPr>
        <w:spacing w:before="360" w:after="0"/>
      </w:pPr>
    </w:p>
    <w:p>
      <w:pPr>
        <w:pStyle w:val="Heading1"/>
      </w:pPr>
      <w:r>
        <w:rPr>
          <w:rFonts w:ascii="Arial" w:hAnsi="Arial"/>
          <w:color w:val="1B2A4A"/>
        </w:rPr>
        <w:t>1. Introduction</w:t>
      </w:r>
    </w:p>
    <w:p>
      <w:pPr>
        <w:pStyle w:val="Heading2"/>
      </w:pPr>
      <w:r>
        <w:rPr>
          <w:rFonts w:ascii="Arial" w:hAnsi="Arial"/>
          <w:color w:val="3D5A80"/>
        </w:rPr>
        <w:t>The Central Hypothesis</w:t>
      </w:r>
    </w:p>
    <w:p>
      <w:pPr>
        <w:spacing w:before="120" w:after="120"/>
        <w:ind w:left="720"/>
        <w:pBdr>
          <w:left w:val="single" w:sz="12" w:space="8" w:color="1B2A4A"/>
        </w:pBdr>
      </w:pPr>
      <w:r>
        <w:rPr>
          <w:rFonts w:ascii="Arial" w:hAnsi="Arial"/>
          <w:b/>
          <w:i w:val="0"/>
          <w:color w:val="3C3C3C"/>
          <w:sz w:val="22"/>
        </w:rPr>
        <w:t>H₁: Systematic rotation across IG rating tiers, conditioned on a regime-switching model, generates statistically significant excess returns over a market-cap-weighted IG benchmark after transaction costs.</w:t>
      </w:r>
    </w:p>
    <w:p>
      <w:pPr>
        <w:pStyle w:val="Heading2"/>
      </w:pPr>
      <w:r>
        <w:rPr>
          <w:rFonts w:ascii="Arial" w:hAnsi="Arial"/>
          <w:color w:val="3D5A80"/>
        </w:rPr>
        <w:t>The Economic Intuition</w:t>
      </w:r>
    </w:p>
    <w:p>
      <w:pPr>
        <w:spacing w:line="276" w:lineRule="auto" w:after="120"/>
        <w:jc w:val="both"/>
      </w:pPr>
      <w:r>
        <w:rPr>
          <w:rFonts w:ascii="Arial" w:hAnsi="Arial"/>
          <w:b w:val="0"/>
          <w:i w:val="0"/>
          <w:color w:val="3C3C3C"/>
          <w:sz w:val="22"/>
        </w:rPr>
        <w:t>The IG credit market has a structural feature that creates opportunity:</w:t>
      </w:r>
    </w:p>
    <w:p>
      <w:pPr>
        <w:spacing w:line="276" w:lineRule="auto" w:after="120"/>
        <w:jc w:val="both"/>
      </w:pPr>
      <w:r>
        <w:rPr>
          <w:rFonts w:ascii="Arial" w:hAnsi="Arial"/>
          <w:b/>
          <w:i w:val="0"/>
          <w:color w:val="3C3C3C"/>
          <w:sz w:val="22"/>
        </w:rPr>
        <w:t>BBB bonds carry roughly 100--130bp more spread than AAA bonds.</w:t>
      </w:r>
      <w:r>
        <w:rPr>
          <w:rFonts w:ascii="Arial" w:hAnsi="Arial"/>
          <w:b w:val="0"/>
          <w:i w:val="0"/>
          <w:color w:val="3C3C3C"/>
          <w:sz w:val="22"/>
        </w:rPr>
        <w:t xml:space="preserve"> This credit risk premium compensates for higher default and downgrade risk. Most of the time, harvesting this premium is rational --- IG default rates are historically below 0.5% annually. But during stress episodes (GFC, COVID), BBB spreads can blow out by 300--500bp while AAA spreads barely move. A portfolio overweight BBB at the wrong time suffers catastrophic relative drawdowns.</w:t>
      </w:r>
    </w:p>
    <w:p>
      <w:pPr>
        <w:spacing w:line="276" w:lineRule="auto" w:after="120"/>
        <w:jc w:val="both"/>
      </w:pPr>
      <w:r>
        <w:rPr>
          <w:rFonts w:ascii="Arial" w:hAnsi="Arial"/>
          <w:b/>
          <w:i w:val="0"/>
          <w:color w:val="3C3C3C"/>
          <w:sz w:val="22"/>
        </w:rPr>
        <w:t>The key question: can we systematically identify when to harvest the BBB premium and when to rotate toward quality?</w:t>
      </w:r>
    </w:p>
    <w:p>
      <w:pPr>
        <w:spacing w:line="276" w:lineRule="auto" w:after="120"/>
        <w:jc w:val="both"/>
      </w:pPr>
      <w:r>
        <w:rPr>
          <w:rFonts w:ascii="Arial" w:hAnsi="Arial"/>
          <w:b w:val="0"/>
          <w:i w:val="0"/>
          <w:color w:val="3C3C3C"/>
          <w:sz w:val="22"/>
        </w:rPr>
        <w:t>Our hypothesis is that the answer is yes, through three mechanisms:</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t>Mechanism</w:t>
            </w:r>
          </w:p>
        </w:tc>
        <w:tc>
          <w:tcPr>
            <w:tcW w:type="dxa" w:w="3120"/>
            <w:shd w:fill="1B2A4A" w:val="clear"/>
          </w:tcPr>
          <w:p>
            <w:r>
              <w:rPr>
                <w:rFonts w:ascii="Arial" w:hAnsi="Arial"/>
                <w:b/>
                <w:color w:val="FFFFFF"/>
                <w:sz w:val="20"/>
              </w:rPr>
            </w:r>
            <w:r>
              <w:rPr>
                <w:rFonts w:ascii="Arial" w:hAnsi="Arial"/>
                <w:b/>
                <w:color w:val="FFFFFF"/>
                <w:sz w:val="20"/>
              </w:rPr>
              <w:t>How It Helps</w:t>
            </w:r>
          </w:p>
        </w:tc>
        <w:tc>
          <w:tcPr>
            <w:tcW w:type="dxa" w:w="3120"/>
            <w:shd w:fill="1B2A4A" w:val="clear"/>
          </w:tcPr>
          <w:p>
            <w:r>
              <w:rPr>
                <w:rFonts w:ascii="Arial" w:hAnsi="Arial"/>
                <w:b/>
                <w:color w:val="FFFFFF"/>
                <w:sz w:val="20"/>
              </w:rPr>
            </w:r>
            <w:r>
              <w:rPr>
                <w:rFonts w:ascii="Arial" w:hAnsi="Arial"/>
                <w:b/>
                <w:color w:val="FFFFFF"/>
                <w:sz w:val="20"/>
              </w:rPr>
              <w:t>When It Matters Most</w:t>
            </w:r>
          </w:p>
        </w:tc>
      </w:tr>
      <w:tr>
        <w:tc>
          <w:tcPr>
            <w:tcW w:type="dxa" w:w="3120"/>
          </w:tcPr>
          <w:p>
            <w:r>
              <w:rPr>
                <w:rFonts w:ascii="Arial" w:hAnsi="Arial"/>
                <w:color w:val="3C3C3C"/>
                <w:sz w:val="20"/>
              </w:rPr>
            </w:r>
            <w:r>
              <w:rPr>
                <w:rFonts w:ascii="Arial" w:hAnsi="Arial"/>
                <w:color w:val="3C3C3C"/>
                <w:sz w:val="20"/>
              </w:rPr>
              <w:t>Regime detection (HMM)</w:t>
            </w:r>
          </w:p>
        </w:tc>
        <w:tc>
          <w:tcPr>
            <w:tcW w:type="dxa" w:w="3120"/>
          </w:tcPr>
          <w:p>
            <w:r>
              <w:rPr>
                <w:rFonts w:ascii="Arial" w:hAnsi="Arial"/>
                <w:color w:val="3C3C3C"/>
                <w:sz w:val="20"/>
              </w:rPr>
            </w:r>
            <w:r>
              <w:rPr>
                <w:rFonts w:ascii="Arial" w:hAnsi="Arial"/>
                <w:color w:val="3C3C3C"/>
                <w:sz w:val="20"/>
              </w:rPr>
              <w:t>Identifies compression / normal / stress before it becomes obvious in spreads</w:t>
            </w:r>
          </w:p>
        </w:tc>
        <w:tc>
          <w:tcPr>
            <w:tcW w:type="dxa" w:w="3120"/>
          </w:tcPr>
          <w:p>
            <w:r>
              <w:rPr>
                <w:rFonts w:ascii="Arial" w:hAnsi="Arial"/>
                <w:color w:val="3C3C3C"/>
                <w:sz w:val="20"/>
              </w:rPr>
            </w:r>
            <w:r>
              <w:rPr>
                <w:rFonts w:ascii="Arial" w:hAnsi="Arial"/>
                <w:color w:val="3C3C3C"/>
                <w:sz w:val="20"/>
              </w:rPr>
              <w:t>Transitions --- the 10--15% of months where regimes shift</w:t>
            </w:r>
          </w:p>
        </w:tc>
      </w:tr>
      <w:tr>
        <w:tc>
          <w:tcPr>
            <w:tcW w:type="dxa" w:w="3120"/>
            <w:shd w:fill="F2F2F2" w:val="clear"/>
          </w:tcPr>
          <w:p>
            <w:r>
              <w:rPr>
                <w:rFonts w:ascii="Arial" w:hAnsi="Arial"/>
                <w:color w:val="3C3C3C"/>
                <w:sz w:val="20"/>
              </w:rPr>
            </w:r>
            <w:r>
              <w:rPr>
                <w:rFonts w:ascii="Arial" w:hAnsi="Arial"/>
                <w:color w:val="3C3C3C"/>
                <w:sz w:val="20"/>
              </w:rPr>
              <w:t>Spread forecasting (Prophet)</w:t>
            </w:r>
          </w:p>
        </w:tc>
        <w:tc>
          <w:tcPr>
            <w:tcW w:type="dxa" w:w="3120"/>
            <w:shd w:fill="F2F2F2" w:val="clear"/>
          </w:tcPr>
          <w:p>
            <w:r>
              <w:rPr>
                <w:rFonts w:ascii="Arial" w:hAnsi="Arial"/>
                <w:color w:val="3C3C3C"/>
                <w:sz w:val="20"/>
              </w:rPr>
            </w:r>
            <w:r>
              <w:rPr>
                <w:rFonts w:ascii="Arial" w:hAnsi="Arial"/>
                <w:color w:val="3C3C3C"/>
                <w:sz w:val="20"/>
              </w:rPr>
              <w:t>Predicts directional OAS moves per bucket</w:t>
            </w:r>
          </w:p>
        </w:tc>
        <w:tc>
          <w:tcPr>
            <w:tcW w:type="dxa" w:w="3120"/>
            <w:shd w:fill="F2F2F2" w:val="clear"/>
          </w:tcPr>
          <w:p>
            <w:r>
              <w:rPr>
                <w:rFonts w:ascii="Arial" w:hAnsi="Arial"/>
                <w:color w:val="3C3C3C"/>
                <w:sz w:val="20"/>
              </w:rPr>
            </w:r>
            <w:r>
              <w:rPr>
                <w:rFonts w:ascii="Arial" w:hAnsi="Arial"/>
                <w:color w:val="3C3C3C"/>
                <w:sz w:val="20"/>
              </w:rPr>
              <w:t>Normal markets --- where mean-reversion signals are strongest</w:t>
            </w:r>
          </w:p>
        </w:tc>
      </w:tr>
      <w:tr>
        <w:tc>
          <w:tcPr>
            <w:tcW w:type="dxa" w:w="3120"/>
          </w:tcPr>
          <w:p>
            <w:r>
              <w:rPr>
                <w:rFonts w:ascii="Arial" w:hAnsi="Arial"/>
                <w:color w:val="3C3C3C"/>
                <w:sz w:val="20"/>
              </w:rPr>
            </w:r>
            <w:r>
              <w:rPr>
                <w:rFonts w:ascii="Arial" w:hAnsi="Arial"/>
                <w:color w:val="3C3C3C"/>
                <w:sz w:val="20"/>
              </w:rPr>
              <w:t>Bayesian blending (BL)</w:t>
            </w:r>
          </w:p>
        </w:tc>
        <w:tc>
          <w:tcPr>
            <w:tcW w:type="dxa" w:w="3120"/>
          </w:tcPr>
          <w:p>
            <w:r>
              <w:rPr>
                <w:rFonts w:ascii="Arial" w:hAnsi="Arial"/>
                <w:color w:val="3C3C3C"/>
                <w:sz w:val="20"/>
              </w:rPr>
            </w:r>
            <w:r>
              <w:rPr>
                <w:rFonts w:ascii="Arial" w:hAnsi="Arial"/>
                <w:color w:val="3C3C3C"/>
                <w:sz w:val="20"/>
              </w:rPr>
              <w:t>Regime-adjusts how much we trust forecasts vs. equilibrium</w:t>
            </w:r>
          </w:p>
        </w:tc>
        <w:tc>
          <w:tcPr>
            <w:tcW w:type="dxa" w:w="3120"/>
          </w:tcPr>
          <w:p>
            <w:r>
              <w:rPr>
                <w:rFonts w:ascii="Arial" w:hAnsi="Arial"/>
                <w:color w:val="3C3C3C"/>
                <w:sz w:val="20"/>
              </w:rPr>
            </w:r>
            <w:r>
              <w:rPr>
                <w:rFonts w:ascii="Arial" w:hAnsi="Arial"/>
                <w:color w:val="3C3C3C"/>
                <w:sz w:val="20"/>
              </w:rPr>
              <w:t>Stress --- when forecast reliability degrades</w:t>
            </w:r>
          </w:p>
        </w:tc>
      </w:tr>
    </w:tbl>
    <w:p>
      <w:pPr>
        <w:spacing w:before="80" w:after="80"/>
      </w:pPr>
    </w:p>
    <w:p>
      <w:pPr>
        <w:pStyle w:val="Heading2"/>
      </w:pPr>
      <w:r>
        <w:rPr>
          <w:rFonts w:ascii="Arial" w:hAnsi="Arial"/>
          <w:color w:val="3D5A80"/>
        </w:rPr>
        <w:t>The Risk-Return Tradeoff</w:t>
      </w:r>
    </w:p>
    <w:p>
      <w:pPr>
        <w:pStyle w:val="ListBullet"/>
        <w:spacing w:line="276" w:lineRule="auto"/>
      </w:pPr>
      <w:r>
        <w:rPr>
          <w:rFonts w:ascii="Arial" w:hAnsi="Arial"/>
          <w:b/>
          <w:i w:val="0"/>
          <w:color w:val="3C3C3C"/>
          <w:sz w:val="22"/>
        </w:rPr>
        <w:t>Return source:</w:t>
      </w:r>
      <w:r>
        <w:rPr>
          <w:rFonts w:ascii="Arial" w:hAnsi="Arial"/>
          <w:b w:val="0"/>
          <w:i w:val="0"/>
          <w:color w:val="3C3C3C"/>
          <w:sz w:val="22"/>
        </w:rPr>
        <w:t xml:space="preserve"> the credit risk premium (BBB-AAA spread) and mean-reversion in relative spreads</w:t>
      </w:r>
    </w:p>
    <w:p>
      <w:pPr>
        <w:pStyle w:val="ListBullet"/>
        <w:spacing w:line="276" w:lineRule="auto"/>
      </w:pPr>
      <w:r>
        <w:rPr>
          <w:rFonts w:ascii="Arial" w:hAnsi="Arial"/>
          <w:b/>
          <w:i w:val="0"/>
          <w:color w:val="3C3C3C"/>
          <w:sz w:val="22"/>
        </w:rPr>
        <w:t>Risk:</w:t>
      </w:r>
      <w:r>
        <w:rPr>
          <w:rFonts w:ascii="Arial" w:hAnsi="Arial"/>
          <w:b w:val="0"/>
          <w:i w:val="0"/>
          <w:color w:val="3C3C3C"/>
          <w:sz w:val="22"/>
        </w:rPr>
        <w:t xml:space="preserve"> getting caught overweight BBB during a stress event, or whipsawing during regime transitions</w:t>
      </w:r>
    </w:p>
    <w:p>
      <w:pPr>
        <w:pStyle w:val="ListBullet"/>
        <w:spacing w:line="276" w:lineRule="auto"/>
      </w:pPr>
      <w:r>
        <w:rPr>
          <w:rFonts w:ascii="Arial" w:hAnsi="Arial"/>
          <w:b/>
          <w:i w:val="0"/>
          <w:color w:val="3C3C3C"/>
          <w:sz w:val="22"/>
        </w:rPr>
        <w:t>Our edge:</w:t>
      </w:r>
      <w:r>
        <w:rPr>
          <w:rFonts w:ascii="Arial" w:hAnsi="Arial"/>
          <w:b w:val="0"/>
          <w:i w:val="0"/>
          <w:color w:val="3C3C3C"/>
          <w:sz w:val="22"/>
        </w:rPr>
        <w:t xml:space="preserve"> regime conditioning reduces the probability of being overweight BBB at the worst time; Bayesian blending prevents overreaction to noisy signals</w:t>
      </w:r>
    </w:p>
    <w:p>
      <w:pPr>
        <w:spacing w:line="276" w:lineRule="auto" w:after="120"/>
        <w:jc w:val="both"/>
      </w:pPr>
      <w:r>
        <w:rPr>
          <w:rFonts w:ascii="Arial" w:hAnsi="Arial"/>
          <w:b w:val="0"/>
          <w:i w:val="0"/>
          <w:color w:val="3C3C3C"/>
          <w:sz w:val="22"/>
        </w:rPr>
        <w:t>Anyone who has actually managed credit money knows the feeling: BBB carry looks irresistible for 35 months, then destroys you in month 36. The purpose of this framework is to make that rotation decision systematic rather than discretionary.</w:t>
      </w:r>
    </w:p>
    <w:p>
      <w:pPr>
        <w:spacing w:before="360" w:after="0"/>
      </w:pPr>
    </w:p>
    <w:p>
      <w:pPr>
        <w:pStyle w:val="Heading1"/>
      </w:pPr>
      <w:r>
        <w:rPr>
          <w:rFonts w:ascii="Arial" w:hAnsi="Arial"/>
          <w:color w:val="1B2A4A"/>
        </w:rPr>
        <w:t>2. Literature Review</w:t>
      </w:r>
    </w:p>
    <w:p>
      <w:pPr>
        <w:spacing w:line="276" w:lineRule="auto" w:after="120"/>
        <w:jc w:val="both"/>
      </w:pPr>
      <w:r>
        <w:rPr>
          <w:rFonts w:ascii="Arial" w:hAnsi="Arial"/>
          <w:b w:val="0"/>
          <w:i w:val="0"/>
          <w:color w:val="3C3C3C"/>
          <w:sz w:val="22"/>
        </w:rPr>
        <w:t>This framework draws on four streams of research. None of the individual components are novel --- the contribution is in combining them into a single, coherent pipeline applied to a constrained, publicly available dataset.</w:t>
      </w:r>
    </w:p>
    <w:p>
      <w:pPr>
        <w:pStyle w:val="Heading2"/>
      </w:pPr>
      <w:r>
        <w:rPr>
          <w:rFonts w:ascii="Arial" w:hAnsi="Arial"/>
          <w:color w:val="3D5A80"/>
        </w:rPr>
        <w:t>2.1 Credit Factor Investing</w:t>
      </w:r>
    </w:p>
    <w:p>
      <w:pPr>
        <w:spacing w:line="276" w:lineRule="auto" w:after="120"/>
        <w:jc w:val="both"/>
      </w:pPr>
      <w:r>
        <w:rPr>
          <w:rFonts w:ascii="Arial" w:hAnsi="Arial"/>
          <w:b w:val="0"/>
          <w:i w:val="0"/>
          <w:color w:val="3C3C3C"/>
          <w:sz w:val="22"/>
        </w:rPr>
        <w:t>The idea that systematic factors explain cross-sectional credit returns is well-established, though the empirical work has almost exclusively used bond-level data that we do not have.</w:t>
      </w:r>
    </w:p>
    <w:p>
      <w:pPr>
        <w:pStyle w:val="ListBullet"/>
        <w:spacing w:line="276" w:lineRule="auto"/>
      </w:pPr>
      <w:r>
        <w:rPr>
          <w:rFonts w:ascii="Arial" w:hAnsi="Arial"/>
          <w:b/>
          <w:i w:val="0"/>
          <w:color w:val="3C3C3C"/>
          <w:sz w:val="22"/>
        </w:rPr>
        <w:t>Ben Dor, Dynkin, Hyman, Houweling, van Leeuwen &amp; Penninga (2012)</w:t>
      </w:r>
      <w:r>
        <w:rPr>
          <w:rFonts w:ascii="Arial" w:hAnsi="Arial"/>
          <w:b w:val="0"/>
          <w:i w:val="0"/>
          <w:color w:val="3C3C3C"/>
          <w:sz w:val="22"/>
        </w:rPr>
        <w:t xml:space="preserve"> demonstrated that carry, value, and momentum factors explain a significant portion of cross-sectional credit returns. Their multi-factor model outperforms single-factor strategies in IG, but requires a universe of hundreds of individual bonds.</w:t>
      </w:r>
    </w:p>
    <w:p>
      <w:pPr>
        <w:pStyle w:val="ListBullet"/>
        <w:spacing w:line="276" w:lineRule="auto"/>
      </w:pPr>
      <w:r>
        <w:rPr>
          <w:rFonts w:ascii="Arial" w:hAnsi="Arial"/>
          <w:b/>
          <w:i w:val="0"/>
          <w:color w:val="3C3C3C"/>
          <w:sz w:val="22"/>
        </w:rPr>
        <w:t>Israel, Palhares &amp; Richardson (2018)</w:t>
      </w:r>
      <w:r>
        <w:rPr>
          <w:rFonts w:ascii="Arial" w:hAnsi="Arial"/>
          <w:b w:val="0"/>
          <w:i w:val="0"/>
          <w:color w:val="3C3C3C"/>
          <w:sz w:val="22"/>
        </w:rPr>
        <w:t xml:space="preserve"> identified market, credit, and liquidity factors analogous to the equity Fama-French factors. Momentum and value premiums exist in credit but are weaker and more episodic than in equities.</w:t>
      </w:r>
    </w:p>
    <w:p>
      <w:pPr>
        <w:pStyle w:val="ListBullet"/>
        <w:spacing w:line="276" w:lineRule="auto"/>
      </w:pPr>
      <w:r>
        <w:rPr>
          <w:rFonts w:ascii="Arial" w:hAnsi="Arial"/>
          <w:b/>
          <w:i w:val="0"/>
          <w:color w:val="3C3C3C"/>
          <w:sz w:val="22"/>
        </w:rPr>
        <w:t>Houweling &amp; van Zundert (2017)</w:t>
      </w:r>
      <w:r>
        <w:rPr>
          <w:rFonts w:ascii="Arial" w:hAnsi="Arial"/>
          <w:b w:val="0"/>
          <w:i w:val="0"/>
          <w:color w:val="3C3C3C"/>
          <w:sz w:val="22"/>
        </w:rPr>
        <w:t xml:space="preserve"> showed that size, low-risk, value, and momentum factors work at the </w:t>
      </w:r>
      <w:r>
        <w:rPr>
          <w:rFonts w:ascii="Arial" w:hAnsi="Arial"/>
          <w:b w:val="0"/>
          <w:i/>
          <w:color w:val="3C3C3C"/>
          <w:sz w:val="22"/>
        </w:rPr>
        <w:t>bond level</w:t>
      </w:r>
      <w:r>
        <w:rPr>
          <w:rFonts w:ascii="Arial" w:hAnsi="Arial"/>
          <w:b w:val="0"/>
          <w:i w:val="0"/>
          <w:color w:val="3C3C3C"/>
          <w:sz w:val="22"/>
        </w:rPr>
        <w:t xml:space="preserve"> with hundreds of securities. Their long-short factor portfolios are not directly applicable to our constrained four-bucket setting.</w:t>
      </w:r>
    </w:p>
    <w:p>
      <w:pPr>
        <w:pStyle w:val="ListBullet"/>
        <w:spacing w:line="276" w:lineRule="auto"/>
      </w:pPr>
      <w:r>
        <w:rPr>
          <w:rFonts w:ascii="Arial" w:hAnsi="Arial"/>
          <w:b/>
          <w:i w:val="0"/>
          <w:color w:val="3C3C3C"/>
          <w:sz w:val="22"/>
        </w:rPr>
        <w:t>Bai, Bali &amp; Wen (2019)</w:t>
      </w:r>
      <w:r>
        <w:rPr>
          <w:rFonts w:ascii="Arial" w:hAnsi="Arial"/>
          <w:b w:val="0"/>
          <w:i w:val="0"/>
          <w:color w:val="3C3C3C"/>
          <w:sz w:val="22"/>
        </w:rPr>
        <w:t xml:space="preserve"> established Duration Times Spread (DTS) as the dominant single factor in explaining credit return dispersion. This finding motivates our 50% weight on the DTS signal.</w:t>
      </w:r>
    </w:p>
    <w:p>
      <w:pPr>
        <w:pStyle w:val="Heading2"/>
      </w:pPr>
      <w:r>
        <w:rPr>
          <w:rFonts w:ascii="Arial" w:hAnsi="Arial"/>
          <w:color w:val="3D5A80"/>
        </w:rPr>
        <w:t>2.2 Regime-Switching Models in Credit Markets</w:t>
      </w:r>
    </w:p>
    <w:p>
      <w:pPr>
        <w:pStyle w:val="ListBullet"/>
        <w:spacing w:line="276" w:lineRule="auto"/>
      </w:pPr>
      <w:r>
        <w:rPr>
          <w:rFonts w:ascii="Arial" w:hAnsi="Arial"/>
          <w:b/>
          <w:i w:val="0"/>
          <w:color w:val="3C3C3C"/>
          <w:sz w:val="22"/>
        </w:rPr>
        <w:t>Hamilton (1989)</w:t>
      </w:r>
      <w:r>
        <w:rPr>
          <w:rFonts w:ascii="Arial" w:hAnsi="Arial"/>
          <w:b w:val="0"/>
          <w:i w:val="0"/>
          <w:color w:val="3C3C3C"/>
          <w:sz w:val="22"/>
        </w:rPr>
        <w:t xml:space="preserve"> introduced the foundational HMM framework for economic regime detection, subsequently applied to credit spread dynamics by multiple authors.</w:t>
      </w:r>
    </w:p>
    <w:p>
      <w:pPr>
        <w:pStyle w:val="ListBullet"/>
        <w:spacing w:line="276" w:lineRule="auto"/>
      </w:pPr>
      <w:r>
        <w:rPr>
          <w:rFonts w:ascii="Arial" w:hAnsi="Arial"/>
          <w:b/>
          <w:i w:val="0"/>
          <w:color w:val="3C3C3C"/>
          <w:sz w:val="22"/>
        </w:rPr>
        <w:t>Ang &amp; Bekaert (2002)</w:t>
      </w:r>
      <w:r>
        <w:rPr>
          <w:rFonts w:ascii="Arial" w:hAnsi="Arial"/>
          <w:b w:val="0"/>
          <w:i w:val="0"/>
          <w:color w:val="3C3C3C"/>
          <w:sz w:val="22"/>
        </w:rPr>
        <w:t xml:space="preserve"> showed that regime-switching models improve asset allocation by capturing time-varying risk premia. Ignoring regimes leads to suboptimal portfolios --- particularly in the tails.</w:t>
      </w:r>
    </w:p>
    <w:p>
      <w:pPr>
        <w:pStyle w:val="ListBullet"/>
        <w:spacing w:line="276" w:lineRule="auto"/>
      </w:pPr>
      <w:r>
        <w:rPr>
          <w:rFonts w:ascii="Arial" w:hAnsi="Arial"/>
          <w:b/>
          <w:i w:val="0"/>
          <w:color w:val="3C3C3C"/>
          <w:sz w:val="22"/>
        </w:rPr>
        <w:t>Guidolin &amp; Timmermann (2007)</w:t>
      </w:r>
      <w:r>
        <w:rPr>
          <w:rFonts w:ascii="Arial" w:hAnsi="Arial"/>
          <w:b w:val="0"/>
          <w:i w:val="0"/>
          <w:color w:val="3C3C3C"/>
          <w:sz w:val="22"/>
        </w:rPr>
        <w:t xml:space="preserve"> demonstrated that regime-switching models improve out-of-sample portfolio allocation in multi-asset settings. Their key insight --- </w:t>
      </w:r>
      <w:r>
        <w:rPr>
          <w:rFonts w:ascii="Arial" w:hAnsi="Arial"/>
          <w:b w:val="0"/>
          <w:i/>
          <w:color w:val="3C3C3C"/>
          <w:sz w:val="22"/>
        </w:rPr>
        <w:t>parameters that work in normal markets fail in stress</w:t>
      </w:r>
      <w:r>
        <w:rPr>
          <w:rFonts w:ascii="Arial" w:hAnsi="Arial"/>
          <w:b w:val="0"/>
          <w:i w:val="0"/>
          <w:color w:val="3C3C3C"/>
          <w:sz w:val="22"/>
        </w:rPr>
        <w:t xml:space="preserve"> --- is the philosophical foundation of our HMM layer.</w:t>
      </w:r>
    </w:p>
    <w:p>
      <w:pPr>
        <w:pStyle w:val="Heading2"/>
      </w:pPr>
      <w:r>
        <w:rPr>
          <w:rFonts w:ascii="Arial" w:hAnsi="Arial"/>
          <w:color w:val="3D5A80"/>
        </w:rPr>
        <w:t>2.3 Black-Litterman in Fixed Income</w:t>
      </w:r>
    </w:p>
    <w:p>
      <w:pPr>
        <w:pStyle w:val="ListBullet"/>
        <w:spacing w:line="276" w:lineRule="auto"/>
      </w:pPr>
      <w:r>
        <w:rPr>
          <w:rFonts w:ascii="Arial" w:hAnsi="Arial"/>
          <w:b/>
          <w:i w:val="0"/>
          <w:color w:val="3C3C3C"/>
          <w:sz w:val="22"/>
        </w:rPr>
        <w:t>Black &amp; Litterman (1992)</w:t>
      </w:r>
      <w:r>
        <w:rPr>
          <w:rFonts w:ascii="Arial" w:hAnsi="Arial"/>
          <w:b w:val="0"/>
          <w:i w:val="0"/>
          <w:color w:val="3C3C3C"/>
          <w:sz w:val="22"/>
        </w:rPr>
        <w:t xml:space="preserve"> developed the original framework at Goldman Sachs for equity allocation, solving the well-known instability of mean-variance optimization.</w:t>
      </w:r>
    </w:p>
    <w:p>
      <w:pPr>
        <w:pStyle w:val="ListBullet"/>
        <w:spacing w:line="276" w:lineRule="auto"/>
      </w:pPr>
      <w:r>
        <w:rPr>
          <w:rFonts w:ascii="Arial" w:hAnsi="Arial"/>
          <w:b/>
          <w:i w:val="0"/>
          <w:color w:val="3C3C3C"/>
          <w:sz w:val="22"/>
        </w:rPr>
        <w:t>Meucci (2010)</w:t>
      </w:r>
      <w:r>
        <w:rPr>
          <w:rFonts w:ascii="Arial" w:hAnsi="Arial"/>
          <w:b w:val="0"/>
          <w:i w:val="0"/>
          <w:color w:val="3C3C3C"/>
          <w:sz w:val="22"/>
        </w:rPr>
        <w:t xml:space="preserve"> extended BL to general (non-normal) distributions and applied it to fixed income. His regime-dependent view-uncertainty scaling (ω) directly informs our HMM-calibrated Ω matrix.</w:t>
      </w:r>
    </w:p>
    <w:p>
      <w:pPr>
        <w:pStyle w:val="ListBullet"/>
        <w:spacing w:line="276" w:lineRule="auto"/>
      </w:pPr>
      <w:r>
        <w:rPr>
          <w:rFonts w:ascii="Arial" w:hAnsi="Arial"/>
          <w:b/>
          <w:i w:val="0"/>
          <w:color w:val="3C3C3C"/>
          <w:sz w:val="22"/>
        </w:rPr>
        <w:t>Fabozzi, Focardi &amp; Jonas (2010)</w:t>
      </w:r>
      <w:r>
        <w:rPr>
          <w:rFonts w:ascii="Arial" w:hAnsi="Arial"/>
          <w:b w:val="0"/>
          <w:i w:val="0"/>
          <w:color w:val="3C3C3C"/>
          <w:sz w:val="22"/>
        </w:rPr>
        <w:t xml:space="preserve"> applied BL to bond portfolio construction, demonstrating its advantages over MVO for small asset universes --- precisely our setting.</w:t>
      </w:r>
    </w:p>
    <w:p>
      <w:pPr>
        <w:pStyle w:val="Heading2"/>
      </w:pPr>
      <w:r>
        <w:rPr>
          <w:rFonts w:ascii="Arial" w:hAnsi="Arial"/>
          <w:color w:val="3D5A80"/>
        </w:rPr>
        <w:t>2.4 Where This Paper Sits</w:t>
      </w:r>
    </w:p>
    <w:p>
      <w:pPr>
        <w:spacing w:line="276" w:lineRule="auto" w:after="120"/>
        <w:jc w:val="both"/>
      </w:pPr>
      <w:r>
        <w:rPr>
          <w:rFonts w:ascii="Arial" w:hAnsi="Arial"/>
          <w:b w:val="0"/>
          <w:i w:val="0"/>
          <w:color w:val="3C3C3C"/>
          <w:sz w:val="22"/>
        </w:rPr>
        <w:t>The table below maps each prior work to our setting. The final column identifies the gap that motivates this paper.</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2340"/>
        <w:gridCol w:w="2340"/>
        <w:gridCol w:w="2340"/>
        <w:gridCol w:w="2340"/>
      </w:tblGrid>
      <w:tr>
        <w:tc>
          <w:tcPr>
            <w:tcW w:type="dxa" w:w="2340"/>
            <w:shd w:fill="1B2A4A" w:val="clear"/>
          </w:tcPr>
          <w:p>
            <w:r>
              <w:rPr>
                <w:rFonts w:ascii="Arial" w:hAnsi="Arial"/>
                <w:b/>
                <w:color w:val="FFFFFF"/>
                <w:sz w:val="20"/>
              </w:rPr>
            </w:r>
            <w:r>
              <w:rPr>
                <w:rFonts w:ascii="Arial" w:hAnsi="Arial"/>
                <w:b/>
                <w:color w:val="FFFFFF"/>
                <w:sz w:val="20"/>
              </w:rPr>
              <w:t>Prior Work</w:t>
            </w:r>
          </w:p>
        </w:tc>
        <w:tc>
          <w:tcPr>
            <w:tcW w:type="dxa" w:w="2340"/>
            <w:shd w:fill="1B2A4A" w:val="clear"/>
          </w:tcPr>
          <w:p>
            <w:r>
              <w:rPr>
                <w:rFonts w:ascii="Arial" w:hAnsi="Arial"/>
                <w:b/>
                <w:color w:val="FFFFFF"/>
                <w:sz w:val="20"/>
              </w:rPr>
            </w:r>
            <w:r>
              <w:rPr>
                <w:rFonts w:ascii="Arial" w:hAnsi="Arial"/>
                <w:b/>
                <w:color w:val="FFFFFF"/>
                <w:sz w:val="20"/>
              </w:rPr>
              <w:t>Their Setting</w:t>
            </w:r>
          </w:p>
        </w:tc>
        <w:tc>
          <w:tcPr>
            <w:tcW w:type="dxa" w:w="2340"/>
            <w:shd w:fill="1B2A4A" w:val="clear"/>
          </w:tcPr>
          <w:p>
            <w:r>
              <w:rPr>
                <w:rFonts w:ascii="Arial" w:hAnsi="Arial"/>
                <w:b/>
                <w:color w:val="FFFFFF"/>
                <w:sz w:val="20"/>
              </w:rPr>
            </w:r>
            <w:r>
              <w:rPr>
                <w:rFonts w:ascii="Arial" w:hAnsi="Arial"/>
                <w:b/>
                <w:color w:val="FFFFFF"/>
                <w:sz w:val="20"/>
              </w:rPr>
              <w:t>Our Setting</w:t>
            </w:r>
          </w:p>
        </w:tc>
        <w:tc>
          <w:tcPr>
            <w:tcW w:type="dxa" w:w="2340"/>
            <w:shd w:fill="1B2A4A" w:val="clear"/>
          </w:tcPr>
          <w:p>
            <w:r>
              <w:rPr>
                <w:rFonts w:ascii="Arial" w:hAnsi="Arial"/>
                <w:b/>
                <w:color w:val="FFFFFF"/>
                <w:sz w:val="20"/>
              </w:rPr>
            </w:r>
            <w:r>
              <w:rPr>
                <w:rFonts w:ascii="Arial" w:hAnsi="Arial"/>
                <w:b/>
                <w:color w:val="FFFFFF"/>
                <w:sz w:val="20"/>
              </w:rPr>
              <w:t>Key Difference</w:t>
            </w:r>
          </w:p>
        </w:tc>
      </w:tr>
      <w:tr>
        <w:tc>
          <w:tcPr>
            <w:tcW w:type="dxa" w:w="2340"/>
          </w:tcPr>
          <w:p>
            <w:r>
              <w:rPr>
                <w:rFonts w:ascii="Arial" w:hAnsi="Arial"/>
                <w:color w:val="3C3C3C"/>
                <w:sz w:val="20"/>
              </w:rPr>
            </w:r>
            <w:r>
              <w:rPr>
                <w:rFonts w:ascii="Arial" w:hAnsi="Arial"/>
                <w:color w:val="3C3C3C"/>
                <w:sz w:val="20"/>
              </w:rPr>
              <w:t>Ben Dor et al. (2012)</w:t>
            </w:r>
          </w:p>
        </w:tc>
        <w:tc>
          <w:tcPr>
            <w:tcW w:type="dxa" w:w="2340"/>
          </w:tcPr>
          <w:p>
            <w:r>
              <w:rPr>
                <w:rFonts w:ascii="Arial" w:hAnsi="Arial"/>
                <w:color w:val="3C3C3C"/>
                <w:sz w:val="20"/>
              </w:rPr>
            </w:r>
            <w:r>
              <w:rPr>
                <w:rFonts w:ascii="Arial" w:hAnsi="Arial"/>
                <w:color w:val="3C3C3C"/>
                <w:sz w:val="20"/>
              </w:rPr>
              <w:t>1,000+ bonds, sector + rating</w:t>
            </w:r>
          </w:p>
        </w:tc>
        <w:tc>
          <w:tcPr>
            <w:tcW w:type="dxa" w:w="2340"/>
          </w:tcPr>
          <w:p>
            <w:r>
              <w:rPr>
                <w:rFonts w:ascii="Arial" w:hAnsi="Arial"/>
                <w:color w:val="3C3C3C"/>
                <w:sz w:val="20"/>
              </w:rPr>
            </w:r>
            <w:r>
              <w:rPr>
                <w:rFonts w:ascii="Arial" w:hAnsi="Arial"/>
                <w:color w:val="3C3C3C"/>
                <w:sz w:val="20"/>
              </w:rPr>
              <w:t>4 rating buckets</w:t>
            </w:r>
          </w:p>
        </w:tc>
        <w:tc>
          <w:tcPr>
            <w:tcW w:type="dxa" w:w="2340"/>
          </w:tcPr>
          <w:p>
            <w:r>
              <w:rPr>
                <w:rFonts w:ascii="Arial" w:hAnsi="Arial"/>
                <w:color w:val="3C3C3C"/>
                <w:sz w:val="20"/>
              </w:rPr>
            </w:r>
            <w:r>
              <w:rPr>
                <w:rFonts w:ascii="Arial" w:hAnsi="Arial"/>
                <w:color w:val="3C3C3C"/>
                <w:sz w:val="20"/>
              </w:rPr>
              <w:t>We lack cross-sectional depth --- compensate with Bayesian regularization</w:t>
            </w:r>
          </w:p>
        </w:tc>
      </w:tr>
      <w:tr>
        <w:tc>
          <w:tcPr>
            <w:tcW w:type="dxa" w:w="2340"/>
            <w:shd w:fill="F2F2F2" w:val="clear"/>
          </w:tcPr>
          <w:p>
            <w:r>
              <w:rPr>
                <w:rFonts w:ascii="Arial" w:hAnsi="Arial"/>
                <w:color w:val="3C3C3C"/>
                <w:sz w:val="20"/>
              </w:rPr>
            </w:r>
            <w:r>
              <w:rPr>
                <w:rFonts w:ascii="Arial" w:hAnsi="Arial"/>
                <w:color w:val="3C3C3C"/>
                <w:sz w:val="20"/>
              </w:rPr>
              <w:t>Israel et al. (2018)</w:t>
            </w:r>
          </w:p>
        </w:tc>
        <w:tc>
          <w:tcPr>
            <w:tcW w:type="dxa" w:w="2340"/>
            <w:shd w:fill="F2F2F2" w:val="clear"/>
          </w:tcPr>
          <w:p>
            <w:r>
              <w:rPr>
                <w:rFonts w:ascii="Arial" w:hAnsi="Arial"/>
                <w:color w:val="3C3C3C"/>
                <w:sz w:val="20"/>
              </w:rPr>
            </w:r>
            <w:r>
              <w:rPr>
                <w:rFonts w:ascii="Arial" w:hAnsi="Arial"/>
                <w:color w:val="3C3C3C"/>
                <w:sz w:val="20"/>
              </w:rPr>
              <w:t>Bond-level TRACE data</w:t>
            </w:r>
          </w:p>
        </w:tc>
        <w:tc>
          <w:tcPr>
            <w:tcW w:type="dxa" w:w="2340"/>
            <w:shd w:fill="F2F2F2" w:val="clear"/>
          </w:tcPr>
          <w:p>
            <w:r>
              <w:rPr>
                <w:rFonts w:ascii="Arial" w:hAnsi="Arial"/>
                <w:color w:val="3C3C3C"/>
                <w:sz w:val="20"/>
              </w:rPr>
            </w:r>
            <w:r>
              <w:rPr>
                <w:rFonts w:ascii="Arial" w:hAnsi="Arial"/>
                <w:color w:val="3C3C3C"/>
                <w:sz w:val="20"/>
              </w:rPr>
              <w:t>FRED index-level OAS</w:t>
            </w:r>
          </w:p>
        </w:tc>
        <w:tc>
          <w:tcPr>
            <w:tcW w:type="dxa" w:w="2340"/>
            <w:shd w:fill="F2F2F2" w:val="clear"/>
          </w:tcPr>
          <w:p>
            <w:r>
              <w:rPr>
                <w:rFonts w:ascii="Arial" w:hAnsi="Arial"/>
                <w:color w:val="3C3C3C"/>
                <w:sz w:val="20"/>
              </w:rPr>
            </w:r>
            <w:r>
              <w:rPr>
                <w:rFonts w:ascii="Arial" w:hAnsi="Arial"/>
                <w:color w:val="3C3C3C"/>
                <w:sz w:val="20"/>
              </w:rPr>
              <w:t>We use free, public data --- replicable by anyone without a Bloomberg terminal</w:t>
            </w:r>
          </w:p>
        </w:tc>
      </w:tr>
      <w:tr>
        <w:tc>
          <w:tcPr>
            <w:tcW w:type="dxa" w:w="2340"/>
          </w:tcPr>
          <w:p>
            <w:r>
              <w:rPr>
                <w:rFonts w:ascii="Arial" w:hAnsi="Arial"/>
                <w:color w:val="3C3C3C"/>
                <w:sz w:val="20"/>
              </w:rPr>
            </w:r>
            <w:r>
              <w:rPr>
                <w:rFonts w:ascii="Arial" w:hAnsi="Arial"/>
                <w:color w:val="3C3C3C"/>
                <w:sz w:val="20"/>
              </w:rPr>
              <w:t>Houweling &amp; van Zundert (2017)</w:t>
            </w:r>
          </w:p>
        </w:tc>
        <w:tc>
          <w:tcPr>
            <w:tcW w:type="dxa" w:w="2340"/>
          </w:tcPr>
          <w:p>
            <w:r>
              <w:rPr>
                <w:rFonts w:ascii="Arial" w:hAnsi="Arial"/>
                <w:color w:val="3C3C3C"/>
                <w:sz w:val="20"/>
              </w:rPr>
            </w:r>
            <w:r>
              <w:rPr>
                <w:rFonts w:ascii="Arial" w:hAnsi="Arial"/>
                <w:color w:val="3C3C3C"/>
                <w:sz w:val="20"/>
              </w:rPr>
              <w:t>Multi-factor long/short</w:t>
            </w:r>
          </w:p>
        </w:tc>
        <w:tc>
          <w:tcPr>
            <w:tcW w:type="dxa" w:w="2340"/>
          </w:tcPr>
          <w:p>
            <w:r>
              <w:rPr>
                <w:rFonts w:ascii="Arial" w:hAnsi="Arial"/>
                <w:color w:val="3C3C3C"/>
                <w:sz w:val="20"/>
              </w:rPr>
            </w:r>
            <w:r>
              <w:rPr>
                <w:rFonts w:ascii="Arial" w:hAnsi="Arial"/>
                <w:color w:val="3C3C3C"/>
                <w:sz w:val="20"/>
              </w:rPr>
              <w:t>Long-only rotation</w:t>
            </w:r>
          </w:p>
        </w:tc>
        <w:tc>
          <w:tcPr>
            <w:tcW w:type="dxa" w:w="2340"/>
          </w:tcPr>
          <w:p>
            <w:r>
              <w:rPr>
                <w:rFonts w:ascii="Arial" w:hAnsi="Arial"/>
                <w:color w:val="3C3C3C"/>
                <w:sz w:val="20"/>
              </w:rPr>
            </w:r>
            <w:r>
              <w:rPr>
                <w:rFonts w:ascii="Arial" w:hAnsi="Arial"/>
                <w:color w:val="3C3C3C"/>
                <w:sz w:val="20"/>
              </w:rPr>
              <w:t>Constrained setting: floors at 1%, tilt ≤ 10%</w:t>
            </w:r>
          </w:p>
        </w:tc>
      </w:tr>
      <w:tr>
        <w:tc>
          <w:tcPr>
            <w:tcW w:type="dxa" w:w="2340"/>
            <w:shd w:fill="F2F2F2" w:val="clear"/>
          </w:tcPr>
          <w:p>
            <w:r>
              <w:rPr>
                <w:rFonts w:ascii="Arial" w:hAnsi="Arial"/>
                <w:color w:val="3C3C3C"/>
                <w:sz w:val="20"/>
              </w:rPr>
            </w:r>
            <w:r>
              <w:rPr>
                <w:rFonts w:ascii="Arial" w:hAnsi="Arial"/>
                <w:color w:val="3C3C3C"/>
                <w:sz w:val="20"/>
              </w:rPr>
              <w:t>Guidolin &amp; Timmermann (2007)</w:t>
            </w:r>
          </w:p>
        </w:tc>
        <w:tc>
          <w:tcPr>
            <w:tcW w:type="dxa" w:w="2340"/>
            <w:shd w:fill="F2F2F2" w:val="clear"/>
          </w:tcPr>
          <w:p>
            <w:r>
              <w:rPr>
                <w:rFonts w:ascii="Arial" w:hAnsi="Arial"/>
                <w:color w:val="3C3C3C"/>
                <w:sz w:val="20"/>
              </w:rPr>
            </w:r>
            <w:r>
              <w:rPr>
                <w:rFonts w:ascii="Arial" w:hAnsi="Arial"/>
                <w:color w:val="3C3C3C"/>
                <w:sz w:val="20"/>
              </w:rPr>
              <w:t>Multi-asset (equity/bond/cash)</w:t>
            </w:r>
          </w:p>
        </w:tc>
        <w:tc>
          <w:tcPr>
            <w:tcW w:type="dxa" w:w="2340"/>
            <w:shd w:fill="F2F2F2" w:val="clear"/>
          </w:tcPr>
          <w:p>
            <w:r>
              <w:rPr>
                <w:rFonts w:ascii="Arial" w:hAnsi="Arial"/>
                <w:color w:val="3C3C3C"/>
                <w:sz w:val="20"/>
              </w:rPr>
            </w:r>
            <w:r>
              <w:rPr>
                <w:rFonts w:ascii="Arial" w:hAnsi="Arial"/>
                <w:color w:val="3C3C3C"/>
                <w:sz w:val="20"/>
              </w:rPr>
              <w:t>Within-credit rotation</w:t>
            </w:r>
          </w:p>
        </w:tc>
        <w:tc>
          <w:tcPr>
            <w:tcW w:type="dxa" w:w="2340"/>
            <w:shd w:fill="F2F2F2" w:val="clear"/>
          </w:tcPr>
          <w:p>
            <w:r>
              <w:rPr>
                <w:rFonts w:ascii="Arial" w:hAnsi="Arial"/>
                <w:color w:val="3C3C3C"/>
                <w:sz w:val="20"/>
              </w:rPr>
            </w:r>
            <w:r>
              <w:rPr>
                <w:rFonts w:ascii="Arial" w:hAnsi="Arial"/>
                <w:color w:val="3C3C3C"/>
                <w:sz w:val="20"/>
              </w:rPr>
              <w:t>Same regime-switching idea, applied to a narrower universe</w:t>
            </w:r>
          </w:p>
        </w:tc>
      </w:tr>
      <w:tr>
        <w:tc>
          <w:tcPr>
            <w:tcW w:type="dxa" w:w="2340"/>
          </w:tcPr>
          <w:p>
            <w:r>
              <w:rPr>
                <w:rFonts w:ascii="Arial" w:hAnsi="Arial"/>
                <w:color w:val="3C3C3C"/>
                <w:sz w:val="20"/>
              </w:rPr>
            </w:r>
            <w:r>
              <w:rPr>
                <w:rFonts w:ascii="Arial" w:hAnsi="Arial"/>
                <w:color w:val="3C3C3C"/>
                <w:sz w:val="20"/>
              </w:rPr>
              <w:t>Meucci (2010)</w:t>
            </w:r>
          </w:p>
        </w:tc>
        <w:tc>
          <w:tcPr>
            <w:tcW w:type="dxa" w:w="2340"/>
          </w:tcPr>
          <w:p>
            <w:r>
              <w:rPr>
                <w:rFonts w:ascii="Arial" w:hAnsi="Arial"/>
                <w:color w:val="3C3C3C"/>
                <w:sz w:val="20"/>
              </w:rPr>
            </w:r>
            <w:r>
              <w:rPr>
                <w:rFonts w:ascii="Arial" w:hAnsi="Arial"/>
                <w:color w:val="3C3C3C"/>
                <w:sz w:val="20"/>
              </w:rPr>
              <w:t>General BL framework</w:t>
            </w:r>
          </w:p>
        </w:tc>
        <w:tc>
          <w:tcPr>
            <w:tcW w:type="dxa" w:w="2340"/>
          </w:tcPr>
          <w:p>
            <w:r>
              <w:rPr>
                <w:rFonts w:ascii="Arial" w:hAnsi="Arial"/>
                <w:color w:val="3C3C3C"/>
                <w:sz w:val="20"/>
              </w:rPr>
            </w:r>
            <w:r>
              <w:rPr>
                <w:rFonts w:ascii="Arial" w:hAnsi="Arial"/>
                <w:color w:val="3C3C3C"/>
                <w:sz w:val="20"/>
              </w:rPr>
              <w:t>BL + HMM + Prophet pipeline</w:t>
            </w:r>
          </w:p>
        </w:tc>
        <w:tc>
          <w:tcPr>
            <w:tcW w:type="dxa" w:w="2340"/>
          </w:tcPr>
          <w:p>
            <w:r>
              <w:rPr>
                <w:rFonts w:ascii="Arial" w:hAnsi="Arial"/>
                <w:color w:val="3C3C3C"/>
                <w:sz w:val="20"/>
              </w:rPr>
            </w:r>
            <w:r>
              <w:rPr>
                <w:rFonts w:ascii="Arial" w:hAnsi="Arial"/>
                <w:color w:val="3C3C3C"/>
                <w:sz w:val="20"/>
              </w:rPr>
              <w:t>We combine three specific models; regime conditions both τ and ω</w:t>
            </w:r>
          </w:p>
        </w:tc>
      </w:tr>
      <w:tr>
        <w:tc>
          <w:tcPr>
            <w:tcW w:type="dxa" w:w="2340"/>
            <w:shd w:fill="F2F2F2" w:val="clear"/>
          </w:tcPr>
          <w:p>
            <w:r>
              <w:rPr>
                <w:rFonts w:ascii="Arial" w:hAnsi="Arial"/>
                <w:color w:val="3C3C3C"/>
                <w:sz w:val="20"/>
              </w:rPr>
            </w:r>
            <w:r>
              <w:rPr>
                <w:rFonts w:ascii="Arial" w:hAnsi="Arial"/>
                <w:color w:val="3C3C3C"/>
                <w:sz w:val="20"/>
              </w:rPr>
              <w:t>Fabozzi et al. (2010)</w:t>
            </w:r>
          </w:p>
        </w:tc>
        <w:tc>
          <w:tcPr>
            <w:tcW w:type="dxa" w:w="2340"/>
            <w:shd w:fill="F2F2F2" w:val="clear"/>
          </w:tcPr>
          <w:p>
            <w:r>
              <w:rPr>
                <w:rFonts w:ascii="Arial" w:hAnsi="Arial"/>
                <w:color w:val="3C3C3C"/>
                <w:sz w:val="20"/>
              </w:rPr>
            </w:r>
            <w:r>
              <w:rPr>
                <w:rFonts w:ascii="Arial" w:hAnsi="Arial"/>
                <w:color w:val="3C3C3C"/>
                <w:sz w:val="20"/>
              </w:rPr>
              <w:t>BL for bond portfolios</w:t>
            </w:r>
          </w:p>
        </w:tc>
        <w:tc>
          <w:tcPr>
            <w:tcW w:type="dxa" w:w="2340"/>
            <w:shd w:fill="F2F2F2" w:val="clear"/>
          </w:tcPr>
          <w:p>
            <w:r>
              <w:rPr>
                <w:rFonts w:ascii="Arial" w:hAnsi="Arial"/>
                <w:color w:val="3C3C3C"/>
                <w:sz w:val="20"/>
              </w:rPr>
            </w:r>
            <w:r>
              <w:rPr>
                <w:rFonts w:ascii="Arial" w:hAnsi="Arial"/>
                <w:color w:val="3C3C3C"/>
                <w:sz w:val="20"/>
              </w:rPr>
              <w:t>BL for rating-tier rotation</w:t>
            </w:r>
          </w:p>
        </w:tc>
        <w:tc>
          <w:tcPr>
            <w:tcW w:type="dxa" w:w="2340"/>
            <w:shd w:fill="F2F2F2" w:val="clear"/>
          </w:tcPr>
          <w:p>
            <w:r>
              <w:rPr>
                <w:rFonts w:ascii="Arial" w:hAnsi="Arial"/>
                <w:color w:val="3C3C3C"/>
                <w:sz w:val="20"/>
              </w:rPr>
            </w:r>
            <w:r>
              <w:rPr>
                <w:rFonts w:ascii="Arial" w:hAnsi="Arial"/>
                <w:color w:val="3C3C3C"/>
                <w:sz w:val="20"/>
              </w:rPr>
              <w:t>They use analyst views; we automate view generation via time-series forecasting</w:t>
            </w:r>
          </w:p>
        </w:tc>
      </w:tr>
    </w:tbl>
    <w:p>
      <w:pPr>
        <w:spacing w:before="80" w:after="80"/>
      </w:pPr>
    </w:p>
    <w:p>
      <w:pPr>
        <w:spacing w:line="276" w:lineRule="auto" w:after="120"/>
        <w:jc w:val="both"/>
      </w:pPr>
      <w:r>
        <w:rPr>
          <w:rFonts w:ascii="Arial" w:hAnsi="Arial"/>
          <w:b/>
          <w:i w:val="0"/>
          <w:color w:val="3C3C3C"/>
          <w:sz w:val="22"/>
        </w:rPr>
        <w:t>The gap we fill:</w:t>
      </w:r>
      <w:r>
        <w:rPr>
          <w:rFonts w:ascii="Arial" w:hAnsi="Arial"/>
          <w:b w:val="0"/>
          <w:i w:val="0"/>
          <w:color w:val="3C3C3C"/>
          <w:sz w:val="22"/>
        </w:rPr>
        <w:t xml:space="preserve"> No prior work, to our knowledge, combines HMM regime detection, automated spread forecasting, and Black-Litterman allocation in a single pipeline for credit rating-tier rotation --- let alone one built entirely on free public data.</w:t>
      </w:r>
    </w:p>
    <w:p>
      <w:pPr>
        <w:spacing w:before="360" w:after="0"/>
      </w:pPr>
    </w:p>
    <w:p>
      <w:pPr>
        <w:pStyle w:val="Heading1"/>
      </w:pPr>
      <w:r>
        <w:rPr>
          <w:rFonts w:ascii="Arial" w:hAnsi="Arial"/>
          <w:color w:val="1B2A4A"/>
        </w:rPr>
        <w:t>3. Data and Constraints</w:t>
      </w:r>
    </w:p>
    <w:p>
      <w:pPr>
        <w:spacing w:line="276" w:lineRule="auto" w:after="120"/>
        <w:jc w:val="both"/>
      </w:pPr>
      <w:r>
        <w:rPr>
          <w:rFonts w:ascii="Arial" w:hAnsi="Arial"/>
          <w:b w:val="0"/>
          <w:i w:val="0"/>
          <w:color w:val="3C3C3C"/>
          <w:sz w:val="22"/>
        </w:rPr>
        <w:t>Every design choice in this system traces back to a data constraint. This section is included not as an apology but as an explanation --- the constraints are what make the architecture interesting.</w:t>
      </w:r>
    </w:p>
    <w:p>
      <w:pPr>
        <w:pStyle w:val="Heading2"/>
      </w:pPr>
      <w:r>
        <w:rPr>
          <w:rFonts w:ascii="Arial" w:hAnsi="Arial"/>
          <w:color w:val="3D5A80"/>
        </w:rPr>
        <w:t>3.1 What We Have</w:t>
      </w:r>
    </w:p>
    <w:p>
      <w:pPr>
        <w:pStyle w:val="ListBullet"/>
        <w:spacing w:line="276" w:lineRule="auto"/>
      </w:pPr>
      <w:r>
        <w:rPr>
          <w:rFonts w:ascii="Arial" w:hAnsi="Arial"/>
          <w:b/>
          <w:i w:val="0"/>
          <w:color w:val="3C3C3C"/>
          <w:sz w:val="22"/>
        </w:rPr>
        <w:t>Monthly Option-Adjusted Spreads</w:t>
      </w:r>
      <w:r>
        <w:rPr>
          <w:rFonts w:ascii="Arial" w:hAnsi="Arial"/>
          <w:b w:val="0"/>
          <w:i w:val="0"/>
          <w:color w:val="3C3C3C"/>
          <w:sz w:val="22"/>
        </w:rPr>
        <w:t xml:space="preserve"> for four IG rating tiers, sourced from FRED (Federal Reserve Economic Data)</w:t>
      </w:r>
    </w:p>
    <w:p>
      <w:pPr>
        <w:pStyle w:val="ListBullet"/>
        <w:spacing w:line="276" w:lineRule="auto"/>
      </w:pPr>
      <w:r>
        <w:rPr>
          <w:rFonts w:ascii="Arial" w:hAnsi="Arial"/>
          <w:b/>
          <w:i w:val="0"/>
          <w:color w:val="3C3C3C"/>
          <w:sz w:val="22"/>
        </w:rPr>
        <w:t>ICE BofA index-level data:</w:t>
      </w:r>
      <w:r>
        <w:rPr>
          <w:rFonts w:ascii="Arial" w:hAnsi="Arial"/>
          <w:b w:val="0"/>
          <w:i w:val="0"/>
          <w:color w:val="3C3C3C"/>
          <w:sz w:val="22"/>
        </w:rPr>
        <w:t xml:space="preserve"> AAA, AA, A, BBB</w:t>
      </w:r>
    </w:p>
    <w:p>
      <w:pPr>
        <w:pStyle w:val="ListBullet"/>
        <w:spacing w:line="276" w:lineRule="auto"/>
      </w:pPr>
      <w:r>
        <w:rPr>
          <w:rFonts w:ascii="Arial" w:hAnsi="Arial"/>
          <w:b/>
          <w:i w:val="0"/>
          <w:color w:val="3C3C3C"/>
          <w:sz w:val="22"/>
        </w:rPr>
        <w:t>25+ years of history</w:t>
      </w:r>
      <w:r>
        <w:rPr>
          <w:rFonts w:ascii="Arial" w:hAnsi="Arial"/>
          <w:b w:val="0"/>
          <w:i w:val="0"/>
          <w:color w:val="3C3C3C"/>
          <w:sz w:val="22"/>
        </w:rPr>
        <w:t xml:space="preserve"> (1997--present)</w:t>
      </w:r>
    </w:p>
    <w:p>
      <w:pPr>
        <w:pStyle w:val="ListBullet"/>
        <w:spacing w:line="276" w:lineRule="auto"/>
      </w:pPr>
      <w:r>
        <w:rPr>
          <w:rFonts w:ascii="Arial" w:hAnsi="Arial"/>
          <w:b/>
          <w:i w:val="0"/>
          <w:color w:val="3C3C3C"/>
          <w:sz w:val="22"/>
        </w:rPr>
        <w:t>Free, publicly available, institutional-quality</w:t>
      </w:r>
      <w:r>
        <w:rPr>
          <w:rFonts w:ascii="Arial" w:hAnsi="Arial"/>
          <w:b w:val="0"/>
          <w:i w:val="0"/>
          <w:color w:val="3C3C3C"/>
          <w:sz w:val="22"/>
        </w:rPr>
        <w:t xml:space="preserve"> --- these are the same indices that pension fund CIOs reference</w:t>
      </w:r>
    </w:p>
    <w:p>
      <w:pPr>
        <w:pStyle w:val="Heading2"/>
      </w:pPr>
      <w:r>
        <w:rPr>
          <w:rFonts w:ascii="Arial" w:hAnsi="Arial"/>
          <w:color w:val="3D5A80"/>
        </w:rPr>
        <w:t>3.2 What We Do NOT Have</w:t>
      </w:r>
    </w:p>
    <w:p>
      <w:pPr>
        <w:pStyle w:val="ListBullet"/>
        <w:spacing w:line="276" w:lineRule="auto"/>
      </w:pPr>
      <w:r>
        <w:rPr>
          <w:rFonts w:ascii="Arial" w:hAnsi="Arial"/>
          <w:b w:val="0"/>
          <w:i w:val="0"/>
          <w:color w:val="3C3C3C"/>
          <w:sz w:val="22"/>
        </w:rPr>
        <w:t>Bond-level data (TRACE, Bloomberg)</w:t>
      </w:r>
    </w:p>
    <w:p>
      <w:pPr>
        <w:pStyle w:val="ListBullet"/>
        <w:spacing w:line="276" w:lineRule="auto"/>
      </w:pPr>
      <w:r>
        <w:rPr>
          <w:rFonts w:ascii="Arial" w:hAnsi="Arial"/>
          <w:b w:val="0"/>
          <w:i w:val="0"/>
          <w:color w:val="3C3C3C"/>
          <w:sz w:val="22"/>
        </w:rPr>
        <w:t>Issuer-level spreads, coupons, maturities</w:t>
      </w:r>
    </w:p>
    <w:p>
      <w:pPr>
        <w:pStyle w:val="ListBullet"/>
        <w:spacing w:line="276" w:lineRule="auto"/>
      </w:pPr>
      <w:r>
        <w:rPr>
          <w:rFonts w:ascii="Arial" w:hAnsi="Arial"/>
          <w:b w:val="0"/>
          <w:i w:val="0"/>
          <w:color w:val="3C3C3C"/>
          <w:sz w:val="22"/>
        </w:rPr>
        <w:t>Sector breakdowns within rating tiers</w:t>
      </w:r>
    </w:p>
    <w:p>
      <w:pPr>
        <w:pStyle w:val="ListBullet"/>
        <w:spacing w:line="276" w:lineRule="auto"/>
      </w:pPr>
      <w:r>
        <w:rPr>
          <w:rFonts w:ascii="Arial" w:hAnsi="Arial"/>
          <w:b w:val="0"/>
          <w:i w:val="0"/>
          <w:color w:val="3C3C3C"/>
          <w:sz w:val="22"/>
        </w:rPr>
        <w:t>Intraday or daily OAS (our data is monthly)</w:t>
      </w:r>
    </w:p>
    <w:p>
      <w:pPr>
        <w:pStyle w:val="ListBullet"/>
        <w:spacing w:line="276" w:lineRule="auto"/>
      </w:pPr>
      <w:r>
        <w:rPr>
          <w:rFonts w:ascii="Arial" w:hAnsi="Arial"/>
          <w:b w:val="0"/>
          <w:i w:val="0"/>
          <w:color w:val="3C3C3C"/>
          <w:sz w:val="22"/>
        </w:rPr>
        <w:t>Total return indices at the rating-tier level (we approximate)</w:t>
      </w:r>
    </w:p>
    <w:p>
      <w:pPr>
        <w:pStyle w:val="Heading2"/>
      </w:pPr>
      <w:r>
        <w:rPr>
          <w:rFonts w:ascii="Arial" w:hAnsi="Arial"/>
          <w:color w:val="3D5A80"/>
        </w:rPr>
        <w:t>3.3 How Constraints Drove Architecture</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t>Constraint</w:t>
            </w:r>
          </w:p>
        </w:tc>
        <w:tc>
          <w:tcPr>
            <w:tcW w:type="dxa" w:w="3120"/>
            <w:shd w:fill="1B2A4A" w:val="clear"/>
          </w:tcPr>
          <w:p>
            <w:r>
              <w:rPr>
                <w:rFonts w:ascii="Arial" w:hAnsi="Arial"/>
                <w:b/>
                <w:color w:val="FFFFFF"/>
                <w:sz w:val="20"/>
              </w:rPr>
            </w:r>
            <w:r>
              <w:rPr>
                <w:rFonts w:ascii="Arial" w:hAnsi="Arial"/>
                <w:b/>
                <w:color w:val="FFFFFF"/>
                <w:sz w:val="20"/>
              </w:rPr>
              <w:t>Consequence</w:t>
            </w:r>
          </w:p>
        </w:tc>
        <w:tc>
          <w:tcPr>
            <w:tcW w:type="dxa" w:w="3120"/>
            <w:shd w:fill="1B2A4A" w:val="clear"/>
          </w:tcPr>
          <w:p>
            <w:r>
              <w:rPr>
                <w:rFonts w:ascii="Arial" w:hAnsi="Arial"/>
                <w:b/>
                <w:color w:val="FFFFFF"/>
                <w:sz w:val="20"/>
              </w:rPr>
            </w:r>
            <w:r>
              <w:rPr>
                <w:rFonts w:ascii="Arial" w:hAnsi="Arial"/>
                <w:b/>
                <w:color w:val="FFFFFF"/>
                <w:sz w:val="20"/>
              </w:rPr>
              <w:t>Architectural Response</w:t>
            </w:r>
          </w:p>
        </w:tc>
      </w:tr>
      <w:tr>
        <w:tc>
          <w:tcPr>
            <w:tcW w:type="dxa" w:w="3120"/>
          </w:tcPr>
          <w:p>
            <w:r>
              <w:rPr>
                <w:rFonts w:ascii="Arial" w:hAnsi="Arial"/>
                <w:color w:val="3C3C3C"/>
                <w:sz w:val="20"/>
              </w:rPr>
            </w:r>
            <w:r>
              <w:rPr>
                <w:rFonts w:ascii="Arial" w:hAnsi="Arial"/>
                <w:color w:val="3C3C3C"/>
                <w:sz w:val="20"/>
              </w:rPr>
              <w:t>Only 4 assets (rating buckets)</w:t>
            </w:r>
          </w:p>
        </w:tc>
        <w:tc>
          <w:tcPr>
            <w:tcW w:type="dxa" w:w="3120"/>
          </w:tcPr>
          <w:p>
            <w:r>
              <w:rPr>
                <w:rFonts w:ascii="Arial" w:hAnsi="Arial"/>
                <w:color w:val="3C3C3C"/>
                <w:sz w:val="20"/>
              </w:rPr>
            </w:r>
            <w:r>
              <w:rPr>
                <w:rFonts w:ascii="Arial" w:hAnsi="Arial"/>
                <w:color w:val="3C3C3C"/>
                <w:sz w:val="20"/>
              </w:rPr>
              <w:t>Mean-variance optimization produces corner solutions</w:t>
            </w:r>
          </w:p>
        </w:tc>
        <w:tc>
          <w:tcPr>
            <w:tcW w:type="dxa" w:w="3120"/>
          </w:tcPr>
          <w:p>
            <w:r>
              <w:rPr>
                <w:rFonts w:ascii="Arial" w:hAnsi="Arial"/>
                <w:color w:val="3C3C3C"/>
                <w:sz w:val="20"/>
              </w:rPr>
            </w:r>
            <w:r>
              <w:rPr>
                <w:rFonts w:ascii="Arial" w:hAnsi="Arial"/>
                <w:color w:val="3C3C3C"/>
                <w:sz w:val="20"/>
              </w:rPr>
              <w:t>Black-Litterman: starts from equilibrium, adjusts incrementally</w:t>
            </w:r>
          </w:p>
        </w:tc>
      </w:tr>
      <w:tr>
        <w:tc>
          <w:tcPr>
            <w:tcW w:type="dxa" w:w="3120"/>
            <w:shd w:fill="F2F2F2" w:val="clear"/>
          </w:tcPr>
          <w:p>
            <w:r>
              <w:rPr>
                <w:rFonts w:ascii="Arial" w:hAnsi="Arial"/>
                <w:color w:val="3C3C3C"/>
                <w:sz w:val="20"/>
              </w:rPr>
            </w:r>
            <w:r>
              <w:rPr>
                <w:rFonts w:ascii="Arial" w:hAnsi="Arial"/>
                <w:color w:val="3C3C3C"/>
                <w:sz w:val="20"/>
              </w:rPr>
              <w:t>No bond-level data</w:t>
            </w:r>
          </w:p>
        </w:tc>
        <w:tc>
          <w:tcPr>
            <w:tcW w:type="dxa" w:w="3120"/>
            <w:shd w:fill="F2F2F2" w:val="clear"/>
          </w:tcPr>
          <w:p>
            <w:r>
              <w:rPr>
                <w:rFonts w:ascii="Arial" w:hAnsi="Arial"/>
                <w:color w:val="3C3C3C"/>
                <w:sz w:val="20"/>
              </w:rPr>
            </w:r>
            <w:r>
              <w:rPr>
                <w:rFonts w:ascii="Arial" w:hAnsi="Arial"/>
                <w:color w:val="3C3C3C"/>
                <w:sz w:val="20"/>
              </w:rPr>
              <w:t>Cannot compute issuer-level credit signals</w:t>
            </w:r>
          </w:p>
        </w:tc>
        <w:tc>
          <w:tcPr>
            <w:tcW w:type="dxa" w:w="3120"/>
            <w:shd w:fill="F2F2F2" w:val="clear"/>
          </w:tcPr>
          <w:p>
            <w:r>
              <w:rPr>
                <w:rFonts w:ascii="Arial" w:hAnsi="Arial"/>
                <w:color w:val="3C3C3C"/>
                <w:sz w:val="20"/>
              </w:rPr>
            </w:r>
            <w:r>
              <w:rPr>
                <w:rFonts w:ascii="Arial" w:hAnsi="Arial"/>
                <w:color w:val="3C3C3C"/>
                <w:sz w:val="20"/>
              </w:rPr>
              <w:t>Bucket-level proxies: DTS, value (log OAS), momentum on bucket returns</w:t>
            </w:r>
          </w:p>
        </w:tc>
      </w:tr>
      <w:tr>
        <w:tc>
          <w:tcPr>
            <w:tcW w:type="dxa" w:w="3120"/>
          </w:tcPr>
          <w:p>
            <w:r>
              <w:rPr>
                <w:rFonts w:ascii="Arial" w:hAnsi="Arial"/>
                <w:color w:val="3C3C3C"/>
                <w:sz w:val="20"/>
              </w:rPr>
            </w:r>
            <w:r>
              <w:rPr>
                <w:rFonts w:ascii="Arial" w:hAnsi="Arial"/>
                <w:color w:val="3C3C3C"/>
                <w:sz w:val="20"/>
              </w:rPr>
              <w:t>Monthly frequency</w:t>
            </w:r>
          </w:p>
        </w:tc>
        <w:tc>
          <w:tcPr>
            <w:tcW w:type="dxa" w:w="3120"/>
          </w:tcPr>
          <w:p>
            <w:r>
              <w:rPr>
                <w:rFonts w:ascii="Arial" w:hAnsi="Arial"/>
                <w:color w:val="3C3C3C"/>
                <w:sz w:val="20"/>
              </w:rPr>
            </w:r>
            <w:r>
              <w:rPr>
                <w:rFonts w:ascii="Arial" w:hAnsi="Arial"/>
                <w:color w:val="3C3C3C"/>
                <w:sz w:val="20"/>
              </w:rPr>
              <w:t>Cannot capture intra-month moves</w:t>
            </w:r>
          </w:p>
        </w:tc>
        <w:tc>
          <w:tcPr>
            <w:tcW w:type="dxa" w:w="3120"/>
          </w:tcPr>
          <w:p>
            <w:r>
              <w:rPr>
                <w:rFonts w:ascii="Arial" w:hAnsi="Arial"/>
                <w:color w:val="3C3C3C"/>
                <w:sz w:val="20"/>
              </w:rPr>
            </w:r>
            <w:r>
              <w:rPr>
                <w:rFonts w:ascii="Arial" w:hAnsi="Arial"/>
                <w:color w:val="3C3C3C"/>
                <w:sz w:val="20"/>
              </w:rPr>
              <w:t>Monthly rebalancing with 5bp transaction cost drag --- realistic for institutional IG</w:t>
            </w:r>
          </w:p>
        </w:tc>
      </w:tr>
      <w:tr>
        <w:tc>
          <w:tcPr>
            <w:tcW w:type="dxa" w:w="3120"/>
            <w:shd w:fill="F2F2F2" w:val="clear"/>
          </w:tcPr>
          <w:p>
            <w:r>
              <w:rPr>
                <w:rFonts w:ascii="Arial" w:hAnsi="Arial"/>
                <w:color w:val="3C3C3C"/>
                <w:sz w:val="20"/>
              </w:rPr>
            </w:r>
            <w:r>
              <w:rPr>
                <w:rFonts w:ascii="Arial" w:hAnsi="Arial"/>
                <w:color w:val="3C3C3C"/>
                <w:sz w:val="20"/>
              </w:rPr>
              <w:t>No total return index</w:t>
            </w:r>
          </w:p>
        </w:tc>
        <w:tc>
          <w:tcPr>
            <w:tcW w:type="dxa" w:w="3120"/>
            <w:shd w:fill="F2F2F2" w:val="clear"/>
          </w:tcPr>
          <w:p>
            <w:r>
              <w:rPr>
                <w:rFonts w:ascii="Arial" w:hAnsi="Arial"/>
                <w:color w:val="3C3C3C"/>
                <w:sz w:val="20"/>
              </w:rPr>
            </w:r>
            <w:r>
              <w:rPr>
                <w:rFonts w:ascii="Arial" w:hAnsi="Arial"/>
                <w:color w:val="3C3C3C"/>
                <w:sz w:val="20"/>
              </w:rPr>
              <w:t>Cannot observe actual portfolio returns</w:t>
            </w:r>
          </w:p>
        </w:tc>
        <w:tc>
          <w:tcPr>
            <w:tcW w:type="dxa" w:w="3120"/>
            <w:shd w:fill="F2F2F2" w:val="clear"/>
          </w:tcPr>
          <w:p>
            <w:r>
              <w:rPr>
                <w:rFonts w:ascii="Arial" w:hAnsi="Arial"/>
                <w:color w:val="3C3C3C"/>
                <w:sz w:val="20"/>
              </w:rPr>
            </w:r>
            <w:r>
              <w:rPr>
                <w:rFonts w:ascii="Arial" w:hAnsi="Arial"/>
                <w:color w:val="3C3C3C"/>
                <w:sz w:val="20"/>
              </w:rPr>
              <w:t>Approximate: r ≈ carry + price return = OAS/12 + (-D × Δ OAS)</w:t>
            </w:r>
          </w:p>
        </w:tc>
      </w:tr>
      <w:tr>
        <w:tc>
          <w:tcPr>
            <w:tcW w:type="dxa" w:w="3120"/>
          </w:tcPr>
          <w:p>
            <w:r>
              <w:rPr>
                <w:rFonts w:ascii="Arial" w:hAnsi="Arial"/>
                <w:color w:val="3C3C3C"/>
                <w:sz w:val="20"/>
              </w:rPr>
            </w:r>
            <w:r>
              <w:rPr>
                <w:rFonts w:ascii="Arial" w:hAnsi="Arial"/>
                <w:color w:val="3C3C3C"/>
                <w:sz w:val="20"/>
              </w:rPr>
              <w:t>Spreads are non-stationary</w:t>
            </w:r>
          </w:p>
        </w:tc>
        <w:tc>
          <w:tcPr>
            <w:tcW w:type="dxa" w:w="3120"/>
          </w:tcPr>
          <w:p>
            <w:r>
              <w:rPr>
                <w:rFonts w:ascii="Arial" w:hAnsi="Arial"/>
                <w:color w:val="3C3C3C"/>
                <w:sz w:val="20"/>
              </w:rPr>
            </w:r>
            <w:r>
              <w:rPr>
                <w:rFonts w:ascii="Arial" w:hAnsi="Arial"/>
                <w:color w:val="3C3C3C"/>
                <w:sz w:val="20"/>
              </w:rPr>
              <w:t>Simple time-series models fail on trending OAS</w:t>
            </w:r>
          </w:p>
        </w:tc>
        <w:tc>
          <w:tcPr>
            <w:tcW w:type="dxa" w:w="3120"/>
          </w:tcPr>
          <w:p>
            <w:r>
              <w:rPr>
                <w:rFonts w:ascii="Arial" w:hAnsi="Arial"/>
                <w:color w:val="3C3C3C"/>
                <w:sz w:val="20"/>
              </w:rPr>
            </w:r>
            <w:r>
              <w:rPr>
                <w:rFonts w:ascii="Arial" w:hAnsi="Arial"/>
                <w:color w:val="3C3C3C"/>
                <w:sz w:val="20"/>
              </w:rPr>
              <w:t>HMM for regimes; Prophet with logistic growth cap</w:t>
            </w:r>
          </w:p>
        </w:tc>
      </w:tr>
      <w:tr>
        <w:tc>
          <w:tcPr>
            <w:tcW w:type="dxa" w:w="3120"/>
            <w:shd w:fill="F2F2F2" w:val="clear"/>
          </w:tcPr>
          <w:p>
            <w:r>
              <w:rPr>
                <w:rFonts w:ascii="Arial" w:hAnsi="Arial"/>
                <w:color w:val="3C3C3C"/>
                <w:sz w:val="20"/>
              </w:rPr>
            </w:r>
            <w:r>
              <w:rPr>
                <w:rFonts w:ascii="Arial" w:hAnsi="Arial"/>
                <w:color w:val="3C3C3C"/>
                <w:sz w:val="20"/>
              </w:rPr>
              <w:t>Small cross-section (n=4)</w:t>
            </w:r>
          </w:p>
        </w:tc>
        <w:tc>
          <w:tcPr>
            <w:tcW w:type="dxa" w:w="3120"/>
            <w:shd w:fill="F2F2F2" w:val="clear"/>
          </w:tcPr>
          <w:p>
            <w:r>
              <w:rPr>
                <w:rFonts w:ascii="Arial" w:hAnsi="Arial"/>
                <w:color w:val="3C3C3C"/>
                <w:sz w:val="20"/>
              </w:rPr>
            </w:r>
            <w:r>
              <w:rPr>
                <w:rFonts w:ascii="Arial" w:hAnsi="Arial"/>
                <w:color w:val="3C3C3C"/>
                <w:sz w:val="20"/>
              </w:rPr>
              <w:t>Cross-sectional z-scores are noisy</w:t>
            </w:r>
          </w:p>
        </w:tc>
        <w:tc>
          <w:tcPr>
            <w:tcW w:type="dxa" w:w="3120"/>
            <w:shd w:fill="F2F2F2" w:val="clear"/>
          </w:tcPr>
          <w:p>
            <w:r>
              <w:rPr>
                <w:rFonts w:ascii="Arial" w:hAnsi="Arial"/>
                <w:color w:val="3C3C3C"/>
                <w:sz w:val="20"/>
              </w:rPr>
            </w:r>
            <w:r>
              <w:rPr>
                <w:rFonts w:ascii="Arial" w:hAnsi="Arial"/>
                <w:color w:val="3C3C3C"/>
                <w:sz w:val="20"/>
              </w:rPr>
              <w:t>Combine multiple signals and use modest tilt strength (α = 10\%)</w:t>
            </w:r>
          </w:p>
        </w:tc>
      </w:tr>
    </w:tbl>
    <w:p>
      <w:pPr>
        <w:spacing w:before="80" w:after="80"/>
      </w:pPr>
    </w:p>
    <w:p>
      <w:pPr>
        <w:pStyle w:val="Heading2"/>
      </w:pPr>
      <w:r>
        <w:rPr>
          <w:rFonts w:ascii="Arial" w:hAnsi="Arial"/>
          <w:color w:val="3D5A80"/>
        </w:rPr>
        <w:t>3.4 Why Black-Litterman Instead of Alternatives?</w:t>
      </w:r>
    </w:p>
    <w:p>
      <w:pPr>
        <w:spacing w:line="276" w:lineRule="auto" w:after="120"/>
        <w:jc w:val="both"/>
      </w:pPr>
      <w:r>
        <w:rPr>
          <w:rFonts w:ascii="Arial" w:hAnsi="Arial"/>
          <w:b/>
          <w:i w:val="0"/>
          <w:color w:val="3C3C3C"/>
          <w:sz w:val="22"/>
        </w:rPr>
        <w:t>Why not mean-variance optimization?</w:t>
      </w:r>
      <w:r>
        <w:rPr>
          <w:rFonts w:ascii="Arial" w:hAnsi="Arial"/>
          <w:b w:val="0"/>
          <w:i w:val="0"/>
          <w:color w:val="3C3C3C"/>
          <w:sz w:val="22"/>
        </w:rPr>
        <w:t xml:space="preserve"> With 4 assets, MVO puts 100% in whichever bucket has the highest expected return. BL solves this by starting from market-implied returns and making incremental adjustments.</w:t>
      </w:r>
    </w:p>
    <w:p>
      <w:pPr>
        <w:spacing w:line="276" w:lineRule="auto" w:after="120"/>
        <w:jc w:val="both"/>
      </w:pPr>
      <w:r>
        <w:rPr>
          <w:rFonts w:ascii="Arial" w:hAnsi="Arial"/>
          <w:b/>
          <w:i w:val="0"/>
          <w:color w:val="3C3C3C"/>
          <w:sz w:val="22"/>
        </w:rPr>
        <w:t>Why not a pure factor model?</w:t>
      </w:r>
      <w:r>
        <w:rPr>
          <w:rFonts w:ascii="Arial" w:hAnsi="Arial"/>
          <w:b w:val="0"/>
          <w:i w:val="0"/>
          <w:color w:val="3C3C3C"/>
          <w:sz w:val="22"/>
        </w:rPr>
        <w:t xml:space="preserve"> Factor models need a large cross-section to be statistically meaningful. With n=4, a pure z-score strategy is too noisy. BL provides a Bayesian anchor (the equilibrium) that regularizes the signal.</w:t>
      </w:r>
    </w:p>
    <w:p>
      <w:pPr>
        <w:spacing w:line="276" w:lineRule="auto" w:after="120"/>
        <w:jc w:val="both"/>
      </w:pPr>
      <w:r>
        <w:rPr>
          <w:rFonts w:ascii="Arial" w:hAnsi="Arial"/>
          <w:b/>
          <w:i w:val="0"/>
          <w:color w:val="3C3C3C"/>
          <w:sz w:val="22"/>
        </w:rPr>
        <w:t>Why not a simple momentum/carry strategy?</w:t>
      </w:r>
      <w:r>
        <w:rPr>
          <w:rFonts w:ascii="Arial" w:hAnsi="Arial"/>
          <w:b w:val="0"/>
          <w:i w:val="0"/>
          <w:color w:val="3C3C3C"/>
          <w:sz w:val="22"/>
        </w:rPr>
        <w:t xml:space="preserve"> Because regime matters. A carry strategy that overweights BBB in 2007 or February 2020 gets destroyed. The HMM layer adds regime conditioning that a simple strategy lacks.</w:t>
      </w:r>
    </w:p>
    <w:p>
      <w:pPr>
        <w:spacing w:line="276" w:lineRule="auto" w:after="120"/>
        <w:jc w:val="both"/>
      </w:pPr>
      <w:r>
        <w:rPr>
          <w:rFonts w:ascii="Arial" w:hAnsi="Arial"/>
          <w:b/>
          <w:i w:val="0"/>
          <w:color w:val="3C3C3C"/>
          <w:sz w:val="22"/>
        </w:rPr>
        <w:t>Why not machine learning?</w:t>
      </w:r>
      <w:r>
        <w:rPr>
          <w:rFonts w:ascii="Arial" w:hAnsi="Arial"/>
          <w:b w:val="0"/>
          <w:i w:val="0"/>
          <w:color w:val="3C3C3C"/>
          <w:sz w:val="22"/>
        </w:rPr>
        <w:t xml:space="preserve"> With 4 assets and ~300 monthly observations, there is not enough data to train any ML model without severe overfitting. The BL framework is parametric, interpretable, and regularized by construction.</w:t>
      </w:r>
    </w:p>
    <w:p>
      <w:pPr>
        <w:spacing w:before="360" w:after="0"/>
      </w:pPr>
    </w:p>
    <w:p>
      <w:pPr>
        <w:pStyle w:val="Heading1"/>
      </w:pPr>
      <w:r>
        <w:rPr>
          <w:rFonts w:ascii="Arial" w:hAnsi="Arial"/>
          <w:color w:val="1B2A4A"/>
        </w:rPr>
        <w:t>4. System Architecture</w:t>
      </w:r>
    </w:p>
    <w:p>
      <w:pPr>
        <w:spacing w:line="276" w:lineRule="auto" w:after="120"/>
        <w:jc w:val="both"/>
      </w:pPr>
      <w:r>
        <w:rPr>
          <w:rFonts w:ascii="Arial" w:hAnsi="Arial"/>
          <w:b w:val="0"/>
          <w:i w:val="0"/>
          <w:color w:val="3C3C3C"/>
          <w:sz w:val="22"/>
        </w:rPr>
        <w:t xml:space="preserve">The system operates as a </w:t>
      </w:r>
      <w:r>
        <w:rPr>
          <w:rFonts w:ascii="Arial" w:hAnsi="Arial"/>
          <w:b/>
          <w:i w:val="0"/>
          <w:color w:val="3C3C3C"/>
          <w:sz w:val="22"/>
        </w:rPr>
        <w:t>pipeline of three Bayesian layers</w:t>
      </w:r>
      <w:r>
        <w:rPr>
          <w:rFonts w:ascii="Arial" w:hAnsi="Arial"/>
          <w:b w:val="0"/>
          <w:i w:val="0"/>
          <w:color w:val="3C3C3C"/>
          <w:sz w:val="22"/>
        </w:rPr>
        <w:t>, each adding information. The interactive flow chart below shows the complete data flow --- from raw FRED OAS inputs through regime detection, return estimation, and portfolio construction to final allocation weights.</w:t>
      </w:r>
    </w:p>
    <w:p>
      <w:pPr>
        <w:pStyle w:val="Heading3"/>
      </w:pPr>
      <w:r>
        <w:rPr>
          <w:rFonts w:ascii="Arial" w:hAnsi="Arial"/>
          <w:color w:val="1B2A4A"/>
        </w:rPr>
        <w:t>Design Principles</w:t>
      </w:r>
    </w:p>
    <w:p>
      <w:pPr>
        <w:pStyle w:val="ListNumber"/>
        <w:spacing w:line="276" w:lineRule="auto"/>
      </w:pPr>
      <w:r>
        <w:rPr>
          <w:rFonts w:ascii="Arial" w:hAnsi="Arial"/>
          <w:b/>
          <w:i w:val="0"/>
          <w:color w:val="3C3C3C"/>
          <w:sz w:val="22"/>
        </w:rPr>
        <w:t>Real data only</w:t>
      </w:r>
      <w:r>
        <w:rPr>
          <w:rFonts w:ascii="Arial" w:hAnsi="Arial"/>
          <w:b w:val="0"/>
          <w:i w:val="0"/>
          <w:color w:val="3C3C3C"/>
          <w:sz w:val="22"/>
        </w:rPr>
        <w:t xml:space="preserve"> --- all inputs are ICE BofA indices published on FRED</w:t>
      </w:r>
    </w:p>
    <w:p>
      <w:pPr>
        <w:pStyle w:val="ListNumber"/>
        <w:spacing w:line="276" w:lineRule="auto"/>
      </w:pPr>
      <w:r>
        <w:rPr>
          <w:rFonts w:ascii="Arial" w:hAnsi="Arial"/>
          <w:b/>
          <w:i w:val="0"/>
          <w:color w:val="3C3C3C"/>
          <w:sz w:val="22"/>
        </w:rPr>
        <w:t>Minimal look-ahead</w:t>
      </w:r>
      <w:r>
        <w:rPr>
          <w:rFonts w:ascii="Arial" w:hAnsi="Arial"/>
          <w:b w:val="0"/>
          <w:i w:val="0"/>
          <w:color w:val="3C3C3C"/>
          <w:sz w:val="22"/>
        </w:rPr>
        <w:t xml:space="preserve"> --- factor signals and Prophet forecasts at time t use only data available at t. HMM parameters are estimated on the full sample (see Limitations in Section 10)</w:t>
      </w:r>
    </w:p>
    <w:p>
      <w:pPr>
        <w:pStyle w:val="ListNumber"/>
        <w:spacing w:line="276" w:lineRule="auto"/>
      </w:pPr>
      <w:r>
        <w:rPr>
          <w:rFonts w:ascii="Arial" w:hAnsi="Arial"/>
          <w:b/>
          <w:i w:val="0"/>
          <w:color w:val="3C3C3C"/>
          <w:sz w:val="22"/>
        </w:rPr>
        <w:t>Regime-adaptive</w:t>
      </w:r>
      <w:r>
        <w:rPr>
          <w:rFonts w:ascii="Arial" w:hAnsi="Arial"/>
          <w:b w:val="0"/>
          <w:i w:val="0"/>
          <w:color w:val="3C3C3C"/>
          <w:sz w:val="22"/>
        </w:rPr>
        <w:t xml:space="preserve"> --- BL parameters (τ, ω) shift with HMM state</w:t>
      </w:r>
    </w:p>
    <w:p>
      <w:pPr>
        <w:pStyle w:val="ListNumber"/>
        <w:spacing w:line="276" w:lineRule="auto"/>
      </w:pPr>
      <w:r>
        <w:rPr>
          <w:rFonts w:ascii="Arial" w:hAnsi="Arial"/>
          <w:b/>
          <w:i w:val="0"/>
          <w:color w:val="3C3C3C"/>
          <w:sz w:val="22"/>
        </w:rPr>
        <w:t>Transparent</w:t>
      </w:r>
      <w:r>
        <w:rPr>
          <w:rFonts w:ascii="Arial" w:hAnsi="Arial"/>
          <w:b w:val="0"/>
          <w:i w:val="0"/>
          <w:color w:val="3C3C3C"/>
          <w:sz w:val="22"/>
        </w:rPr>
        <w:t xml:space="preserve"> --- every allocation decision traces to observable factor scores</w:t>
      </w:r>
    </w:p>
    <w:p>
      <w:pPr>
        <w:pStyle w:val="Heading3"/>
      </w:pPr>
      <w:r>
        <w:rPr>
          <w:rFonts w:ascii="Arial" w:hAnsi="Arial"/>
          <w:color w:val="1B2A4A"/>
        </w:rPr>
        <w:t>Information Flow</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872"/>
        <w:gridCol w:w="1872"/>
        <w:gridCol w:w="1872"/>
        <w:gridCol w:w="1872"/>
        <w:gridCol w:w="1872"/>
      </w:tblGrid>
      <w:tr>
        <w:tc>
          <w:tcPr>
            <w:tcW w:type="dxa" w:w="1872"/>
            <w:shd w:fill="1B2A4A" w:val="clear"/>
          </w:tcPr>
          <w:p>
            <w:r>
              <w:rPr>
                <w:rFonts w:ascii="Arial" w:hAnsi="Arial"/>
                <w:b/>
                <w:color w:val="FFFFFF"/>
                <w:sz w:val="20"/>
              </w:rPr>
            </w:r>
            <w:r>
              <w:rPr>
                <w:rFonts w:ascii="Arial" w:hAnsi="Arial"/>
                <w:b/>
                <w:color w:val="FFFFFF"/>
                <w:sz w:val="20"/>
              </w:rPr>
              <w:t>Layer</w:t>
            </w:r>
          </w:p>
        </w:tc>
        <w:tc>
          <w:tcPr>
            <w:tcW w:type="dxa" w:w="1872"/>
            <w:shd w:fill="1B2A4A" w:val="clear"/>
          </w:tcPr>
          <w:p>
            <w:r>
              <w:rPr>
                <w:rFonts w:ascii="Arial" w:hAnsi="Arial"/>
                <w:b/>
                <w:color w:val="FFFFFF"/>
                <w:sz w:val="20"/>
              </w:rPr>
            </w:r>
            <w:r>
              <w:rPr>
                <w:rFonts w:ascii="Arial" w:hAnsi="Arial"/>
                <w:b/>
                <w:color w:val="FFFFFF"/>
                <w:sz w:val="20"/>
              </w:rPr>
              <w:t>Input</w:t>
            </w:r>
          </w:p>
        </w:tc>
        <w:tc>
          <w:tcPr>
            <w:tcW w:type="dxa" w:w="1872"/>
            <w:shd w:fill="1B2A4A" w:val="clear"/>
          </w:tcPr>
          <w:p>
            <w:r>
              <w:rPr>
                <w:rFonts w:ascii="Arial" w:hAnsi="Arial"/>
                <w:b/>
                <w:color w:val="FFFFFF"/>
                <w:sz w:val="20"/>
              </w:rPr>
            </w:r>
            <w:r>
              <w:rPr>
                <w:rFonts w:ascii="Arial" w:hAnsi="Arial"/>
                <w:b/>
                <w:color w:val="FFFFFF"/>
                <w:sz w:val="20"/>
              </w:rPr>
              <w:t>Model</w:t>
            </w:r>
          </w:p>
        </w:tc>
        <w:tc>
          <w:tcPr>
            <w:tcW w:type="dxa" w:w="1872"/>
            <w:shd w:fill="1B2A4A" w:val="clear"/>
          </w:tcPr>
          <w:p>
            <w:r>
              <w:rPr>
                <w:rFonts w:ascii="Arial" w:hAnsi="Arial"/>
                <w:b/>
                <w:color w:val="FFFFFF"/>
                <w:sz w:val="20"/>
              </w:rPr>
            </w:r>
            <w:r>
              <w:rPr>
                <w:rFonts w:ascii="Arial" w:hAnsi="Arial"/>
                <w:b/>
                <w:color w:val="FFFFFF"/>
                <w:sz w:val="20"/>
              </w:rPr>
              <w:t>Output</w:t>
            </w:r>
          </w:p>
        </w:tc>
        <w:tc>
          <w:tcPr>
            <w:tcW w:type="dxa" w:w="1872"/>
            <w:shd w:fill="1B2A4A" w:val="clear"/>
          </w:tcPr>
          <w:p>
            <w:r>
              <w:rPr>
                <w:rFonts w:ascii="Arial" w:hAnsi="Arial"/>
                <w:b/>
                <w:color w:val="FFFFFF"/>
                <w:sz w:val="20"/>
              </w:rPr>
            </w:r>
            <w:r>
              <w:rPr>
                <w:rFonts w:ascii="Arial" w:hAnsi="Arial"/>
                <w:b/>
                <w:color w:val="FFFFFF"/>
                <w:sz w:val="20"/>
              </w:rPr>
              <w:t>Feeds Into</w:t>
            </w:r>
          </w:p>
        </w:tc>
      </w:tr>
      <w:tr>
        <w:tc>
          <w:tcPr>
            <w:tcW w:type="dxa" w:w="1872"/>
          </w:tcPr>
          <w:p>
            <w:r>
              <w:rPr>
                <w:rFonts w:ascii="Arial" w:hAnsi="Arial"/>
                <w:color w:val="3C3C3C"/>
                <w:sz w:val="20"/>
              </w:rPr>
            </w:r>
            <w:r>
              <w:rPr>
                <w:rFonts w:ascii="Arial" w:hAnsi="Arial"/>
                <w:color w:val="3C3C3C"/>
                <w:sz w:val="20"/>
              </w:rPr>
              <w:t>1 --- Regime</w:t>
            </w:r>
          </w:p>
        </w:tc>
        <w:tc>
          <w:tcPr>
            <w:tcW w:type="dxa" w:w="1872"/>
          </w:tcPr>
          <w:p>
            <w:r>
              <w:rPr>
                <w:rFonts w:ascii="Arial" w:hAnsi="Arial"/>
                <w:color w:val="3C3C3C"/>
                <w:sz w:val="20"/>
              </w:rPr>
            </w:r>
            <w:r>
              <w:rPr>
                <w:rFonts w:ascii="Arial" w:hAnsi="Arial"/>
                <w:color w:val="3C3C3C"/>
                <w:sz w:val="20"/>
              </w:rPr>
              <w:t>OAS level + 1/3/6m changes</w:t>
            </w:r>
          </w:p>
        </w:tc>
        <w:tc>
          <w:tcPr>
            <w:tcW w:type="dxa" w:w="1872"/>
          </w:tcPr>
          <w:p>
            <w:r>
              <w:rPr>
                <w:rFonts w:ascii="Arial" w:hAnsi="Arial"/>
                <w:color w:val="3C3C3C"/>
                <w:sz w:val="20"/>
              </w:rPr>
            </w:r>
            <w:r>
              <w:rPr>
                <w:rFonts w:ascii="Arial" w:hAnsi="Arial"/>
                <w:color w:val="3C3C3C"/>
                <w:sz w:val="20"/>
              </w:rPr>
              <w:t>3-state Gaussian HMM</w:t>
            </w:r>
          </w:p>
        </w:tc>
        <w:tc>
          <w:tcPr>
            <w:tcW w:type="dxa" w:w="1872"/>
          </w:tcPr>
          <w:p>
            <w:r>
              <w:rPr>
                <w:rFonts w:ascii="Arial" w:hAnsi="Arial"/>
                <w:color w:val="3C3C3C"/>
                <w:sz w:val="20"/>
              </w:rPr>
            </w:r>
            <w:r>
              <w:rPr>
                <w:rFonts w:ascii="Arial" w:hAnsi="Arial"/>
                <w:color w:val="3C3C3C"/>
                <w:sz w:val="20"/>
              </w:rPr>
              <w:t>Regime label, τ, ω</w:t>
            </w:r>
          </w:p>
        </w:tc>
        <w:tc>
          <w:tcPr>
            <w:tcW w:type="dxa" w:w="1872"/>
          </w:tcPr>
          <w:p>
            <w:r>
              <w:rPr>
                <w:rFonts w:ascii="Arial" w:hAnsi="Arial"/>
                <w:color w:val="3C3C3C"/>
                <w:sz w:val="20"/>
              </w:rPr>
            </w:r>
            <w:r>
              <w:rPr>
                <w:rFonts w:ascii="Arial" w:hAnsi="Arial"/>
                <w:color w:val="3C3C3C"/>
                <w:sz w:val="20"/>
              </w:rPr>
              <w:t>Layer 2 (BL calibration)</w:t>
            </w:r>
          </w:p>
        </w:tc>
      </w:tr>
      <w:tr>
        <w:tc>
          <w:tcPr>
            <w:tcW w:type="dxa" w:w="1872"/>
            <w:shd w:fill="F2F2F2" w:val="clear"/>
          </w:tcPr>
          <w:p>
            <w:r>
              <w:rPr>
                <w:rFonts w:ascii="Arial" w:hAnsi="Arial"/>
                <w:color w:val="3C3C3C"/>
                <w:sz w:val="20"/>
              </w:rPr>
            </w:r>
            <w:r>
              <w:rPr>
                <w:rFonts w:ascii="Arial" w:hAnsi="Arial"/>
                <w:color w:val="3C3C3C"/>
                <w:sz w:val="20"/>
              </w:rPr>
              <w:t>2 --- Returns</w:t>
            </w:r>
          </w:p>
        </w:tc>
        <w:tc>
          <w:tcPr>
            <w:tcW w:type="dxa" w:w="1872"/>
            <w:shd w:fill="F2F2F2" w:val="clear"/>
          </w:tcPr>
          <w:p>
            <w:r>
              <w:rPr>
                <w:rFonts w:ascii="Arial" w:hAnsi="Arial"/>
                <w:color w:val="3C3C3C"/>
                <w:sz w:val="20"/>
              </w:rPr>
            </w:r>
            <w:r>
              <w:rPr>
                <w:rFonts w:ascii="Arial" w:hAnsi="Arial"/>
                <w:color w:val="3C3C3C"/>
                <w:sz w:val="20"/>
              </w:rPr>
              <w:t>FRED OAS, Prophet forecasts</w:t>
            </w:r>
          </w:p>
        </w:tc>
        <w:tc>
          <w:tcPr>
            <w:tcW w:type="dxa" w:w="1872"/>
            <w:shd w:fill="F2F2F2" w:val="clear"/>
          </w:tcPr>
          <w:p>
            <w:r>
              <w:rPr>
                <w:rFonts w:ascii="Arial" w:hAnsi="Arial"/>
                <w:color w:val="3C3C3C"/>
                <w:sz w:val="20"/>
              </w:rPr>
            </w:r>
            <w:r>
              <w:rPr>
                <w:rFonts w:ascii="Arial" w:hAnsi="Arial"/>
                <w:color w:val="3C3C3C"/>
                <w:sz w:val="20"/>
              </w:rPr>
              <w:t>Black-Litterman</w:t>
            </w:r>
          </w:p>
        </w:tc>
        <w:tc>
          <w:tcPr>
            <w:tcW w:type="dxa" w:w="1872"/>
            <w:shd w:fill="F2F2F2" w:val="clear"/>
          </w:tcPr>
          <w:p>
            <w:r>
              <w:rPr>
                <w:rFonts w:ascii="Arial" w:hAnsi="Arial"/>
                <w:color w:val="3C3C3C"/>
                <w:sz w:val="20"/>
              </w:rPr>
            </w:r>
            <w:r>
              <w:rPr>
                <w:rFonts w:ascii="Arial" w:hAnsi="Arial"/>
                <w:color w:val="3C3C3C"/>
                <w:sz w:val="20"/>
              </w:rPr>
              <w:t>μBL posterior returns</w:t>
            </w:r>
          </w:p>
        </w:tc>
        <w:tc>
          <w:tcPr>
            <w:tcW w:type="dxa" w:w="1872"/>
            <w:shd w:fill="F2F2F2" w:val="clear"/>
          </w:tcPr>
          <w:p>
            <w:r>
              <w:rPr>
                <w:rFonts w:ascii="Arial" w:hAnsi="Arial"/>
                <w:color w:val="3C3C3C"/>
                <w:sz w:val="20"/>
              </w:rPr>
            </w:r>
            <w:r>
              <w:rPr>
                <w:rFonts w:ascii="Arial" w:hAnsi="Arial"/>
                <w:color w:val="3C3C3C"/>
                <w:sz w:val="20"/>
              </w:rPr>
              <w:t>Layer 3 (expected returns)</w:t>
            </w:r>
          </w:p>
        </w:tc>
      </w:tr>
      <w:tr>
        <w:tc>
          <w:tcPr>
            <w:tcW w:type="dxa" w:w="1872"/>
          </w:tcPr>
          <w:p>
            <w:r>
              <w:rPr>
                <w:rFonts w:ascii="Arial" w:hAnsi="Arial"/>
                <w:color w:val="3C3C3C"/>
                <w:sz w:val="20"/>
              </w:rPr>
            </w:r>
            <w:r>
              <w:rPr>
                <w:rFonts w:ascii="Arial" w:hAnsi="Arial"/>
                <w:color w:val="3C3C3C"/>
                <w:sz w:val="20"/>
              </w:rPr>
              <w:t>3 --- Allocation</w:t>
            </w:r>
          </w:p>
        </w:tc>
        <w:tc>
          <w:tcPr>
            <w:tcW w:type="dxa" w:w="1872"/>
          </w:tcPr>
          <w:p>
            <w:r>
              <w:rPr>
                <w:rFonts w:ascii="Arial" w:hAnsi="Arial"/>
                <w:color w:val="3C3C3C"/>
                <w:sz w:val="20"/>
              </w:rPr>
            </w:r>
            <w:r>
              <w:rPr>
                <w:rFonts w:ascii="Arial" w:hAnsi="Arial"/>
                <w:color w:val="3C3C3C"/>
                <w:sz w:val="20"/>
              </w:rPr>
              <w:t>Factor signals, μBL</w:t>
            </w:r>
          </w:p>
        </w:tc>
        <w:tc>
          <w:tcPr>
            <w:tcW w:type="dxa" w:w="1872"/>
          </w:tcPr>
          <w:p>
            <w:r>
              <w:rPr>
                <w:rFonts w:ascii="Arial" w:hAnsi="Arial"/>
                <w:color w:val="3C3C3C"/>
                <w:sz w:val="20"/>
              </w:rPr>
            </w:r>
            <w:r>
              <w:rPr>
                <w:rFonts w:ascii="Arial" w:hAnsi="Arial"/>
                <w:color w:val="3C3C3C"/>
                <w:sz w:val="20"/>
              </w:rPr>
              <w:t>Z-score tilt + constraints</w:t>
            </w:r>
          </w:p>
        </w:tc>
        <w:tc>
          <w:tcPr>
            <w:tcW w:type="dxa" w:w="1872"/>
          </w:tcPr>
          <w:p>
            <w:r>
              <w:rPr>
                <w:rFonts w:ascii="Arial" w:hAnsi="Arial"/>
                <w:color w:val="3C3C3C"/>
                <w:sz w:val="20"/>
              </w:rPr>
            </w:r>
            <w:r>
              <w:rPr>
                <w:rFonts w:ascii="Arial" w:hAnsi="Arial"/>
                <w:color w:val="3C3C3C"/>
                <w:sz w:val="20"/>
              </w:rPr>
              <w:t>wAAA, wAA, wA, wBBB</w:t>
            </w:r>
          </w:p>
        </w:tc>
        <w:tc>
          <w:tcPr>
            <w:tcW w:type="dxa" w:w="1872"/>
          </w:tcPr>
          <w:p>
            <w:r>
              <w:rPr>
                <w:rFonts w:ascii="Arial" w:hAnsi="Arial"/>
                <w:color w:val="3C3C3C"/>
                <w:sz w:val="20"/>
              </w:rPr>
            </w:r>
            <w:r>
              <w:rPr>
                <w:rFonts w:ascii="Arial" w:hAnsi="Arial"/>
                <w:color w:val="3C3C3C"/>
                <w:sz w:val="20"/>
              </w:rPr>
              <w:t>Trading desk</w:t>
            </w:r>
          </w:p>
        </w:tc>
      </w:tr>
    </w:tbl>
    <w:p>
      <w:pPr>
        <w:spacing w:before="80" w:after="80"/>
      </w:pPr>
    </w:p>
    <w:p>
      <w:pPr>
        <w:pStyle w:val="Heading3"/>
      </w:pPr>
      <w:r>
        <w:rPr>
          <w:rFonts w:ascii="Arial" w:hAnsi="Arial"/>
          <w:color w:val="1B2A4A"/>
        </w:rPr>
        <w:t>Update Frequency</w:t>
      </w:r>
    </w:p>
    <w:p>
      <w:pPr>
        <w:pStyle w:val="ListBullet"/>
        <w:spacing w:line="276" w:lineRule="auto"/>
      </w:pPr>
      <w:r>
        <w:rPr>
          <w:rFonts w:ascii="Arial" w:hAnsi="Arial"/>
          <w:b/>
          <w:i w:val="0"/>
          <w:color w:val="3C3C3C"/>
          <w:sz w:val="22"/>
        </w:rPr>
        <w:t>HMM regime:</w:t>
      </w:r>
      <w:r>
        <w:rPr>
          <w:rFonts w:ascii="Arial" w:hAnsi="Arial"/>
          <w:b w:val="0"/>
          <w:i w:val="0"/>
          <w:color w:val="3C3C3C"/>
          <w:sz w:val="22"/>
        </w:rPr>
        <w:t xml:space="preserve"> recalculated at each monthly rebalance using an expanding window of all available history</w:t>
      </w:r>
    </w:p>
    <w:p>
      <w:pPr>
        <w:pStyle w:val="ListBullet"/>
        <w:spacing w:line="276" w:lineRule="auto"/>
      </w:pPr>
      <w:r>
        <w:rPr>
          <w:rFonts w:ascii="Arial" w:hAnsi="Arial"/>
          <w:b/>
          <w:i w:val="0"/>
          <w:color w:val="3C3C3C"/>
          <w:sz w:val="22"/>
        </w:rPr>
        <w:t>Prophet forecasts:</w:t>
      </w:r>
      <w:r>
        <w:rPr>
          <w:rFonts w:ascii="Arial" w:hAnsi="Arial"/>
          <w:b w:val="0"/>
          <w:i w:val="0"/>
          <w:color w:val="3C3C3C"/>
          <w:sz w:val="22"/>
        </w:rPr>
        <w:t xml:space="preserve"> refit at each rebalance --- logistic-growth model with yearly seasonality (~30s per bucket)</w:t>
      </w:r>
    </w:p>
    <w:p>
      <w:pPr>
        <w:pStyle w:val="ListBullet"/>
        <w:spacing w:line="276" w:lineRule="auto"/>
      </w:pPr>
      <w:r>
        <w:rPr>
          <w:rFonts w:ascii="Arial" w:hAnsi="Arial"/>
          <w:b/>
          <w:i w:val="0"/>
          <w:color w:val="3C3C3C"/>
          <w:sz w:val="22"/>
        </w:rPr>
        <w:t>BL posterior:</w:t>
      </w:r>
      <w:r>
        <w:rPr>
          <w:rFonts w:ascii="Arial" w:hAnsi="Arial"/>
          <w:b w:val="0"/>
          <w:i w:val="0"/>
          <w:color w:val="3C3C3C"/>
          <w:sz w:val="22"/>
        </w:rPr>
        <w:t xml:space="preserve"> computed fresh each month incorporating latest regime (τ, ω) and Prophet views (Q)</w:t>
      </w:r>
    </w:p>
    <w:p>
      <w:pPr>
        <w:pStyle w:val="ListBullet"/>
        <w:spacing w:line="276" w:lineRule="auto"/>
      </w:pPr>
      <w:r>
        <w:rPr>
          <w:rFonts w:ascii="Arial" w:hAnsi="Arial"/>
          <w:b/>
          <w:i w:val="0"/>
          <w:color w:val="3C3C3C"/>
          <w:sz w:val="22"/>
        </w:rPr>
        <w:t>Factor signals:</w:t>
      </w:r>
      <w:r>
        <w:rPr>
          <w:rFonts w:ascii="Arial" w:hAnsi="Arial"/>
          <w:b w:val="0"/>
          <w:i w:val="0"/>
          <w:color w:val="3C3C3C"/>
          <w:sz w:val="22"/>
        </w:rPr>
        <w:t xml:space="preserve"> computed monthly --- DTS and Value use the current OAS snapshot; Momentum uses trailing 6-month returns</w:t>
      </w:r>
    </w:p>
    <w:p>
      <w:pPr>
        <w:pStyle w:val="ListBullet"/>
        <w:spacing w:line="276" w:lineRule="auto"/>
      </w:pPr>
      <w:r>
        <w:rPr>
          <w:rFonts w:ascii="Arial" w:hAnsi="Arial"/>
          <w:b/>
          <w:i w:val="0"/>
          <w:color w:val="3C3C3C"/>
          <w:sz w:val="22"/>
        </w:rPr>
        <w:t>Portfolio weights:</w:t>
      </w:r>
      <w:r>
        <w:rPr>
          <w:rFonts w:ascii="Arial" w:hAnsi="Arial"/>
          <w:b w:val="0"/>
          <w:i w:val="0"/>
          <w:color w:val="3C3C3C"/>
          <w:sz w:val="22"/>
        </w:rPr>
        <w:t xml:space="preserve"> rebalanced monthly with 5bp one-way transaction cost drag</w:t>
      </w:r>
    </w:p>
    <w:p>
      <w:pPr>
        <w:spacing w:before="360" w:after="0"/>
      </w:pPr>
    </w:p>
    <w:p>
      <w:pPr>
        <w:pStyle w:val="Heading1"/>
      </w:pPr>
      <w:r>
        <w:rPr>
          <w:rFonts w:ascii="Arial" w:hAnsi="Arial"/>
          <w:color w:val="1B2A4A"/>
        </w:rPr>
        <w:t>5. Data Foundation: FRED OAS Series</w:t>
      </w:r>
    </w:p>
    <w:p>
      <w:pPr>
        <w:spacing w:line="276" w:lineRule="auto" w:after="120"/>
        <w:jc w:val="both"/>
      </w:pPr>
      <w:r>
        <w:rPr>
          <w:rFonts w:ascii="Arial" w:hAnsi="Arial"/>
          <w:b w:val="0"/>
          <w:i w:val="0"/>
          <w:color w:val="3C3C3C"/>
          <w:sz w:val="22"/>
        </w:rPr>
        <w:t xml:space="preserve">All data is sourced from the </w:t>
      </w:r>
      <w:r>
        <w:rPr>
          <w:rFonts w:ascii="Arial" w:hAnsi="Arial"/>
          <w:b/>
          <w:i w:val="0"/>
          <w:color w:val="3C3C3C"/>
          <w:sz w:val="22"/>
        </w:rPr>
        <w:t>Federal Reserve Economic Data (FRED)</w:t>
      </w:r>
      <w:r>
        <w:rPr>
          <w:rFonts w:ascii="Arial" w:hAnsi="Arial"/>
          <w:b w:val="0"/>
          <w:i w:val="0"/>
          <w:color w:val="3C3C3C"/>
          <w:sz w:val="22"/>
        </w:rPr>
        <w:t xml:space="preserve"> database, published by ICE BofA. These are the official benchmark indices used by institutional credit investors globally.</w:t>
      </w:r>
    </w:p>
    <w:p>
      <w:pPr>
        <w:spacing w:line="276" w:lineRule="auto" w:after="120"/>
        <w:jc w:val="both"/>
      </w:pPr>
      <w:r>
        <w:rPr>
          <w:rFonts w:ascii="Arial" w:hAnsi="Arial"/>
          <w:b w:val="0"/>
          <w:i w:val="0"/>
          <w:color w:val="3C3C3C"/>
          <w:sz w:val="22"/>
        </w:rPr>
        <w:t xml:space="preserve">The four series --- </w:t>
      </w:r>
      <w:r>
        <w:rPr>
          <w:rFonts w:ascii="Consolas" w:hAnsi="Consolas"/>
          <w:color w:val="3C3C3C"/>
          <w:sz w:val="20"/>
        </w:rPr>
        <w:t>BAMLC0A1CAAA</w:t>
      </w:r>
      <w:r>
        <w:rPr>
          <w:rFonts w:ascii="Arial" w:hAnsi="Arial"/>
          <w:b w:val="0"/>
          <w:i w:val="0"/>
          <w:color w:val="3C3C3C"/>
          <w:sz w:val="22"/>
        </w:rPr>
        <w:t xml:space="preserve"> (AAA), </w:t>
      </w:r>
      <w:r>
        <w:rPr>
          <w:rFonts w:ascii="Consolas" w:hAnsi="Consolas"/>
          <w:color w:val="3C3C3C"/>
          <w:sz w:val="20"/>
        </w:rPr>
        <w:t>BAMLC0A2CAA</w:t>
      </w:r>
      <w:r>
        <w:rPr>
          <w:rFonts w:ascii="Arial" w:hAnsi="Arial"/>
          <w:b w:val="0"/>
          <w:i w:val="0"/>
          <w:color w:val="3C3C3C"/>
          <w:sz w:val="22"/>
        </w:rPr>
        <w:t xml:space="preserve"> (AA), </w:t>
      </w:r>
      <w:r>
        <w:rPr>
          <w:rFonts w:ascii="Consolas" w:hAnsi="Consolas"/>
          <w:color w:val="3C3C3C"/>
          <w:sz w:val="20"/>
        </w:rPr>
        <w:t>BAMLC0A3CA</w:t>
      </w:r>
      <w:r>
        <w:rPr>
          <w:rFonts w:ascii="Arial" w:hAnsi="Arial"/>
          <w:b w:val="0"/>
          <w:i w:val="0"/>
          <w:color w:val="3C3C3C"/>
          <w:sz w:val="22"/>
        </w:rPr>
        <w:t xml:space="preserve"> (A), and </w:t>
      </w:r>
      <w:r>
        <w:rPr>
          <w:rFonts w:ascii="Consolas" w:hAnsi="Consolas"/>
          <w:color w:val="3C3C3C"/>
          <w:sz w:val="20"/>
        </w:rPr>
        <w:t>BAMLC0A4CBBB</w:t>
      </w:r>
      <w:r>
        <w:rPr>
          <w:rFonts w:ascii="Arial" w:hAnsi="Arial"/>
          <w:b w:val="0"/>
          <w:i w:val="0"/>
          <w:color w:val="3C3C3C"/>
          <w:sz w:val="22"/>
        </w:rPr>
        <w:t xml:space="preserve"> (BBB) --- represent option-adjusted spreads for the corresponding ICE BofA US Corporate Index rating tiers. OAS measures the spread over the risk-free term structure after removing the value of any embedded options, making it a clean measure of credit risk compensation.</w:t>
      </w:r>
    </w:p>
    <w:p>
      <w:pPr>
        <w:spacing w:line="276" w:lineRule="auto" w:after="120"/>
        <w:jc w:val="both"/>
      </w:pPr>
      <w:r>
        <w:rPr>
          <w:rFonts w:ascii="Arial" w:hAnsi="Arial"/>
          <w:b w:val="0"/>
          <w:i w:val="0"/>
          <w:color w:val="3C3C3C"/>
          <w:sz w:val="22"/>
        </w:rPr>
        <w:t>Figure 1 plots the full history. The key macro-credit events are annotated for context.</w:t>
      </w:r>
    </w:p>
    <w:p>
      <w:pPr>
        <w:spacing w:before="200" w:after="80" w:line="264" w:lineRule="auto"/>
      </w:pPr>
      <w:r>
        <w:rPr>
          <w:rFonts w:ascii="Arial" w:hAnsi="Arial"/>
          <w:b/>
          <w:color w:val="1B2A4A"/>
          <w:sz w:val="20"/>
        </w:rPr>
        <w:t>IG spreads diverge sharply across rating tiers, creating the rotation opportunity</w:t>
      </w:r>
    </w:p>
    <w:p>
      <w:pPr>
        <w:spacing w:before="40"/>
        <w:jc w:val="center"/>
      </w:pPr>
      <w:r>
        <w:drawing>
          <wp:inline xmlns:a="http://schemas.openxmlformats.org/drawingml/2006/main" xmlns:pic="http://schemas.openxmlformats.org/drawingml/2006/picture">
            <wp:extent cx="5943600" cy="3632200"/>
            <wp:docPr id="5" name="Picture 5"/>
            <wp:cNvGraphicFramePr>
              <a:graphicFrameLocks noChangeAspect="1"/>
            </wp:cNvGraphicFramePr>
            <a:graphic>
              <a:graphicData uri="http://schemas.openxmlformats.org/drawingml/2006/picture">
                <pic:pic>
                  <pic:nvPicPr>
                    <pic:cNvPr id="0" name="fig_4398898368.png"/>
                    <pic:cNvPicPr/>
                  </pic:nvPicPr>
                  <pic:blipFill>
                    <a:blip r:embed="rId13"/>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1: ICE BofA IG OAS by Rating Tier (FRED)</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040"/>
        <w:gridCol w:w="1040"/>
        <w:gridCol w:w="1040"/>
        <w:gridCol w:w="1040"/>
        <w:gridCol w:w="1040"/>
        <w:gridCol w:w="1040"/>
        <w:gridCol w:w="1040"/>
        <w:gridCol w:w="1040"/>
        <w:gridCol w:w="1040"/>
      </w:tblGrid>
      <w:tr>
        <w:tc>
          <w:tcPr>
            <w:tcW w:type="dxa" w:w="1040"/>
            <w:shd w:fill="1B2A4A" w:val="clear"/>
          </w:tcPr>
          <w:p>
            <w:r>
              <w:rPr>
                <w:rFonts w:ascii="Arial" w:hAnsi="Arial"/>
                <w:b/>
                <w:color w:val="FFFFFF"/>
                <w:sz w:val="20"/>
              </w:rPr>
            </w:r>
            <w:r>
              <w:rPr>
                <w:rFonts w:ascii="Arial" w:hAnsi="Arial"/>
                <w:b/>
                <w:color w:val="FFFFFF"/>
                <w:sz w:val="20"/>
              </w:rPr>
            </w:r>
          </w:p>
        </w:tc>
        <w:tc>
          <w:tcPr>
            <w:tcW w:type="dxa" w:w="1040"/>
            <w:shd w:fill="1B2A4A" w:val="clear"/>
          </w:tcPr>
          <w:p>
            <w:r>
              <w:rPr>
                <w:rFonts w:ascii="Arial" w:hAnsi="Arial"/>
                <w:b/>
                <w:color w:val="FFFFFF"/>
                <w:sz w:val="20"/>
              </w:rPr>
            </w:r>
            <w:r>
              <w:rPr>
                <w:rFonts w:ascii="Arial" w:hAnsi="Arial"/>
                <w:b/>
                <w:color w:val="FFFFFF"/>
                <w:sz w:val="20"/>
              </w:rPr>
              <w:t>Observations</w:t>
            </w:r>
          </w:p>
        </w:tc>
        <w:tc>
          <w:tcPr>
            <w:tcW w:type="dxa" w:w="1040"/>
            <w:shd w:fill="1B2A4A" w:val="clear"/>
          </w:tcPr>
          <w:p>
            <w:r>
              <w:rPr>
                <w:rFonts w:ascii="Arial" w:hAnsi="Arial"/>
                <w:b/>
                <w:color w:val="FFFFFF"/>
                <w:sz w:val="20"/>
              </w:rPr>
            </w:r>
            <w:r>
              <w:rPr>
                <w:rFonts w:ascii="Arial" w:hAnsi="Arial"/>
                <w:b/>
                <w:color w:val="FFFFFF"/>
                <w:sz w:val="20"/>
              </w:rPr>
              <w:t>Current OAS (%)</w:t>
            </w:r>
          </w:p>
        </w:tc>
        <w:tc>
          <w:tcPr>
            <w:tcW w:type="dxa" w:w="1040"/>
            <w:shd w:fill="1B2A4A" w:val="clear"/>
          </w:tcPr>
          <w:p>
            <w:r>
              <w:rPr>
                <w:rFonts w:ascii="Arial" w:hAnsi="Arial"/>
                <w:b/>
                <w:color w:val="FFFFFF"/>
                <w:sz w:val="20"/>
              </w:rPr>
            </w:r>
            <w:r>
              <w:rPr>
                <w:rFonts w:ascii="Arial" w:hAnsi="Arial"/>
                <w:b/>
                <w:color w:val="FFFFFF"/>
                <w:sz w:val="20"/>
              </w:rPr>
              <w:t>Median OAS (%)</w:t>
            </w:r>
          </w:p>
        </w:tc>
        <w:tc>
          <w:tcPr>
            <w:tcW w:type="dxa" w:w="1040"/>
            <w:shd w:fill="1B2A4A" w:val="clear"/>
          </w:tcPr>
          <w:p>
            <w:r>
              <w:rPr>
                <w:rFonts w:ascii="Arial" w:hAnsi="Arial"/>
                <w:b/>
                <w:color w:val="FFFFFF"/>
                <w:sz w:val="20"/>
              </w:rPr>
            </w:r>
            <w:r>
              <w:rPr>
                <w:rFonts w:ascii="Arial" w:hAnsi="Arial"/>
                <w:b/>
                <w:color w:val="FFFFFF"/>
                <w:sz w:val="20"/>
              </w:rPr>
              <w:t>Min OAS (%)</w:t>
            </w:r>
          </w:p>
        </w:tc>
        <w:tc>
          <w:tcPr>
            <w:tcW w:type="dxa" w:w="1040"/>
            <w:shd w:fill="1B2A4A" w:val="clear"/>
          </w:tcPr>
          <w:p>
            <w:r>
              <w:rPr>
                <w:rFonts w:ascii="Arial" w:hAnsi="Arial"/>
                <w:b/>
                <w:color w:val="FFFFFF"/>
                <w:sz w:val="20"/>
              </w:rPr>
            </w:r>
            <w:r>
              <w:rPr>
                <w:rFonts w:ascii="Arial" w:hAnsi="Arial"/>
                <w:b/>
                <w:color w:val="FFFFFF"/>
                <w:sz w:val="20"/>
              </w:rPr>
              <w:t>Max OAS (%)</w:t>
            </w:r>
          </w:p>
        </w:tc>
        <w:tc>
          <w:tcPr>
            <w:tcW w:type="dxa" w:w="1040"/>
            <w:shd w:fill="1B2A4A" w:val="clear"/>
          </w:tcPr>
          <w:p>
            <w:r>
              <w:rPr>
                <w:rFonts w:ascii="Arial" w:hAnsi="Arial"/>
                <w:b/>
                <w:color w:val="FFFFFF"/>
                <w:sz w:val="20"/>
              </w:rPr>
            </w:r>
            <w:r>
              <w:rPr>
                <w:rFonts w:ascii="Arial" w:hAnsi="Arial"/>
                <w:b/>
                <w:color w:val="FFFFFF"/>
                <w:sz w:val="20"/>
              </w:rPr>
              <w:t>Std Dev (%)</w:t>
            </w:r>
          </w:p>
        </w:tc>
        <w:tc>
          <w:tcPr>
            <w:tcW w:type="dxa" w:w="1040"/>
            <w:shd w:fill="1B2A4A" w:val="clear"/>
          </w:tcPr>
          <w:p>
            <w:r>
              <w:rPr>
                <w:rFonts w:ascii="Arial" w:hAnsi="Arial"/>
                <w:b/>
                <w:color w:val="FFFFFF"/>
                <w:sz w:val="20"/>
              </w:rPr>
            </w:r>
            <w:r>
              <w:rPr>
                <w:rFonts w:ascii="Arial" w:hAnsi="Arial"/>
                <w:b/>
                <w:color w:val="FFFFFF"/>
                <w:sz w:val="20"/>
              </w:rPr>
              <w:t>Duration (yr)</w:t>
            </w:r>
          </w:p>
        </w:tc>
        <w:tc>
          <w:tcPr>
            <w:tcW w:type="dxa" w:w="1040"/>
            <w:shd w:fill="1B2A4A" w:val="clear"/>
          </w:tcPr>
          <w:p>
            <w:r>
              <w:rPr>
                <w:rFonts w:ascii="Arial" w:hAnsi="Arial"/>
                <w:b/>
                <w:color w:val="FFFFFF"/>
                <w:sz w:val="20"/>
              </w:rPr>
            </w:r>
            <w:r>
              <w:rPr>
                <w:rFonts w:ascii="Arial" w:hAnsi="Arial"/>
                <w:b/>
                <w:color w:val="FFFFFF"/>
                <w:sz w:val="20"/>
              </w:rPr>
              <w:t>Market Weight</w:t>
            </w:r>
          </w:p>
        </w:tc>
      </w:tr>
      <w:tr>
        <w:tc>
          <w:tcPr>
            <w:tcW w:type="dxa" w:w="1040"/>
          </w:tcPr>
          <w:p>
            <w:r>
              <w:rPr>
                <w:rFonts w:ascii="Arial" w:hAnsi="Arial"/>
                <w:color w:val="3C3C3C"/>
                <w:sz w:val="20"/>
              </w:rPr>
            </w:r>
            <w:r>
              <w:rPr>
                <w:rFonts w:ascii="Arial" w:hAnsi="Arial"/>
                <w:color w:val="3C3C3C"/>
                <w:sz w:val="20"/>
              </w:rPr>
              <w:t>Rating</w:t>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c>
          <w:tcPr>
            <w:tcW w:type="dxa" w:w="1040"/>
          </w:tcPr>
          <w:p>
            <w:r>
              <w:rPr>
                <w:rFonts w:ascii="Arial" w:hAnsi="Arial"/>
                <w:color w:val="3C3C3C"/>
                <w:sz w:val="20"/>
              </w:rPr>
            </w:r>
            <w:r>
              <w:rPr>
                <w:rFonts w:ascii="Arial" w:hAnsi="Arial"/>
                <w:color w:val="3C3C3C"/>
                <w:sz w:val="20"/>
              </w:rPr>
            </w:r>
          </w:p>
        </w:tc>
      </w:tr>
      <w:tr>
        <w:tc>
          <w:tcPr>
            <w:tcW w:type="dxa" w:w="1040"/>
            <w:shd w:fill="F2F2F2" w:val="clear"/>
          </w:tcPr>
          <w:p>
            <w:r>
              <w:rPr>
                <w:rFonts w:ascii="Arial" w:hAnsi="Arial"/>
                <w:color w:val="3C3C3C"/>
                <w:sz w:val="20"/>
              </w:rPr>
            </w:r>
            <w:r>
              <w:rPr>
                <w:rFonts w:ascii="Arial" w:hAnsi="Arial"/>
                <w:color w:val="3C3C3C"/>
                <w:sz w:val="20"/>
              </w:rPr>
              <w:t>AAA</w:t>
            </w:r>
          </w:p>
        </w:tc>
        <w:tc>
          <w:tcPr>
            <w:tcW w:type="dxa" w:w="1040"/>
            <w:shd w:fill="F2F2F2" w:val="clear"/>
          </w:tcPr>
          <w:p>
            <w:r>
              <w:rPr>
                <w:rFonts w:ascii="Arial" w:hAnsi="Arial"/>
                <w:color w:val="3C3C3C"/>
                <w:sz w:val="20"/>
              </w:rPr>
            </w:r>
            <w:r>
              <w:rPr>
                <w:rFonts w:ascii="Arial" w:hAnsi="Arial"/>
                <w:color w:val="3C3C3C"/>
                <w:sz w:val="20"/>
              </w:rPr>
              <w:t>351</w:t>
            </w:r>
          </w:p>
        </w:tc>
        <w:tc>
          <w:tcPr>
            <w:tcW w:type="dxa" w:w="1040"/>
            <w:shd w:fill="F2F2F2" w:val="clear"/>
          </w:tcPr>
          <w:p>
            <w:r>
              <w:rPr>
                <w:rFonts w:ascii="Arial" w:hAnsi="Arial"/>
                <w:color w:val="3C3C3C"/>
                <w:sz w:val="20"/>
              </w:rPr>
            </w:r>
            <w:r>
              <w:rPr>
                <w:rFonts w:ascii="Arial" w:hAnsi="Arial"/>
                <w:color w:val="3C3C3C"/>
                <w:sz w:val="20"/>
              </w:rPr>
              <w:t>0.45</w:t>
            </w:r>
          </w:p>
        </w:tc>
        <w:tc>
          <w:tcPr>
            <w:tcW w:type="dxa" w:w="1040"/>
            <w:shd w:fill="F2F2F2" w:val="clear"/>
          </w:tcPr>
          <w:p>
            <w:r>
              <w:rPr>
                <w:rFonts w:ascii="Arial" w:hAnsi="Arial"/>
                <w:color w:val="3C3C3C"/>
                <w:sz w:val="20"/>
              </w:rPr>
            </w:r>
            <w:r>
              <w:rPr>
                <w:rFonts w:ascii="Arial" w:hAnsi="Arial"/>
                <w:color w:val="3C3C3C"/>
                <w:sz w:val="20"/>
              </w:rPr>
              <w:t>0.64</w:t>
            </w:r>
          </w:p>
        </w:tc>
        <w:tc>
          <w:tcPr>
            <w:tcW w:type="dxa" w:w="1040"/>
            <w:shd w:fill="F2F2F2" w:val="clear"/>
          </w:tcPr>
          <w:p>
            <w:r>
              <w:rPr>
                <w:rFonts w:ascii="Arial" w:hAnsi="Arial"/>
                <w:color w:val="3C3C3C"/>
                <w:sz w:val="20"/>
              </w:rPr>
            </w:r>
            <w:r>
              <w:rPr>
                <w:rFonts w:ascii="Arial" w:hAnsi="Arial"/>
                <w:color w:val="3C3C3C"/>
                <w:sz w:val="20"/>
              </w:rPr>
              <w:t>0.25</w:t>
            </w:r>
          </w:p>
        </w:tc>
        <w:tc>
          <w:tcPr>
            <w:tcW w:type="dxa" w:w="1040"/>
            <w:shd w:fill="F2F2F2" w:val="clear"/>
          </w:tcPr>
          <w:p>
            <w:r>
              <w:rPr>
                <w:rFonts w:ascii="Arial" w:hAnsi="Arial"/>
                <w:color w:val="3C3C3C"/>
                <w:sz w:val="20"/>
              </w:rPr>
            </w:r>
            <w:r>
              <w:rPr>
                <w:rFonts w:ascii="Arial" w:hAnsi="Arial"/>
                <w:color w:val="3C3C3C"/>
                <w:sz w:val="20"/>
              </w:rPr>
              <w:t>4.07</w:t>
            </w:r>
          </w:p>
        </w:tc>
        <w:tc>
          <w:tcPr>
            <w:tcW w:type="dxa" w:w="1040"/>
            <w:shd w:fill="F2F2F2" w:val="clear"/>
          </w:tcPr>
          <w:p>
            <w:r>
              <w:rPr>
                <w:rFonts w:ascii="Arial" w:hAnsi="Arial"/>
                <w:color w:val="3C3C3C"/>
                <w:sz w:val="20"/>
              </w:rPr>
            </w:r>
            <w:r>
              <w:rPr>
                <w:rFonts w:ascii="Arial" w:hAnsi="Arial"/>
                <w:color w:val="3C3C3C"/>
                <w:sz w:val="20"/>
              </w:rPr>
              <w:t>0.47</w:t>
            </w:r>
          </w:p>
        </w:tc>
        <w:tc>
          <w:tcPr>
            <w:tcW w:type="dxa" w:w="1040"/>
            <w:shd w:fill="F2F2F2" w:val="clear"/>
          </w:tcPr>
          <w:p>
            <w:r>
              <w:rPr>
                <w:rFonts w:ascii="Arial" w:hAnsi="Arial"/>
                <w:color w:val="3C3C3C"/>
                <w:sz w:val="20"/>
              </w:rPr>
            </w:r>
            <w:r>
              <w:rPr>
                <w:rFonts w:ascii="Arial" w:hAnsi="Arial"/>
                <w:color w:val="3C3C3C"/>
                <w:sz w:val="20"/>
              </w:rPr>
              <w:t>8.5</w:t>
            </w:r>
          </w:p>
        </w:tc>
        <w:tc>
          <w:tcPr>
            <w:tcW w:type="dxa" w:w="1040"/>
            <w:shd w:fill="F2F2F2" w:val="clear"/>
          </w:tcPr>
          <w:p>
            <w:r>
              <w:rPr>
                <w:rFonts w:ascii="Arial" w:hAnsi="Arial"/>
                <w:color w:val="3C3C3C"/>
                <w:sz w:val="20"/>
              </w:rPr>
            </w:r>
            <w:r>
              <w:rPr>
                <w:rFonts w:ascii="Arial" w:hAnsi="Arial"/>
                <w:color w:val="3C3C3C"/>
                <w:sz w:val="20"/>
              </w:rPr>
              <w:t>4%</w:t>
            </w:r>
          </w:p>
        </w:tc>
      </w:tr>
      <w:tr>
        <w:tc>
          <w:tcPr>
            <w:tcW w:type="dxa" w:w="1040"/>
          </w:tcPr>
          <w:p>
            <w:r>
              <w:rPr>
                <w:rFonts w:ascii="Arial" w:hAnsi="Arial"/>
                <w:color w:val="3C3C3C"/>
                <w:sz w:val="20"/>
              </w:rPr>
            </w:r>
            <w:r>
              <w:rPr>
                <w:rFonts w:ascii="Arial" w:hAnsi="Arial"/>
                <w:color w:val="3C3C3C"/>
                <w:sz w:val="20"/>
              </w:rPr>
              <w:t>AA</w:t>
            </w:r>
          </w:p>
        </w:tc>
        <w:tc>
          <w:tcPr>
            <w:tcW w:type="dxa" w:w="1040"/>
          </w:tcPr>
          <w:p>
            <w:r>
              <w:rPr>
                <w:rFonts w:ascii="Arial" w:hAnsi="Arial"/>
                <w:color w:val="3C3C3C"/>
                <w:sz w:val="20"/>
              </w:rPr>
            </w:r>
            <w:r>
              <w:rPr>
                <w:rFonts w:ascii="Arial" w:hAnsi="Arial"/>
                <w:color w:val="3C3C3C"/>
                <w:sz w:val="20"/>
              </w:rPr>
              <w:t>351</w:t>
            </w:r>
          </w:p>
        </w:tc>
        <w:tc>
          <w:tcPr>
            <w:tcW w:type="dxa" w:w="1040"/>
          </w:tcPr>
          <w:p>
            <w:r>
              <w:rPr>
                <w:rFonts w:ascii="Arial" w:hAnsi="Arial"/>
                <w:color w:val="3C3C3C"/>
                <w:sz w:val="20"/>
              </w:rPr>
            </w:r>
            <w:r>
              <w:rPr>
                <w:rFonts w:ascii="Arial" w:hAnsi="Arial"/>
                <w:color w:val="3C3C3C"/>
                <w:sz w:val="20"/>
              </w:rPr>
              <w:t>0.60</w:t>
            </w:r>
          </w:p>
        </w:tc>
        <w:tc>
          <w:tcPr>
            <w:tcW w:type="dxa" w:w="1040"/>
          </w:tcPr>
          <w:p>
            <w:r>
              <w:rPr>
                <w:rFonts w:ascii="Arial" w:hAnsi="Arial"/>
                <w:color w:val="3C3C3C"/>
                <w:sz w:val="20"/>
              </w:rPr>
            </w:r>
            <w:r>
              <w:rPr>
                <w:rFonts w:ascii="Arial" w:hAnsi="Arial"/>
                <w:color w:val="3C3C3C"/>
                <w:sz w:val="20"/>
              </w:rPr>
              <w:t>0.77</w:t>
            </w:r>
          </w:p>
        </w:tc>
        <w:tc>
          <w:tcPr>
            <w:tcW w:type="dxa" w:w="1040"/>
          </w:tcPr>
          <w:p>
            <w:r>
              <w:rPr>
                <w:rFonts w:ascii="Arial" w:hAnsi="Arial"/>
                <w:color w:val="3C3C3C"/>
                <w:sz w:val="20"/>
              </w:rPr>
            </w:r>
            <w:r>
              <w:rPr>
                <w:rFonts w:ascii="Arial" w:hAnsi="Arial"/>
                <w:color w:val="3C3C3C"/>
                <w:sz w:val="20"/>
              </w:rPr>
              <w:t>0.38</w:t>
            </w:r>
          </w:p>
        </w:tc>
        <w:tc>
          <w:tcPr>
            <w:tcW w:type="dxa" w:w="1040"/>
          </w:tcPr>
          <w:p>
            <w:r>
              <w:rPr>
                <w:rFonts w:ascii="Arial" w:hAnsi="Arial"/>
                <w:color w:val="3C3C3C"/>
                <w:sz w:val="20"/>
              </w:rPr>
            </w:r>
            <w:r>
              <w:rPr>
                <w:rFonts w:ascii="Arial" w:hAnsi="Arial"/>
                <w:color w:val="3C3C3C"/>
                <w:sz w:val="20"/>
              </w:rPr>
              <w:t>4.96</w:t>
            </w:r>
          </w:p>
        </w:tc>
        <w:tc>
          <w:tcPr>
            <w:tcW w:type="dxa" w:w="1040"/>
          </w:tcPr>
          <w:p>
            <w:r>
              <w:rPr>
                <w:rFonts w:ascii="Arial" w:hAnsi="Arial"/>
                <w:color w:val="3C3C3C"/>
                <w:sz w:val="20"/>
              </w:rPr>
            </w:r>
            <w:r>
              <w:rPr>
                <w:rFonts w:ascii="Arial" w:hAnsi="Arial"/>
                <w:color w:val="3C3C3C"/>
                <w:sz w:val="20"/>
              </w:rPr>
              <w:t>0.62</w:t>
            </w:r>
          </w:p>
        </w:tc>
        <w:tc>
          <w:tcPr>
            <w:tcW w:type="dxa" w:w="1040"/>
          </w:tcPr>
          <w:p>
            <w:r>
              <w:rPr>
                <w:rFonts w:ascii="Arial" w:hAnsi="Arial"/>
                <w:color w:val="3C3C3C"/>
                <w:sz w:val="20"/>
              </w:rPr>
            </w:r>
            <w:r>
              <w:rPr>
                <w:rFonts w:ascii="Arial" w:hAnsi="Arial"/>
                <w:color w:val="3C3C3C"/>
                <w:sz w:val="20"/>
              </w:rPr>
              <w:t>7.5</w:t>
            </w:r>
          </w:p>
        </w:tc>
        <w:tc>
          <w:tcPr>
            <w:tcW w:type="dxa" w:w="1040"/>
          </w:tcPr>
          <w:p>
            <w:r>
              <w:rPr>
                <w:rFonts w:ascii="Arial" w:hAnsi="Arial"/>
                <w:color w:val="3C3C3C"/>
                <w:sz w:val="20"/>
              </w:rPr>
            </w:r>
            <w:r>
              <w:rPr>
                <w:rFonts w:ascii="Arial" w:hAnsi="Arial"/>
                <w:color w:val="3C3C3C"/>
                <w:sz w:val="20"/>
              </w:rPr>
              <w:t>12%</w:t>
            </w:r>
          </w:p>
        </w:tc>
      </w:tr>
      <w:tr>
        <w:tc>
          <w:tcPr>
            <w:tcW w:type="dxa" w:w="1040"/>
            <w:shd w:fill="F2F2F2" w:val="clear"/>
          </w:tcPr>
          <w:p>
            <w:r>
              <w:rPr>
                <w:rFonts w:ascii="Arial" w:hAnsi="Arial"/>
                <w:color w:val="3C3C3C"/>
                <w:sz w:val="20"/>
              </w:rPr>
            </w:r>
            <w:r>
              <w:rPr>
                <w:rFonts w:ascii="Arial" w:hAnsi="Arial"/>
                <w:color w:val="3C3C3C"/>
                <w:sz w:val="20"/>
              </w:rPr>
              <w:t>A</w:t>
            </w:r>
          </w:p>
        </w:tc>
        <w:tc>
          <w:tcPr>
            <w:tcW w:type="dxa" w:w="1040"/>
            <w:shd w:fill="F2F2F2" w:val="clear"/>
          </w:tcPr>
          <w:p>
            <w:r>
              <w:rPr>
                <w:rFonts w:ascii="Arial" w:hAnsi="Arial"/>
                <w:color w:val="3C3C3C"/>
                <w:sz w:val="20"/>
              </w:rPr>
            </w:r>
            <w:r>
              <w:rPr>
                <w:rFonts w:ascii="Arial" w:hAnsi="Arial"/>
                <w:color w:val="3C3C3C"/>
                <w:sz w:val="20"/>
              </w:rPr>
              <w:t>351</w:t>
            </w:r>
          </w:p>
        </w:tc>
        <w:tc>
          <w:tcPr>
            <w:tcW w:type="dxa" w:w="1040"/>
            <w:shd w:fill="F2F2F2" w:val="clear"/>
          </w:tcPr>
          <w:p>
            <w:r>
              <w:rPr>
                <w:rFonts w:ascii="Arial" w:hAnsi="Arial"/>
                <w:color w:val="3C3C3C"/>
                <w:sz w:val="20"/>
              </w:rPr>
            </w:r>
            <w:r>
              <w:rPr>
                <w:rFonts w:ascii="Arial" w:hAnsi="Arial"/>
                <w:color w:val="3C3C3C"/>
                <w:sz w:val="20"/>
              </w:rPr>
              <w:t>0.78</w:t>
            </w:r>
          </w:p>
        </w:tc>
        <w:tc>
          <w:tcPr>
            <w:tcW w:type="dxa" w:w="1040"/>
            <w:shd w:fill="F2F2F2" w:val="clear"/>
          </w:tcPr>
          <w:p>
            <w:r>
              <w:rPr>
                <w:rFonts w:ascii="Arial" w:hAnsi="Arial"/>
                <w:color w:val="3C3C3C"/>
                <w:sz w:val="20"/>
              </w:rPr>
            </w:r>
            <w:r>
              <w:rPr>
                <w:rFonts w:ascii="Arial" w:hAnsi="Arial"/>
                <w:color w:val="3C3C3C"/>
                <w:sz w:val="20"/>
              </w:rPr>
              <w:t>1.04</w:t>
            </w:r>
          </w:p>
        </w:tc>
        <w:tc>
          <w:tcPr>
            <w:tcW w:type="dxa" w:w="1040"/>
            <w:shd w:fill="F2F2F2" w:val="clear"/>
          </w:tcPr>
          <w:p>
            <w:r>
              <w:rPr>
                <w:rFonts w:ascii="Arial" w:hAnsi="Arial"/>
                <w:color w:val="3C3C3C"/>
                <w:sz w:val="20"/>
              </w:rPr>
            </w:r>
            <w:r>
              <w:rPr>
                <w:rFonts w:ascii="Arial" w:hAnsi="Arial"/>
                <w:color w:val="3C3C3C"/>
                <w:sz w:val="20"/>
              </w:rPr>
              <w:t>0.50</w:t>
            </w:r>
          </w:p>
        </w:tc>
        <w:tc>
          <w:tcPr>
            <w:tcW w:type="dxa" w:w="1040"/>
            <w:shd w:fill="F2F2F2" w:val="clear"/>
          </w:tcPr>
          <w:p>
            <w:r>
              <w:rPr>
                <w:rFonts w:ascii="Arial" w:hAnsi="Arial"/>
                <w:color w:val="3C3C3C"/>
                <w:sz w:val="20"/>
              </w:rPr>
            </w:r>
            <w:r>
              <w:rPr>
                <w:rFonts w:ascii="Arial" w:hAnsi="Arial"/>
                <w:color w:val="3C3C3C"/>
                <w:sz w:val="20"/>
              </w:rPr>
              <w:t>6.37</w:t>
            </w:r>
          </w:p>
        </w:tc>
        <w:tc>
          <w:tcPr>
            <w:tcW w:type="dxa" w:w="1040"/>
            <w:shd w:fill="F2F2F2" w:val="clear"/>
          </w:tcPr>
          <w:p>
            <w:r>
              <w:rPr>
                <w:rFonts w:ascii="Arial" w:hAnsi="Arial"/>
                <w:color w:val="3C3C3C"/>
                <w:sz w:val="20"/>
              </w:rPr>
            </w:r>
            <w:r>
              <w:rPr>
                <w:rFonts w:ascii="Arial" w:hAnsi="Arial"/>
                <w:color w:val="3C3C3C"/>
                <w:sz w:val="20"/>
              </w:rPr>
              <w:t>0.80</w:t>
            </w:r>
          </w:p>
        </w:tc>
        <w:tc>
          <w:tcPr>
            <w:tcW w:type="dxa" w:w="1040"/>
            <w:shd w:fill="F2F2F2" w:val="clear"/>
          </w:tcPr>
          <w:p>
            <w:r>
              <w:rPr>
                <w:rFonts w:ascii="Arial" w:hAnsi="Arial"/>
                <w:color w:val="3C3C3C"/>
                <w:sz w:val="20"/>
              </w:rPr>
            </w:r>
            <w:r>
              <w:rPr>
                <w:rFonts w:ascii="Arial" w:hAnsi="Arial"/>
                <w:color w:val="3C3C3C"/>
                <w:sz w:val="20"/>
              </w:rPr>
              <w:t>7.2</w:t>
            </w:r>
          </w:p>
        </w:tc>
        <w:tc>
          <w:tcPr>
            <w:tcW w:type="dxa" w:w="1040"/>
            <w:shd w:fill="F2F2F2" w:val="clear"/>
          </w:tcPr>
          <w:p>
            <w:r>
              <w:rPr>
                <w:rFonts w:ascii="Arial" w:hAnsi="Arial"/>
                <w:color w:val="3C3C3C"/>
                <w:sz w:val="20"/>
              </w:rPr>
            </w:r>
            <w:r>
              <w:rPr>
                <w:rFonts w:ascii="Arial" w:hAnsi="Arial"/>
                <w:color w:val="3C3C3C"/>
                <w:sz w:val="20"/>
              </w:rPr>
              <w:t>34%</w:t>
            </w:r>
          </w:p>
        </w:tc>
      </w:tr>
      <w:tr>
        <w:tc>
          <w:tcPr>
            <w:tcW w:type="dxa" w:w="1040"/>
          </w:tcPr>
          <w:p>
            <w:r>
              <w:rPr>
                <w:rFonts w:ascii="Arial" w:hAnsi="Arial"/>
                <w:color w:val="3C3C3C"/>
                <w:sz w:val="20"/>
              </w:rPr>
            </w:r>
            <w:r>
              <w:rPr>
                <w:rFonts w:ascii="Arial" w:hAnsi="Arial"/>
                <w:color w:val="3C3C3C"/>
                <w:sz w:val="20"/>
              </w:rPr>
              <w:t>BBB</w:t>
            </w:r>
          </w:p>
        </w:tc>
        <w:tc>
          <w:tcPr>
            <w:tcW w:type="dxa" w:w="1040"/>
          </w:tcPr>
          <w:p>
            <w:r>
              <w:rPr>
                <w:rFonts w:ascii="Arial" w:hAnsi="Arial"/>
                <w:color w:val="3C3C3C"/>
                <w:sz w:val="20"/>
              </w:rPr>
            </w:r>
            <w:r>
              <w:rPr>
                <w:rFonts w:ascii="Arial" w:hAnsi="Arial"/>
                <w:color w:val="3C3C3C"/>
                <w:sz w:val="20"/>
              </w:rPr>
              <w:t>351</w:t>
            </w:r>
          </w:p>
        </w:tc>
        <w:tc>
          <w:tcPr>
            <w:tcW w:type="dxa" w:w="1040"/>
          </w:tcPr>
          <w:p>
            <w:r>
              <w:rPr>
                <w:rFonts w:ascii="Arial" w:hAnsi="Arial"/>
                <w:color w:val="3C3C3C"/>
                <w:sz w:val="20"/>
              </w:rPr>
            </w:r>
            <w:r>
              <w:rPr>
                <w:rFonts w:ascii="Arial" w:hAnsi="Arial"/>
                <w:color w:val="3C3C3C"/>
                <w:sz w:val="20"/>
              </w:rPr>
              <w:t>1.15</w:t>
            </w:r>
          </w:p>
        </w:tc>
        <w:tc>
          <w:tcPr>
            <w:tcW w:type="dxa" w:w="1040"/>
          </w:tcPr>
          <w:p>
            <w:r>
              <w:rPr>
                <w:rFonts w:ascii="Arial" w:hAnsi="Arial"/>
                <w:color w:val="3C3C3C"/>
                <w:sz w:val="20"/>
              </w:rPr>
            </w:r>
            <w:r>
              <w:rPr>
                <w:rFonts w:ascii="Arial" w:hAnsi="Arial"/>
                <w:color w:val="3C3C3C"/>
                <w:sz w:val="20"/>
              </w:rPr>
              <w:t>1.67</w:t>
            </w:r>
          </w:p>
        </w:tc>
        <w:tc>
          <w:tcPr>
            <w:tcW w:type="dxa" w:w="1040"/>
          </w:tcPr>
          <w:p>
            <w:r>
              <w:rPr>
                <w:rFonts w:ascii="Arial" w:hAnsi="Arial"/>
                <w:color w:val="3C3C3C"/>
                <w:sz w:val="20"/>
              </w:rPr>
            </w:r>
            <w:r>
              <w:rPr>
                <w:rFonts w:ascii="Arial" w:hAnsi="Arial"/>
                <w:color w:val="3C3C3C"/>
                <w:sz w:val="20"/>
              </w:rPr>
              <w:t>0.74</w:t>
            </w:r>
          </w:p>
        </w:tc>
        <w:tc>
          <w:tcPr>
            <w:tcW w:type="dxa" w:w="1040"/>
          </w:tcPr>
          <w:p>
            <w:r>
              <w:rPr>
                <w:rFonts w:ascii="Arial" w:hAnsi="Arial"/>
                <w:color w:val="3C3C3C"/>
                <w:sz w:val="20"/>
              </w:rPr>
            </w:r>
            <w:r>
              <w:rPr>
                <w:rFonts w:ascii="Arial" w:hAnsi="Arial"/>
                <w:color w:val="3C3C3C"/>
                <w:sz w:val="20"/>
              </w:rPr>
              <w:t>7.84</w:t>
            </w:r>
          </w:p>
        </w:tc>
        <w:tc>
          <w:tcPr>
            <w:tcW w:type="dxa" w:w="1040"/>
          </w:tcPr>
          <w:p>
            <w:r>
              <w:rPr>
                <w:rFonts w:ascii="Arial" w:hAnsi="Arial"/>
                <w:color w:val="3C3C3C"/>
                <w:sz w:val="20"/>
              </w:rPr>
            </w:r>
            <w:r>
              <w:rPr>
                <w:rFonts w:ascii="Arial" w:hAnsi="Arial"/>
                <w:color w:val="3C3C3C"/>
                <w:sz w:val="20"/>
              </w:rPr>
              <w:t>1.00</w:t>
            </w:r>
          </w:p>
        </w:tc>
        <w:tc>
          <w:tcPr>
            <w:tcW w:type="dxa" w:w="1040"/>
          </w:tcPr>
          <w:p>
            <w:r>
              <w:rPr>
                <w:rFonts w:ascii="Arial" w:hAnsi="Arial"/>
                <w:color w:val="3C3C3C"/>
                <w:sz w:val="20"/>
              </w:rPr>
            </w:r>
            <w:r>
              <w:rPr>
                <w:rFonts w:ascii="Arial" w:hAnsi="Arial"/>
                <w:color w:val="3C3C3C"/>
                <w:sz w:val="20"/>
              </w:rPr>
              <w:t>6.5</w:t>
            </w:r>
          </w:p>
        </w:tc>
        <w:tc>
          <w:tcPr>
            <w:tcW w:type="dxa" w:w="1040"/>
          </w:tcPr>
          <w:p>
            <w:r>
              <w:rPr>
                <w:rFonts w:ascii="Arial" w:hAnsi="Arial"/>
                <w:color w:val="3C3C3C"/>
                <w:sz w:val="20"/>
              </w:rPr>
            </w:r>
            <w:r>
              <w:rPr>
                <w:rFonts w:ascii="Arial" w:hAnsi="Arial"/>
                <w:color w:val="3C3C3C"/>
                <w:sz w:val="20"/>
              </w:rPr>
              <w:t>50%</w:t>
            </w:r>
          </w:p>
        </w:tc>
      </w:tr>
    </w:tbl>
    <w:p>
      <w:pPr>
        <w:spacing w:before="80" w:after="80"/>
      </w:pPr>
    </w:p>
    <w:p>
      <w:pPr>
        <w:pStyle w:val="Heading3"/>
      </w:pPr>
      <w:r>
        <w:rPr>
          <w:rFonts w:ascii="Arial" w:hAnsi="Arial"/>
          <w:color w:val="1B2A4A"/>
        </w:rPr>
        <w:t>Key Observations from the Data</w:t>
      </w:r>
    </w:p>
    <w:p>
      <w:pPr>
        <w:pStyle w:val="ListBullet"/>
        <w:spacing w:line="276" w:lineRule="auto"/>
      </w:pPr>
      <w:r>
        <w:rPr>
          <w:rFonts w:ascii="Arial" w:hAnsi="Arial"/>
          <w:b/>
          <w:i w:val="0"/>
          <w:color w:val="3C3C3C"/>
          <w:sz w:val="22"/>
        </w:rPr>
        <w:t>BBB dominates</w:t>
      </w:r>
      <w:r>
        <w:rPr>
          <w:rFonts w:ascii="Arial" w:hAnsi="Arial"/>
          <w:b w:val="0"/>
          <w:i w:val="0"/>
          <w:color w:val="3C3C3C"/>
          <w:sz w:val="22"/>
        </w:rPr>
        <w:t xml:space="preserve"> the IG index at ~50% market weight. This structural feature means BBB spread moves drive index-level performance --- any allocation strategy in this space is, fundamentally, a bet on the timing of BBB exposure.</w:t>
      </w:r>
    </w:p>
    <w:p>
      <w:pPr>
        <w:pStyle w:val="ListBullet"/>
        <w:spacing w:line="276" w:lineRule="auto"/>
      </w:pPr>
      <w:r>
        <w:rPr>
          <w:rFonts w:ascii="Arial" w:hAnsi="Arial"/>
          <w:b/>
          <w:i w:val="0"/>
          <w:color w:val="3C3C3C"/>
          <w:sz w:val="22"/>
        </w:rPr>
        <w:t>Spread dispersion</w:t>
      </w:r>
      <w:r>
        <w:rPr>
          <w:rFonts w:ascii="Arial" w:hAnsi="Arial"/>
          <w:b w:val="0"/>
          <w:i w:val="0"/>
          <w:color w:val="3C3C3C"/>
          <w:sz w:val="22"/>
        </w:rPr>
        <w:t xml:space="preserve"> increases dramatically during stress. During the GFC, BBB peaked above 8% while AAA stayed below 2%. This asymmetry is what makes regime conditioning valuable.</w:t>
      </w:r>
    </w:p>
    <w:p>
      <w:pPr>
        <w:pStyle w:val="ListBullet"/>
        <w:spacing w:line="276" w:lineRule="auto"/>
      </w:pPr>
      <w:r>
        <w:rPr>
          <w:rFonts w:ascii="Arial" w:hAnsi="Arial"/>
          <w:b/>
          <w:i w:val="0"/>
          <w:color w:val="3C3C3C"/>
          <w:sz w:val="22"/>
        </w:rPr>
        <w:t>Mean-reversion</w:t>
      </w:r>
      <w:r>
        <w:rPr>
          <w:rFonts w:ascii="Arial" w:hAnsi="Arial"/>
          <w:b w:val="0"/>
          <w:i w:val="0"/>
          <w:color w:val="3C3C3C"/>
          <w:sz w:val="22"/>
        </w:rPr>
        <w:t xml:space="preserve"> is evident across the full sample: extreme spreads tend to compress back toward long-run medians over 6--12 month horizons. This is the economic basis for the value signal.</w:t>
      </w:r>
    </w:p>
    <w:p>
      <w:pPr>
        <w:pStyle w:val="ListBullet"/>
        <w:spacing w:line="276" w:lineRule="auto"/>
      </w:pPr>
      <w:r>
        <w:rPr>
          <w:rFonts w:ascii="Arial" w:hAnsi="Arial"/>
          <w:b w:val="0"/>
          <w:i w:val="0"/>
          <w:color w:val="3C3C3C"/>
          <w:sz w:val="22"/>
        </w:rPr>
        <w:t xml:space="preserve">The </w:t>
      </w:r>
      <w:r>
        <w:rPr>
          <w:rFonts w:ascii="Arial" w:hAnsi="Arial"/>
          <w:b/>
          <w:i w:val="0"/>
          <w:color w:val="3C3C3C"/>
          <w:sz w:val="22"/>
        </w:rPr>
        <w:t>BBB-AAA spread differential</w:t>
      </w:r>
      <w:r>
        <w:rPr>
          <w:rFonts w:ascii="Arial" w:hAnsi="Arial"/>
          <w:b w:val="0"/>
          <w:i w:val="0"/>
          <w:color w:val="3C3C3C"/>
          <w:sz w:val="22"/>
        </w:rPr>
        <w:t xml:space="preserve"> widens during stress and compresses during risk-on environments --- this differential is the primary rotation signal exploited by the strategy.</w:t>
      </w:r>
    </w:p>
    <w:p>
      <w:pPr>
        <w:spacing w:before="360" w:after="0"/>
      </w:pPr>
    </w:p>
    <w:p>
      <w:pPr>
        <w:pStyle w:val="Heading1"/>
      </w:pPr>
      <w:r>
        <w:rPr>
          <w:rFonts w:ascii="Arial" w:hAnsi="Arial"/>
          <w:color w:val="1B2A4A"/>
        </w:rPr>
        <w:t>6. Methodology</w:t>
      </w:r>
    </w:p>
    <w:p>
      <w:pPr>
        <w:spacing w:line="276" w:lineRule="auto" w:after="120"/>
        <w:jc w:val="both"/>
      </w:pPr>
      <w:r>
        <w:rPr>
          <w:rFonts w:ascii="Arial" w:hAnsi="Arial"/>
          <w:b w:val="0"/>
          <w:i w:val="0"/>
          <w:color w:val="3C3C3C"/>
          <w:sz w:val="22"/>
        </w:rPr>
        <w:t>This section details each of the four model components. For each, we present the mathematical formulation, the intuition behind key parameters, and how the component connects to the overall pipeline. The accompanying charts --- produced from live FRED data --- illustrate the models in action.</w:t>
      </w:r>
    </w:p>
    <w:p>
      <w:pPr>
        <w:pStyle w:val="Heading2"/>
      </w:pPr>
      <w:r>
        <w:rPr>
          <w:rFonts w:ascii="Arial" w:hAnsi="Arial"/>
          <w:color w:val="3D5A80"/>
        </w:rPr>
        <w:t>6.1 HMM Regime Detection</w:t>
      </w:r>
    </w:p>
    <w:p>
      <w:pPr>
        <w:pStyle w:val="Heading3"/>
      </w:pPr>
      <w:r>
        <w:rPr>
          <w:rFonts w:ascii="Arial" w:hAnsi="Arial"/>
          <w:color w:val="1B2A4A"/>
        </w:rPr>
        <w:t>Why Regimes Matter</w:t>
      </w:r>
    </w:p>
    <w:p>
      <w:pPr>
        <w:spacing w:line="276" w:lineRule="auto" w:after="120"/>
        <w:jc w:val="both"/>
      </w:pPr>
      <w:r>
        <w:rPr>
          <w:rFonts w:ascii="Arial" w:hAnsi="Arial"/>
          <w:b w:val="0"/>
          <w:i w:val="0"/>
          <w:color w:val="3C3C3C"/>
          <w:sz w:val="22"/>
        </w:rPr>
        <w:t>Credit markets are not stationary. Parameters estimated during normal markets --- correlations, volatilities, mean-reversion speeds --- fail catastrophically during stress. Any allocation model that ignores this non-stationarity is implicitly assuming that tomorrow's market will behave like the average of all past markets. That assumption is fine 85% of the time and disastrous 15% of the time.</w:t>
      </w:r>
    </w:p>
    <w:p>
      <w:pPr>
        <w:spacing w:line="276" w:lineRule="auto" w:after="120"/>
        <w:jc w:val="both"/>
      </w:pPr>
      <w:r>
        <w:rPr>
          <w:rFonts w:ascii="Arial" w:hAnsi="Arial"/>
          <w:b w:val="0"/>
          <w:i w:val="0"/>
          <w:color w:val="3C3C3C"/>
          <w:sz w:val="22"/>
        </w:rPr>
        <w:t>A Hidden Markov Model formalizes this intuition. The observed data (OAS levels and changes) is generated by an underlying hidden process that switches between a finite number of states. We do not observe the state directly --- we infer it from the data.</w:t>
      </w:r>
    </w:p>
    <w:p>
      <w:pPr>
        <w:pStyle w:val="Heading3"/>
      </w:pPr>
      <w:r>
        <w:rPr>
          <w:rFonts w:ascii="Arial" w:hAnsi="Arial"/>
          <w:color w:val="1B2A4A"/>
        </w:rPr>
        <w:t>Mathematical Formulation</w:t>
      </w:r>
    </w:p>
    <w:p>
      <w:pPr>
        <w:spacing w:line="276" w:lineRule="auto" w:after="120"/>
        <w:jc w:val="both"/>
      </w:pPr>
      <w:r>
        <w:rPr>
          <w:rFonts w:ascii="Arial" w:hAnsi="Arial"/>
          <w:b w:val="0"/>
          <w:i w:val="0"/>
          <w:color w:val="3C3C3C"/>
          <w:sz w:val="22"/>
        </w:rPr>
        <w:t>The HMM is defined by three components:</w:t>
      </w:r>
    </w:p>
    <w:p>
      <w:pPr>
        <w:spacing w:line="276" w:lineRule="auto" w:after="120"/>
        <w:jc w:val="both"/>
      </w:pPr>
      <w:r>
        <w:rPr>
          <w:rFonts w:ascii="Arial" w:hAnsi="Arial"/>
          <w:b/>
          <w:i w:val="0"/>
          <w:color w:val="3C3C3C"/>
          <w:sz w:val="22"/>
        </w:rPr>
        <w:t>1. Transition matrix</w:t>
      </w:r>
      <w:r>
        <w:rPr>
          <w:rFonts w:ascii="Arial" w:hAnsi="Arial"/>
          <w:b w:val="0"/>
          <w:i w:val="0"/>
          <w:color w:val="3C3C3C"/>
          <w:sz w:val="22"/>
        </w:rPr>
        <w:t xml:space="preserve"> A, where aᵢⱼ = P(Sₜ = j | Sₜ₋₁ = i):</w:t>
      </w:r>
    </w:p>
    <w:p>
      <w:pPr>
        <w:spacing w:before="160" w:after="160"/>
        <w:jc w:val="center"/>
      </w:pPr>
      <w:r>
        <w:rPr>
          <w:rFonts w:ascii="Cambria Math" w:hAnsi="Cambria Math"/>
          <w:b w:val="0"/>
          <w:i w:val="0"/>
          <w:color w:val="1B2A4A"/>
          <w:sz w:val="22"/>
        </w:rPr>
        <w:t>A = [ a₀₀  a₀₁  a₀₂ ; a₁₀  a₁₁  a₁₂ ; a₂₀  a₂₁  a₂₂ ]</w:t>
      </w:r>
    </w:p>
    <w:p>
      <w:pPr>
        <w:spacing w:line="276" w:lineRule="auto" w:after="120"/>
        <w:jc w:val="both"/>
      </w:pPr>
      <w:r>
        <w:rPr>
          <w:rFonts w:ascii="Arial" w:hAnsi="Arial"/>
          <w:b w:val="0"/>
          <w:i w:val="0"/>
          <w:color w:val="3C3C3C"/>
          <w:sz w:val="22"/>
        </w:rPr>
        <w:t>Each row sums to 1. High diagonal values indicate persistent regimes.</w:t>
      </w:r>
    </w:p>
    <w:p>
      <w:pPr>
        <w:spacing w:line="276" w:lineRule="auto" w:after="120"/>
        <w:jc w:val="both"/>
      </w:pPr>
      <w:r>
        <w:rPr>
          <w:rFonts w:ascii="Arial" w:hAnsi="Arial"/>
          <w:b/>
          <w:i w:val="0"/>
          <w:color w:val="3C3C3C"/>
          <w:sz w:val="22"/>
        </w:rPr>
        <w:t>2. Emission probabilities.</w:t>
      </w:r>
      <w:r>
        <w:rPr>
          <w:rFonts w:ascii="Arial" w:hAnsi="Arial"/>
          <w:b w:val="0"/>
          <w:i w:val="0"/>
          <w:color w:val="3C3C3C"/>
          <w:sz w:val="22"/>
        </w:rPr>
        <w:t xml:space="preserve"> Each state k generates observations from a multivariate Gaussian:</w:t>
      </w:r>
    </w:p>
    <w:p>
      <w:pPr>
        <w:spacing w:before="160" w:after="160"/>
        <w:jc w:val="center"/>
      </w:pPr>
      <w:r>
        <w:rPr>
          <w:rFonts w:ascii="Cambria Math" w:hAnsi="Cambria Math"/>
          <w:b w:val="0"/>
          <w:i w:val="0"/>
          <w:color w:val="1B2A4A"/>
          <w:sz w:val="22"/>
        </w:rPr>
        <w:t>P(xₜ | Sₜ = k) = N(xₜ | μₖ, Σₖ)</w:t>
      </w:r>
    </w:p>
    <w:p>
      <w:pPr>
        <w:spacing w:line="276" w:lineRule="auto" w:after="120"/>
        <w:jc w:val="both"/>
      </w:pPr>
      <w:r>
        <w:rPr>
          <w:rFonts w:ascii="Arial" w:hAnsi="Arial"/>
          <w:b w:val="0"/>
          <w:i w:val="0"/>
          <w:color w:val="3C3C3C"/>
          <w:sz w:val="22"/>
        </w:rPr>
        <w:t>where xₜ = [OAS level,\ ΔOAS₁ₘ,\ ΔOAS₃ₘ,\ ΔOAS₆ₘ] is the feature vector at time t.</w:t>
      </w:r>
    </w:p>
    <w:p>
      <w:pPr>
        <w:spacing w:line="276" w:lineRule="auto" w:after="120"/>
        <w:jc w:val="both"/>
      </w:pPr>
      <w:r>
        <w:rPr>
          <w:rFonts w:ascii="Arial" w:hAnsi="Arial"/>
          <w:b/>
          <w:i w:val="0"/>
          <w:color w:val="3C3C3C"/>
          <w:sz w:val="22"/>
        </w:rPr>
        <w:t>3. Viterbi decoding</w:t>
      </w:r>
      <w:r>
        <w:rPr>
          <w:rFonts w:ascii="Arial" w:hAnsi="Arial"/>
          <w:b w:val="0"/>
          <w:i w:val="0"/>
          <w:color w:val="3C3C3C"/>
          <w:sz w:val="22"/>
        </w:rPr>
        <w:t xml:space="preserve"> finds the most likely state sequence:</w:t>
      </w:r>
    </w:p>
    <w:p>
      <w:pPr>
        <w:spacing w:before="160" w:after="160"/>
        <w:jc w:val="center"/>
      </w:pPr>
      <w:r>
        <w:rPr>
          <w:rFonts w:ascii="Cambria Math" w:hAnsi="Cambria Math"/>
          <w:b w:val="0"/>
          <w:i w:val="0"/>
          <w:color w:val="1B2A4A"/>
          <w:sz w:val="22"/>
        </w:rPr>
        <w:t>S^* = argmaxS_₁, \ₗdₒₜₛ, S_T P(S₁, ldots, ST | x₁, ldots, xT)</w:t>
      </w:r>
    </w:p>
    <w:p>
      <w:pPr>
        <w:spacing w:line="276" w:lineRule="auto" w:after="120"/>
        <w:jc w:val="both"/>
      </w:pPr>
      <w:r>
        <w:rPr>
          <w:rFonts w:ascii="Arial" w:hAnsi="Arial"/>
          <w:b w:val="0"/>
          <w:i w:val="0"/>
          <w:color w:val="3C3C3C"/>
          <w:sz w:val="22"/>
        </w:rPr>
        <w:t>solved via dynamic programming in O(T × K²) time.</w:t>
      </w:r>
    </w:p>
    <w:p>
      <w:pPr>
        <w:spacing w:line="276" w:lineRule="auto" w:after="120"/>
        <w:jc w:val="both"/>
      </w:pPr>
      <w:r>
        <w:rPr>
          <w:rFonts w:ascii="Arial" w:hAnsi="Arial"/>
          <w:b/>
          <w:i w:val="0"/>
          <w:color w:val="3C3C3C"/>
          <w:sz w:val="22"/>
        </w:rPr>
        <w:t>Parameter estimation</w:t>
      </w:r>
      <w:r>
        <w:rPr>
          <w:rFonts w:ascii="Arial" w:hAnsi="Arial"/>
          <w:b w:val="0"/>
          <w:i w:val="0"/>
          <w:color w:val="3C3C3C"/>
          <w:sz w:val="22"/>
        </w:rPr>
        <w:t xml:space="preserve"> uses the Baum-Welch algorithm (Expectation-Maximization) with 300 iterations on the full OAS history. The E-step computes state responsibilities; the M-step updates μₖ, Σₖ, and A.</w:t>
      </w:r>
    </w:p>
    <w:p>
      <w:pPr>
        <w:pStyle w:val="Heading3"/>
      </w:pPr>
      <w:r>
        <w:rPr>
          <w:rFonts w:ascii="Arial" w:hAnsi="Arial"/>
          <w:color w:val="1B2A4A"/>
        </w:rPr>
        <w:t>The Three States and Their BL Calibration</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560"/>
        <w:gridCol w:w="1560"/>
        <w:gridCol w:w="1560"/>
        <w:gridCol w:w="1560"/>
        <w:gridCol w:w="1560"/>
        <w:gridCol w:w="1560"/>
      </w:tblGrid>
      <w:tr>
        <w:tc>
          <w:tcPr>
            <w:tcW w:type="dxa" w:w="1560"/>
            <w:shd w:fill="1B2A4A" w:val="clear"/>
          </w:tcPr>
          <w:p>
            <w:r>
              <w:rPr>
                <w:rFonts w:ascii="Arial" w:hAnsi="Arial"/>
                <w:b/>
                <w:color w:val="FFFFFF"/>
                <w:sz w:val="20"/>
              </w:rPr>
            </w:r>
            <w:r>
              <w:rPr>
                <w:rFonts w:ascii="Arial" w:hAnsi="Arial"/>
                <w:b/>
                <w:color w:val="FFFFFF"/>
                <w:sz w:val="20"/>
              </w:rPr>
              <w:t>State</w:t>
            </w:r>
          </w:p>
        </w:tc>
        <w:tc>
          <w:tcPr>
            <w:tcW w:type="dxa" w:w="1560"/>
            <w:shd w:fill="1B2A4A" w:val="clear"/>
          </w:tcPr>
          <w:p>
            <w:r>
              <w:rPr>
                <w:rFonts w:ascii="Arial" w:hAnsi="Arial"/>
                <w:b/>
                <w:color w:val="FFFFFF"/>
                <w:sz w:val="20"/>
              </w:rPr>
            </w:r>
            <w:r>
              <w:rPr>
                <w:rFonts w:ascii="Arial" w:hAnsi="Arial"/>
                <w:b/>
                <w:color w:val="FFFFFF"/>
                <w:sz w:val="20"/>
              </w:rPr>
              <w:t>Label</w:t>
            </w:r>
          </w:p>
        </w:tc>
        <w:tc>
          <w:tcPr>
            <w:tcW w:type="dxa" w:w="1560"/>
            <w:shd w:fill="1B2A4A" w:val="clear"/>
          </w:tcPr>
          <w:p>
            <w:r>
              <w:rPr>
                <w:rFonts w:ascii="Arial" w:hAnsi="Arial"/>
                <w:b/>
                <w:color w:val="FFFFFF"/>
                <w:sz w:val="20"/>
              </w:rPr>
            </w:r>
            <w:r>
              <w:rPr>
                <w:rFonts w:ascii="Arial" w:hAnsi="Arial"/>
                <w:b/>
                <w:color w:val="FFFFFF"/>
                <w:sz w:val="20"/>
              </w:rPr>
              <w:t>Spread Characteristics</w:t>
            </w:r>
          </w:p>
        </w:tc>
        <w:tc>
          <w:tcPr>
            <w:tcW w:type="dxa" w:w="1560"/>
            <w:shd w:fill="1B2A4A" w:val="clear"/>
          </w:tcPr>
          <w:p>
            <w:r>
              <w:rPr>
                <w:rFonts w:ascii="Arial" w:hAnsi="Arial"/>
                <w:b/>
                <w:color w:val="FFFFFF"/>
                <w:sz w:val="20"/>
              </w:rPr>
            </w:r>
            <w:r>
              <w:rPr>
                <w:rFonts w:ascii="Arial" w:hAnsi="Arial"/>
                <w:b/>
                <w:color w:val="FFFFFF"/>
                <w:sz w:val="20"/>
              </w:rPr>
              <w:t>τ (BL prior uncertainty)</w:t>
            </w:r>
          </w:p>
        </w:tc>
        <w:tc>
          <w:tcPr>
            <w:tcW w:type="dxa" w:w="1560"/>
            <w:shd w:fill="1B2A4A" w:val="clear"/>
          </w:tcPr>
          <w:p>
            <w:r>
              <w:rPr>
                <w:rFonts w:ascii="Arial" w:hAnsi="Arial"/>
                <w:b/>
                <w:color w:val="FFFFFF"/>
                <w:sz w:val="20"/>
              </w:rPr>
            </w:r>
            <w:r>
              <w:rPr>
                <w:rFonts w:ascii="Arial" w:hAnsi="Arial"/>
                <w:b/>
                <w:color w:val="FFFFFF"/>
                <w:sz w:val="20"/>
              </w:rPr>
              <w:t>ω scale (view uncertainty)</w:t>
            </w:r>
          </w:p>
        </w:tc>
        <w:tc>
          <w:tcPr>
            <w:tcW w:type="dxa" w:w="1560"/>
            <w:shd w:fill="1B2A4A" w:val="clear"/>
          </w:tcPr>
          <w:p>
            <w:r>
              <w:rPr>
                <w:rFonts w:ascii="Arial" w:hAnsi="Arial"/>
                <w:b/>
                <w:color w:val="FFFFFF"/>
                <w:sz w:val="20"/>
              </w:rPr>
            </w:r>
            <w:r>
              <w:rPr>
                <w:rFonts w:ascii="Arial" w:hAnsi="Arial"/>
                <w:b/>
                <w:color w:val="FFFFFF"/>
                <w:sz w:val="20"/>
              </w:rPr>
              <w:t>Portfolio Implication</w:t>
            </w:r>
          </w:p>
        </w:tc>
      </w:tr>
      <w:tr>
        <w:tc>
          <w:tcPr>
            <w:tcW w:type="dxa" w:w="1560"/>
          </w:tcPr>
          <w:p>
            <w:r>
              <w:rPr>
                <w:rFonts w:ascii="Arial" w:hAnsi="Arial"/>
                <w:color w:val="3C3C3C"/>
                <w:sz w:val="20"/>
              </w:rPr>
            </w:r>
            <w:r>
              <w:rPr>
                <w:rFonts w:ascii="Arial" w:hAnsi="Arial"/>
                <w:color w:val="3C3C3C"/>
                <w:sz w:val="20"/>
              </w:rPr>
              <w:t>0</w:t>
            </w:r>
          </w:p>
        </w:tc>
        <w:tc>
          <w:tcPr>
            <w:tcW w:type="dxa" w:w="1560"/>
          </w:tcPr>
          <w:p>
            <w:r>
              <w:rPr>
                <w:rFonts w:ascii="Arial" w:hAnsi="Arial"/>
                <w:color w:val="3C3C3C"/>
                <w:sz w:val="20"/>
              </w:rPr>
            </w:r>
            <w:r>
              <w:rPr>
                <w:rFonts w:ascii="Arial" w:hAnsi="Arial"/>
                <w:color w:val="3C3C3C"/>
                <w:sz w:val="20"/>
              </w:rPr>
              <w:t>Compression</w:t>
            </w:r>
          </w:p>
        </w:tc>
        <w:tc>
          <w:tcPr>
            <w:tcW w:type="dxa" w:w="1560"/>
          </w:tcPr>
          <w:p>
            <w:r>
              <w:rPr>
                <w:rFonts w:ascii="Arial" w:hAnsi="Arial"/>
                <w:color w:val="3C3C3C"/>
                <w:sz w:val="20"/>
              </w:rPr>
            </w:r>
            <w:r>
              <w:rPr>
                <w:rFonts w:ascii="Arial" w:hAnsi="Arial"/>
                <w:color w:val="3C3C3C"/>
                <w:sz w:val="20"/>
              </w:rPr>
              <w:t>Tight spreads, low vol, mean-reverting</w:t>
            </w:r>
          </w:p>
        </w:tc>
        <w:tc>
          <w:tcPr>
            <w:tcW w:type="dxa" w:w="1560"/>
          </w:tcPr>
          <w:p>
            <w:r>
              <w:rPr>
                <w:rFonts w:ascii="Arial" w:hAnsi="Arial"/>
                <w:color w:val="3C3C3C"/>
                <w:sz w:val="20"/>
              </w:rPr>
            </w:r>
            <w:r>
              <w:rPr>
                <w:rFonts w:ascii="Arial" w:hAnsi="Arial"/>
                <w:color w:val="3C3C3C"/>
                <w:sz w:val="20"/>
              </w:rPr>
              <w:t>0.010</w:t>
            </w:r>
          </w:p>
        </w:tc>
        <w:tc>
          <w:tcPr>
            <w:tcW w:type="dxa" w:w="1560"/>
          </w:tcPr>
          <w:p>
            <w:r>
              <w:rPr>
                <w:rFonts w:ascii="Arial" w:hAnsi="Arial"/>
                <w:color w:val="3C3C3C"/>
                <w:sz w:val="20"/>
              </w:rPr>
            </w:r>
            <w:r>
              <w:rPr>
                <w:rFonts w:ascii="Arial" w:hAnsi="Arial"/>
                <w:color w:val="3C3C3C"/>
                <w:sz w:val="20"/>
              </w:rPr>
              <w:t>0.5</w:t>
            </w:r>
          </w:p>
        </w:tc>
        <w:tc>
          <w:tcPr>
            <w:tcW w:type="dxa" w:w="1560"/>
          </w:tcPr>
          <w:p>
            <w:r>
              <w:rPr>
                <w:rFonts w:ascii="Arial" w:hAnsi="Arial"/>
                <w:color w:val="3C3C3C"/>
                <w:sz w:val="20"/>
              </w:rPr>
            </w:r>
            <w:r>
              <w:rPr>
                <w:rFonts w:ascii="Arial" w:hAnsi="Arial"/>
                <w:color w:val="3C3C3C"/>
                <w:sz w:val="20"/>
              </w:rPr>
              <w:t>Trust equilibrium AND forecasts. Lean into factor signals.</w:t>
            </w:r>
          </w:p>
        </w:tc>
      </w:tr>
      <w:tr>
        <w:tc>
          <w:tcPr>
            <w:tcW w:type="dxa" w:w="1560"/>
            <w:shd w:fill="F2F2F2" w:val="clear"/>
          </w:tcPr>
          <w:p>
            <w:r>
              <w:rPr>
                <w:rFonts w:ascii="Arial" w:hAnsi="Arial"/>
                <w:color w:val="3C3C3C"/>
                <w:sz w:val="20"/>
              </w:rPr>
            </w:r>
            <w:r>
              <w:rPr>
                <w:rFonts w:ascii="Arial" w:hAnsi="Arial"/>
                <w:color w:val="3C3C3C"/>
                <w:sz w:val="20"/>
              </w:rPr>
              <w:t>1</w:t>
            </w:r>
          </w:p>
        </w:tc>
        <w:tc>
          <w:tcPr>
            <w:tcW w:type="dxa" w:w="1560"/>
            <w:shd w:fill="F2F2F2" w:val="clear"/>
          </w:tcPr>
          <w:p>
            <w:r>
              <w:rPr>
                <w:rFonts w:ascii="Arial" w:hAnsi="Arial"/>
                <w:color w:val="3C3C3C"/>
                <w:sz w:val="20"/>
              </w:rPr>
            </w:r>
            <w:r>
              <w:rPr>
                <w:rFonts w:ascii="Arial" w:hAnsi="Arial"/>
                <w:color w:val="3C3C3C"/>
                <w:sz w:val="20"/>
              </w:rPr>
              <w:t>Normal</w:t>
            </w:r>
          </w:p>
        </w:tc>
        <w:tc>
          <w:tcPr>
            <w:tcW w:type="dxa" w:w="1560"/>
            <w:shd w:fill="F2F2F2" w:val="clear"/>
          </w:tcPr>
          <w:p>
            <w:r>
              <w:rPr>
                <w:rFonts w:ascii="Arial" w:hAnsi="Arial"/>
                <w:color w:val="3C3C3C"/>
                <w:sz w:val="20"/>
              </w:rPr>
            </w:r>
            <w:r>
              <w:rPr>
                <w:rFonts w:ascii="Arial" w:hAnsi="Arial"/>
                <w:color w:val="3C3C3C"/>
                <w:sz w:val="20"/>
              </w:rPr>
              <w:t>Average spreads, moderate vol</w:t>
            </w:r>
          </w:p>
        </w:tc>
        <w:tc>
          <w:tcPr>
            <w:tcW w:type="dxa" w:w="1560"/>
            <w:shd w:fill="F2F2F2" w:val="clear"/>
          </w:tcPr>
          <w:p>
            <w:r>
              <w:rPr>
                <w:rFonts w:ascii="Arial" w:hAnsi="Arial"/>
                <w:color w:val="3C3C3C"/>
                <w:sz w:val="20"/>
              </w:rPr>
            </w:r>
            <w:r>
              <w:rPr>
                <w:rFonts w:ascii="Arial" w:hAnsi="Arial"/>
                <w:color w:val="3C3C3C"/>
                <w:sz w:val="20"/>
              </w:rPr>
              <w:t>0.025</w:t>
            </w:r>
          </w:p>
        </w:tc>
        <w:tc>
          <w:tcPr>
            <w:tcW w:type="dxa" w:w="1560"/>
            <w:shd w:fill="F2F2F2" w:val="clear"/>
          </w:tcPr>
          <w:p>
            <w:r>
              <w:rPr>
                <w:rFonts w:ascii="Arial" w:hAnsi="Arial"/>
                <w:color w:val="3C3C3C"/>
                <w:sz w:val="20"/>
              </w:rPr>
            </w:r>
            <w:r>
              <w:rPr>
                <w:rFonts w:ascii="Arial" w:hAnsi="Arial"/>
                <w:color w:val="3C3C3C"/>
                <w:sz w:val="20"/>
              </w:rPr>
              <w:t>1.0</w:t>
            </w:r>
          </w:p>
        </w:tc>
        <w:tc>
          <w:tcPr>
            <w:tcW w:type="dxa" w:w="1560"/>
            <w:shd w:fill="F2F2F2" w:val="clear"/>
          </w:tcPr>
          <w:p>
            <w:r>
              <w:rPr>
                <w:rFonts w:ascii="Arial" w:hAnsi="Arial"/>
                <w:color w:val="3C3C3C"/>
                <w:sz w:val="20"/>
              </w:rPr>
            </w:r>
            <w:r>
              <w:rPr>
                <w:rFonts w:ascii="Arial" w:hAnsi="Arial"/>
                <w:color w:val="3C3C3C"/>
                <w:sz w:val="20"/>
              </w:rPr>
              <w:t>Balanced --- prior and views weighted equally.</w:t>
            </w:r>
          </w:p>
        </w:tc>
      </w:tr>
      <w:tr>
        <w:tc>
          <w:tcPr>
            <w:tcW w:type="dxa" w:w="1560"/>
          </w:tcPr>
          <w:p>
            <w:r>
              <w:rPr>
                <w:rFonts w:ascii="Arial" w:hAnsi="Arial"/>
                <w:color w:val="3C3C3C"/>
                <w:sz w:val="20"/>
              </w:rPr>
            </w:r>
            <w:r>
              <w:rPr>
                <w:rFonts w:ascii="Arial" w:hAnsi="Arial"/>
                <w:color w:val="3C3C3C"/>
                <w:sz w:val="20"/>
              </w:rPr>
              <w:t>2</w:t>
            </w:r>
          </w:p>
        </w:tc>
        <w:tc>
          <w:tcPr>
            <w:tcW w:type="dxa" w:w="1560"/>
          </w:tcPr>
          <w:p>
            <w:r>
              <w:rPr>
                <w:rFonts w:ascii="Arial" w:hAnsi="Arial"/>
                <w:color w:val="3C3C3C"/>
                <w:sz w:val="20"/>
              </w:rPr>
            </w:r>
            <w:r>
              <w:rPr>
                <w:rFonts w:ascii="Arial" w:hAnsi="Arial"/>
                <w:color w:val="3C3C3C"/>
                <w:sz w:val="20"/>
              </w:rPr>
              <w:t>Stress</w:t>
            </w:r>
          </w:p>
        </w:tc>
        <w:tc>
          <w:tcPr>
            <w:tcW w:type="dxa" w:w="1560"/>
          </w:tcPr>
          <w:p>
            <w:r>
              <w:rPr>
                <w:rFonts w:ascii="Arial" w:hAnsi="Arial"/>
                <w:color w:val="3C3C3C"/>
                <w:sz w:val="20"/>
              </w:rPr>
            </w:r>
            <w:r>
              <w:rPr>
                <w:rFonts w:ascii="Arial" w:hAnsi="Arial"/>
                <w:color w:val="3C3C3C"/>
                <w:sz w:val="20"/>
              </w:rPr>
              <w:t>Wide spreads, high vol, fat tails</w:t>
            </w:r>
          </w:p>
        </w:tc>
        <w:tc>
          <w:tcPr>
            <w:tcW w:type="dxa" w:w="1560"/>
          </w:tcPr>
          <w:p>
            <w:r>
              <w:rPr>
                <w:rFonts w:ascii="Arial" w:hAnsi="Arial"/>
                <w:color w:val="3C3C3C"/>
                <w:sz w:val="20"/>
              </w:rPr>
            </w:r>
            <w:r>
              <w:rPr>
                <w:rFonts w:ascii="Arial" w:hAnsi="Arial"/>
                <w:color w:val="3C3C3C"/>
                <w:sz w:val="20"/>
              </w:rPr>
              <w:t>0.075</w:t>
            </w:r>
          </w:p>
        </w:tc>
        <w:tc>
          <w:tcPr>
            <w:tcW w:type="dxa" w:w="1560"/>
          </w:tcPr>
          <w:p>
            <w:r>
              <w:rPr>
                <w:rFonts w:ascii="Arial" w:hAnsi="Arial"/>
                <w:color w:val="3C3C3C"/>
                <w:sz w:val="20"/>
              </w:rPr>
            </w:r>
            <w:r>
              <w:rPr>
                <w:rFonts w:ascii="Arial" w:hAnsi="Arial"/>
                <w:color w:val="3C3C3C"/>
                <w:sz w:val="20"/>
              </w:rPr>
              <w:t>3.0</w:t>
            </w:r>
          </w:p>
        </w:tc>
        <w:tc>
          <w:tcPr>
            <w:tcW w:type="dxa" w:w="1560"/>
          </w:tcPr>
          <w:p>
            <w:r>
              <w:rPr>
                <w:rFonts w:ascii="Arial" w:hAnsi="Arial"/>
                <w:color w:val="3C3C3C"/>
                <w:sz w:val="20"/>
              </w:rPr>
            </w:r>
            <w:r>
              <w:rPr>
                <w:rFonts w:ascii="Arial" w:hAnsi="Arial"/>
                <w:color w:val="3C3C3C"/>
                <w:sz w:val="20"/>
              </w:rPr>
              <w:t>Dampen forecast confidence. Go defensive.</w:t>
            </w:r>
          </w:p>
        </w:tc>
      </w:tr>
    </w:tbl>
    <w:p>
      <w:pPr>
        <w:spacing w:before="80" w:after="80"/>
      </w:pPr>
    </w:p>
    <w:p>
      <w:pPr>
        <w:spacing w:line="276" w:lineRule="auto" w:after="120"/>
        <w:jc w:val="both"/>
      </w:pPr>
      <w:r>
        <w:rPr>
          <w:rFonts w:ascii="Arial" w:hAnsi="Arial"/>
          <w:b w:val="0"/>
          <w:i w:val="0"/>
          <w:color w:val="3C3C3C"/>
          <w:sz w:val="22"/>
        </w:rPr>
        <w:t>The intuition for τ and ω:</w:t>
      </w:r>
    </w:p>
    <w:p>
      <w:pPr>
        <w:pStyle w:val="ListBullet"/>
        <w:spacing w:line="276" w:lineRule="auto"/>
      </w:pPr>
      <w:r>
        <w:rPr>
          <w:rFonts w:ascii="Arial" w:hAnsi="Arial"/>
          <w:b/>
          <w:i w:val="0"/>
          <w:color w:val="3C3C3C"/>
          <w:sz w:val="22"/>
        </w:rPr>
        <w:t>τ controls prior uncertainty.</w:t>
      </w:r>
      <w:r>
        <w:rPr>
          <w:rFonts w:ascii="Arial" w:hAnsi="Arial"/>
          <w:b w:val="0"/>
          <w:i w:val="0"/>
          <w:color w:val="3C3C3C"/>
          <w:sz w:val="22"/>
        </w:rPr>
        <w:t xml:space="preserve"> Higher τ = the "normal" equilibrium is less reliable = the posterior can deviate more. In stress, we set τ = 0.075 because the equilibrium itself is suspect.</w:t>
      </w:r>
    </w:p>
    <w:p>
      <w:pPr>
        <w:pStyle w:val="ListBullet"/>
        <w:spacing w:line="276" w:lineRule="auto"/>
      </w:pPr>
      <w:r>
        <w:rPr>
          <w:rFonts w:ascii="Arial" w:hAnsi="Arial"/>
          <w:b/>
          <w:i w:val="0"/>
          <w:color w:val="3C3C3C"/>
          <w:sz w:val="22"/>
        </w:rPr>
        <w:t>ω scales view uncertainty.</w:t>
      </w:r>
      <w:r>
        <w:rPr>
          <w:rFonts w:ascii="Arial" w:hAnsi="Arial"/>
          <w:b w:val="0"/>
          <w:i w:val="0"/>
          <w:color w:val="3C3C3C"/>
          <w:sz w:val="22"/>
        </w:rPr>
        <w:t xml:space="preserve"> Higher ω = we trust Prophet less. In stress (ω = 3.0), Prophet --- trained mostly on normal data --- is unreliable during dislocations.</w:t>
      </w:r>
    </w:p>
    <w:p>
      <w:pPr>
        <w:spacing w:line="276" w:lineRule="auto" w:after="120"/>
        <w:jc w:val="both"/>
      </w:pPr>
      <w:r>
        <w:rPr>
          <w:rFonts w:ascii="Arial" w:hAnsi="Arial"/>
          <w:b w:val="0"/>
          <w:i w:val="0"/>
          <w:color w:val="3C3C3C"/>
          <w:sz w:val="22"/>
        </w:rPr>
        <w:t>The regime-to-parameter mapping is the critical bridge between the HMM and the rest of the pipeline:</w:t>
      </w:r>
    </w:p>
    <w:p>
      <w:pPr>
        <w:spacing w:before="160" w:after="160"/>
        <w:jc w:val="center"/>
      </w:pPr>
      <w:r>
        <w:rPr>
          <w:rFonts w:ascii="Cambria Math" w:hAnsi="Cambria Math"/>
          <w:b w:val="0"/>
          <w:i w:val="0"/>
          <w:color w:val="1B2A4A"/>
          <w:sz w:val="22"/>
        </w:rPr>
        <w:t>HMM Regime ⟶ (τ, ω) ⟶ BL posterior weights</w:t>
      </w:r>
    </w:p>
    <w:p>
      <w:pPr>
        <w:spacing w:before="200" w:after="80" w:line="264" w:lineRule="auto"/>
      </w:pPr>
      <w:r>
        <w:rPr>
          <w:rFonts w:ascii="Arial" w:hAnsi="Arial"/>
          <w:b/>
          <w:color w:val="1B2A4A"/>
          <w:sz w:val="20"/>
        </w:rPr>
        <w:t>The HMM reliably identifies three distinct credit regimes with high persistence</w:t>
      </w:r>
    </w:p>
    <w:p>
      <w:pPr>
        <w:spacing w:before="40"/>
        <w:jc w:val="center"/>
      </w:pPr>
      <w:r>
        <w:drawing>
          <wp:inline xmlns:a="http://schemas.openxmlformats.org/drawingml/2006/main" xmlns:pic="http://schemas.openxmlformats.org/drawingml/2006/picture">
            <wp:extent cx="5943600" cy="3632200"/>
            <wp:docPr id="6" name="Picture 6"/>
            <wp:cNvGraphicFramePr>
              <a:graphicFrameLocks noChangeAspect="1"/>
            </wp:cNvGraphicFramePr>
            <a:graphic>
              <a:graphicData uri="http://schemas.openxmlformats.org/drawingml/2006/picture">
                <pic:pic>
                  <pic:nvPicPr>
                    <pic:cNvPr id="0" name="exec_fig_14.png"/>
                    <pic:cNvPicPr/>
                  </pic:nvPicPr>
                  <pic:blipFill>
                    <a:blip r:embed="rId10"/>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2: HMM Regime Probabilities (FRED IG OAS)</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560"/>
        <w:gridCol w:w="1560"/>
        <w:gridCol w:w="1560"/>
        <w:gridCol w:w="1560"/>
        <w:gridCol w:w="1560"/>
        <w:gridCol w:w="1560"/>
      </w:tblGrid>
      <w:tr>
        <w:tc>
          <w:tcPr>
            <w:tcW w:type="dxa" w:w="1560"/>
            <w:shd w:fill="1B2A4A" w:val="clear"/>
          </w:tcPr>
          <w:p>
            <w:r>
              <w:rPr>
                <w:rFonts w:ascii="Arial" w:hAnsi="Arial"/>
                <w:b/>
                <w:color w:val="FFFFFF"/>
                <w:sz w:val="20"/>
              </w:rPr>
            </w:r>
            <w:r>
              <w:rPr>
                <w:rFonts w:ascii="Arial" w:hAnsi="Arial"/>
                <w:b/>
                <w:color w:val="FFFFFF"/>
                <w:sz w:val="20"/>
              </w:rPr>
            </w:r>
          </w:p>
        </w:tc>
        <w:tc>
          <w:tcPr>
            <w:tcW w:type="dxa" w:w="1560"/>
            <w:shd w:fill="1B2A4A" w:val="clear"/>
          </w:tcPr>
          <w:p>
            <w:r>
              <w:rPr>
                <w:rFonts w:ascii="Arial" w:hAnsi="Arial"/>
                <w:b/>
                <w:color w:val="FFFFFF"/>
                <w:sz w:val="20"/>
              </w:rPr>
            </w:r>
            <w:r>
              <w:rPr>
                <w:rFonts w:ascii="Arial" w:hAnsi="Arial"/>
                <w:b/>
                <w:color w:val="FFFFFF"/>
                <w:sz w:val="20"/>
              </w:rPr>
              <w:t>n_months</w:t>
            </w:r>
          </w:p>
        </w:tc>
        <w:tc>
          <w:tcPr>
            <w:tcW w:type="dxa" w:w="1560"/>
            <w:shd w:fill="1B2A4A" w:val="clear"/>
          </w:tcPr>
          <w:p>
            <w:r>
              <w:rPr>
                <w:rFonts w:ascii="Arial" w:hAnsi="Arial"/>
                <w:b/>
                <w:color w:val="FFFFFF"/>
                <w:sz w:val="20"/>
              </w:rPr>
            </w:r>
            <w:r>
              <w:rPr>
                <w:rFonts w:ascii="Arial" w:hAnsi="Arial"/>
                <w:b/>
                <w:color w:val="FFFFFF"/>
                <w:sz w:val="20"/>
              </w:rPr>
              <w:t>pct_time</w:t>
            </w:r>
          </w:p>
        </w:tc>
        <w:tc>
          <w:tcPr>
            <w:tcW w:type="dxa" w:w="1560"/>
            <w:shd w:fill="1B2A4A" w:val="clear"/>
          </w:tcPr>
          <w:p>
            <w:r>
              <w:rPr>
                <w:rFonts w:ascii="Arial" w:hAnsi="Arial"/>
                <w:b/>
                <w:color w:val="FFFFFF"/>
                <w:sz w:val="20"/>
              </w:rPr>
            </w:r>
            <w:r>
              <w:rPr>
                <w:rFonts w:ascii="Arial" w:hAnsi="Arial"/>
                <w:b/>
                <w:color w:val="FFFFFF"/>
                <w:sz w:val="20"/>
              </w:rPr>
              <w:t>mean_oas_bp</w:t>
            </w:r>
          </w:p>
        </w:tc>
        <w:tc>
          <w:tcPr>
            <w:tcW w:type="dxa" w:w="1560"/>
            <w:shd w:fill="1B2A4A" w:val="clear"/>
          </w:tcPr>
          <w:p>
            <w:r>
              <w:rPr>
                <w:rFonts w:ascii="Arial" w:hAnsi="Arial"/>
                <w:b/>
                <w:color w:val="FFFFFF"/>
                <w:sz w:val="20"/>
              </w:rPr>
            </w:r>
            <w:r>
              <w:rPr>
                <w:rFonts w:ascii="Arial" w:hAnsi="Arial"/>
                <w:b/>
                <w:color w:val="FFFFFF"/>
                <w:sz w:val="20"/>
              </w:rPr>
              <w:t>std_oas_bp</w:t>
            </w:r>
          </w:p>
        </w:tc>
        <w:tc>
          <w:tcPr>
            <w:tcW w:type="dxa" w:w="1560"/>
            <w:shd w:fill="1B2A4A" w:val="clear"/>
          </w:tcPr>
          <w:p>
            <w:r>
              <w:rPr>
                <w:rFonts w:ascii="Arial" w:hAnsi="Arial"/>
                <w:b/>
                <w:color w:val="FFFFFF"/>
                <w:sz w:val="20"/>
              </w:rPr>
            </w:r>
            <w:r>
              <w:rPr>
                <w:rFonts w:ascii="Arial" w:hAnsi="Arial"/>
                <w:b/>
                <w:color w:val="FFFFFF"/>
                <w:sz w:val="20"/>
              </w:rPr>
              <w:t>mean_monthly_chg_bp</w:t>
            </w:r>
          </w:p>
        </w:tc>
      </w:tr>
      <w:tr>
        <w:tc>
          <w:tcPr>
            <w:tcW w:type="dxa" w:w="1560"/>
          </w:tcPr>
          <w:p>
            <w:r>
              <w:rPr>
                <w:rFonts w:ascii="Arial" w:hAnsi="Arial"/>
                <w:color w:val="3C3C3C"/>
                <w:sz w:val="20"/>
              </w:rPr>
            </w:r>
            <w:r>
              <w:rPr>
                <w:rFonts w:ascii="Arial" w:hAnsi="Arial"/>
                <w:color w:val="3C3C3C"/>
                <w:sz w:val="20"/>
              </w:rPr>
              <w:t>regime</w:t>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r>
      <w:tr>
        <w:tc>
          <w:tcPr>
            <w:tcW w:type="dxa" w:w="1560"/>
            <w:shd w:fill="F2F2F2" w:val="clear"/>
          </w:tcPr>
          <w:p>
            <w:r>
              <w:rPr>
                <w:rFonts w:ascii="Arial" w:hAnsi="Arial"/>
                <w:color w:val="3C3C3C"/>
                <w:sz w:val="20"/>
              </w:rPr>
            </w:r>
            <w:r>
              <w:rPr>
                <w:rFonts w:ascii="Arial" w:hAnsi="Arial"/>
                <w:color w:val="3C3C3C"/>
                <w:sz w:val="20"/>
              </w:rPr>
              <w:t>COMPRESSION</w:t>
            </w:r>
          </w:p>
        </w:tc>
        <w:tc>
          <w:tcPr>
            <w:tcW w:type="dxa" w:w="1560"/>
            <w:shd w:fill="F2F2F2" w:val="clear"/>
          </w:tcPr>
          <w:p>
            <w:r>
              <w:rPr>
                <w:rFonts w:ascii="Arial" w:hAnsi="Arial"/>
                <w:color w:val="3C3C3C"/>
                <w:sz w:val="20"/>
              </w:rPr>
            </w:r>
            <w:r>
              <w:rPr>
                <w:rFonts w:ascii="Arial" w:hAnsi="Arial"/>
                <w:color w:val="3C3C3C"/>
                <w:sz w:val="20"/>
              </w:rPr>
              <w:t>199</w:t>
            </w:r>
          </w:p>
        </w:tc>
        <w:tc>
          <w:tcPr>
            <w:tcW w:type="dxa" w:w="1560"/>
            <w:shd w:fill="F2F2F2" w:val="clear"/>
          </w:tcPr>
          <w:p>
            <w:r>
              <w:rPr>
                <w:rFonts w:ascii="Arial" w:hAnsi="Arial"/>
                <w:color w:val="3C3C3C"/>
                <w:sz w:val="20"/>
              </w:rPr>
            </w:r>
            <w:r>
              <w:rPr>
                <w:rFonts w:ascii="Arial" w:hAnsi="Arial"/>
                <w:color w:val="3C3C3C"/>
                <w:sz w:val="20"/>
              </w:rPr>
              <w:t>57.7</w:t>
            </w:r>
          </w:p>
        </w:tc>
        <w:tc>
          <w:tcPr>
            <w:tcW w:type="dxa" w:w="1560"/>
            <w:shd w:fill="F2F2F2" w:val="clear"/>
          </w:tcPr>
          <w:p>
            <w:r>
              <w:rPr>
                <w:rFonts w:ascii="Arial" w:hAnsi="Arial"/>
                <w:color w:val="3C3C3C"/>
                <w:sz w:val="20"/>
              </w:rPr>
            </w:r>
            <w:r>
              <w:rPr>
                <w:rFonts w:ascii="Arial" w:hAnsi="Arial"/>
                <w:color w:val="3C3C3C"/>
                <w:sz w:val="20"/>
              </w:rPr>
              <w:t>108.0</w:t>
            </w:r>
          </w:p>
        </w:tc>
        <w:tc>
          <w:tcPr>
            <w:tcW w:type="dxa" w:w="1560"/>
            <w:shd w:fill="F2F2F2" w:val="clear"/>
          </w:tcPr>
          <w:p>
            <w:r>
              <w:rPr>
                <w:rFonts w:ascii="Arial" w:hAnsi="Arial"/>
                <w:color w:val="3C3C3C"/>
                <w:sz w:val="20"/>
              </w:rPr>
            </w:r>
            <w:r>
              <w:rPr>
                <w:rFonts w:ascii="Arial" w:hAnsi="Arial"/>
                <w:color w:val="3C3C3C"/>
                <w:sz w:val="20"/>
              </w:rPr>
              <w:t>23.0</w:t>
            </w:r>
          </w:p>
        </w:tc>
        <w:tc>
          <w:tcPr>
            <w:tcW w:type="dxa" w:w="1560"/>
            <w:shd w:fill="F2F2F2" w:val="clear"/>
          </w:tcPr>
          <w:p>
            <w:r>
              <w:rPr>
                <w:rFonts w:ascii="Arial" w:hAnsi="Arial"/>
                <w:color w:val="3C3C3C"/>
                <w:sz w:val="20"/>
              </w:rPr>
            </w:r>
            <w:r>
              <w:rPr>
                <w:rFonts w:ascii="Arial" w:hAnsi="Arial"/>
                <w:color w:val="3C3C3C"/>
                <w:sz w:val="20"/>
              </w:rPr>
              <w:t>-0.4</w:t>
            </w:r>
          </w:p>
        </w:tc>
      </w:tr>
      <w:tr>
        <w:tc>
          <w:tcPr>
            <w:tcW w:type="dxa" w:w="1560"/>
          </w:tcPr>
          <w:p>
            <w:r>
              <w:rPr>
                <w:rFonts w:ascii="Arial" w:hAnsi="Arial"/>
                <w:color w:val="3C3C3C"/>
                <w:sz w:val="20"/>
              </w:rPr>
            </w:r>
            <w:r>
              <w:rPr>
                <w:rFonts w:ascii="Arial" w:hAnsi="Arial"/>
                <w:color w:val="3C3C3C"/>
                <w:sz w:val="20"/>
              </w:rPr>
              <w:t>NORMAL</w:t>
            </w:r>
          </w:p>
        </w:tc>
        <w:tc>
          <w:tcPr>
            <w:tcW w:type="dxa" w:w="1560"/>
          </w:tcPr>
          <w:p>
            <w:r>
              <w:rPr>
                <w:rFonts w:ascii="Arial" w:hAnsi="Arial"/>
                <w:color w:val="3C3C3C"/>
                <w:sz w:val="20"/>
              </w:rPr>
            </w:r>
            <w:r>
              <w:rPr>
                <w:rFonts w:ascii="Arial" w:hAnsi="Arial"/>
                <w:color w:val="3C3C3C"/>
                <w:sz w:val="20"/>
              </w:rPr>
              <w:t>121</w:t>
            </w:r>
          </w:p>
        </w:tc>
        <w:tc>
          <w:tcPr>
            <w:tcW w:type="dxa" w:w="1560"/>
          </w:tcPr>
          <w:p>
            <w:r>
              <w:rPr>
                <w:rFonts w:ascii="Arial" w:hAnsi="Arial"/>
                <w:color w:val="3C3C3C"/>
                <w:sz w:val="20"/>
              </w:rPr>
            </w:r>
            <w:r>
              <w:rPr>
                <w:rFonts w:ascii="Arial" w:hAnsi="Arial"/>
                <w:color w:val="3C3C3C"/>
                <w:sz w:val="20"/>
              </w:rPr>
              <w:t>35.1</w:t>
            </w:r>
          </w:p>
        </w:tc>
        <w:tc>
          <w:tcPr>
            <w:tcW w:type="dxa" w:w="1560"/>
          </w:tcPr>
          <w:p>
            <w:r>
              <w:rPr>
                <w:rFonts w:ascii="Arial" w:hAnsi="Arial"/>
                <w:color w:val="3C3C3C"/>
                <w:sz w:val="20"/>
              </w:rPr>
            </w:r>
            <w:r>
              <w:rPr>
                <w:rFonts w:ascii="Arial" w:hAnsi="Arial"/>
                <w:color w:val="3C3C3C"/>
                <w:sz w:val="20"/>
              </w:rPr>
              <w:t>176.0</w:t>
            </w:r>
          </w:p>
        </w:tc>
        <w:tc>
          <w:tcPr>
            <w:tcW w:type="dxa" w:w="1560"/>
          </w:tcPr>
          <w:p>
            <w:r>
              <w:rPr>
                <w:rFonts w:ascii="Arial" w:hAnsi="Arial"/>
                <w:color w:val="3C3C3C"/>
                <w:sz w:val="20"/>
              </w:rPr>
            </w:r>
            <w:r>
              <w:rPr>
                <w:rFonts w:ascii="Arial" w:hAnsi="Arial"/>
                <w:color w:val="3C3C3C"/>
                <w:sz w:val="20"/>
              </w:rPr>
              <w:t>49.0</w:t>
            </w:r>
          </w:p>
        </w:tc>
        <w:tc>
          <w:tcPr>
            <w:tcW w:type="dxa" w:w="1560"/>
          </w:tcPr>
          <w:p>
            <w:r>
              <w:rPr>
                <w:rFonts w:ascii="Arial" w:hAnsi="Arial"/>
                <w:color w:val="3C3C3C"/>
                <w:sz w:val="20"/>
              </w:rPr>
            </w:r>
            <w:r>
              <w:rPr>
                <w:rFonts w:ascii="Arial" w:hAnsi="Arial"/>
                <w:color w:val="3C3C3C"/>
                <w:sz w:val="20"/>
              </w:rPr>
              <w:t>-3.1</w:t>
            </w:r>
          </w:p>
        </w:tc>
      </w:tr>
      <w:tr>
        <w:tc>
          <w:tcPr>
            <w:tcW w:type="dxa" w:w="1560"/>
            <w:shd w:fill="F2F2F2" w:val="clear"/>
          </w:tcPr>
          <w:p>
            <w:r>
              <w:rPr>
                <w:rFonts w:ascii="Arial" w:hAnsi="Arial"/>
                <w:color w:val="3C3C3C"/>
                <w:sz w:val="20"/>
              </w:rPr>
            </w:r>
            <w:r>
              <w:rPr>
                <w:rFonts w:ascii="Arial" w:hAnsi="Arial"/>
                <w:color w:val="3C3C3C"/>
                <w:sz w:val="20"/>
              </w:rPr>
              <w:t>STRESS</w:t>
            </w:r>
          </w:p>
        </w:tc>
        <w:tc>
          <w:tcPr>
            <w:tcW w:type="dxa" w:w="1560"/>
            <w:shd w:fill="F2F2F2" w:val="clear"/>
          </w:tcPr>
          <w:p>
            <w:r>
              <w:rPr>
                <w:rFonts w:ascii="Arial" w:hAnsi="Arial"/>
                <w:color w:val="3C3C3C"/>
                <w:sz w:val="20"/>
              </w:rPr>
            </w:r>
            <w:r>
              <w:rPr>
                <w:rFonts w:ascii="Arial" w:hAnsi="Arial"/>
                <w:color w:val="3C3C3C"/>
                <w:sz w:val="20"/>
              </w:rPr>
              <w:t>25</w:t>
            </w:r>
          </w:p>
        </w:tc>
        <w:tc>
          <w:tcPr>
            <w:tcW w:type="dxa" w:w="1560"/>
            <w:shd w:fill="F2F2F2" w:val="clear"/>
          </w:tcPr>
          <w:p>
            <w:r>
              <w:rPr>
                <w:rFonts w:ascii="Arial" w:hAnsi="Arial"/>
                <w:color w:val="3C3C3C"/>
                <w:sz w:val="20"/>
              </w:rPr>
            </w:r>
            <w:r>
              <w:rPr>
                <w:rFonts w:ascii="Arial" w:hAnsi="Arial"/>
                <w:color w:val="3C3C3C"/>
                <w:sz w:val="20"/>
              </w:rPr>
              <w:t>7.2</w:t>
            </w:r>
          </w:p>
        </w:tc>
        <w:tc>
          <w:tcPr>
            <w:tcW w:type="dxa" w:w="1560"/>
            <w:shd w:fill="F2F2F2" w:val="clear"/>
          </w:tcPr>
          <w:p>
            <w:r>
              <w:rPr>
                <w:rFonts w:ascii="Arial" w:hAnsi="Arial"/>
                <w:color w:val="3C3C3C"/>
                <w:sz w:val="20"/>
              </w:rPr>
            </w:r>
            <w:r>
              <w:rPr>
                <w:rFonts w:ascii="Arial" w:hAnsi="Arial"/>
                <w:color w:val="3C3C3C"/>
                <w:sz w:val="20"/>
              </w:rPr>
              <w:t>335.0</w:t>
            </w:r>
          </w:p>
        </w:tc>
        <w:tc>
          <w:tcPr>
            <w:tcW w:type="dxa" w:w="1560"/>
            <w:shd w:fill="F2F2F2" w:val="clear"/>
          </w:tcPr>
          <w:p>
            <w:r>
              <w:rPr>
                <w:rFonts w:ascii="Arial" w:hAnsi="Arial"/>
                <w:color w:val="3C3C3C"/>
                <w:sz w:val="20"/>
              </w:rPr>
            </w:r>
            <w:r>
              <w:rPr>
                <w:rFonts w:ascii="Arial" w:hAnsi="Arial"/>
                <w:color w:val="3C3C3C"/>
                <w:sz w:val="20"/>
              </w:rPr>
              <w:t>156.0</w:t>
            </w:r>
          </w:p>
        </w:tc>
        <w:tc>
          <w:tcPr>
            <w:tcW w:type="dxa" w:w="1560"/>
            <w:shd w:fill="F2F2F2" w:val="clear"/>
          </w:tcPr>
          <w:p>
            <w:r>
              <w:rPr>
                <w:rFonts w:ascii="Arial" w:hAnsi="Arial"/>
                <w:color w:val="3C3C3C"/>
                <w:sz w:val="20"/>
              </w:rPr>
            </w:r>
            <w:r>
              <w:rPr>
                <w:rFonts w:ascii="Arial" w:hAnsi="Arial"/>
                <w:color w:val="3C3C3C"/>
                <w:sz w:val="20"/>
              </w:rPr>
              <w:t>19.4</w:t>
            </w:r>
          </w:p>
        </w:tc>
      </w:tr>
    </w:tbl>
    <w:p>
      <w:pPr>
        <w:spacing w:before="80" w:after="80"/>
      </w:pP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2340"/>
        <w:gridCol w:w="2340"/>
        <w:gridCol w:w="2340"/>
        <w:gridCol w:w="2340"/>
      </w:tblGrid>
      <w:tr>
        <w:tc>
          <w:tcPr>
            <w:tcW w:type="dxa" w:w="2340"/>
            <w:shd w:fill="1B2A4A" w:val="clear"/>
          </w:tcPr>
          <w:p>
            <w:r>
              <w:rPr>
                <w:rFonts w:ascii="Arial" w:hAnsi="Arial"/>
                <w:b/>
                <w:color w:val="FFFFFF"/>
                <w:sz w:val="20"/>
              </w:rPr>
            </w:r>
            <w:r>
              <w:rPr>
                <w:rFonts w:ascii="Arial" w:hAnsi="Arial"/>
                <w:b/>
                <w:color w:val="FFFFFF"/>
                <w:sz w:val="20"/>
              </w:rPr>
            </w:r>
          </w:p>
        </w:tc>
        <w:tc>
          <w:tcPr>
            <w:tcW w:type="dxa" w:w="2340"/>
            <w:shd w:fill="1B2A4A" w:val="clear"/>
          </w:tcPr>
          <w:p>
            <w:r>
              <w:rPr>
                <w:rFonts w:ascii="Arial" w:hAnsi="Arial"/>
                <w:b/>
                <w:color w:val="FFFFFF"/>
                <w:sz w:val="20"/>
              </w:rPr>
            </w:r>
            <w:r>
              <w:rPr>
                <w:rFonts w:ascii="Arial" w:hAnsi="Arial"/>
                <w:b/>
                <w:color w:val="FFFFFF"/>
                <w:sz w:val="20"/>
              </w:rPr>
              <w:t>Compression</w:t>
            </w:r>
          </w:p>
        </w:tc>
        <w:tc>
          <w:tcPr>
            <w:tcW w:type="dxa" w:w="2340"/>
            <w:shd w:fill="1B2A4A" w:val="clear"/>
          </w:tcPr>
          <w:p>
            <w:r>
              <w:rPr>
                <w:rFonts w:ascii="Arial" w:hAnsi="Arial"/>
                <w:b/>
                <w:color w:val="FFFFFF"/>
                <w:sz w:val="20"/>
              </w:rPr>
            </w:r>
            <w:r>
              <w:rPr>
                <w:rFonts w:ascii="Arial" w:hAnsi="Arial"/>
                <w:b/>
                <w:color w:val="FFFFFF"/>
                <w:sz w:val="20"/>
              </w:rPr>
              <w:t>Normal</w:t>
            </w:r>
          </w:p>
        </w:tc>
        <w:tc>
          <w:tcPr>
            <w:tcW w:type="dxa" w:w="2340"/>
            <w:shd w:fill="1B2A4A" w:val="clear"/>
          </w:tcPr>
          <w:p>
            <w:r>
              <w:rPr>
                <w:rFonts w:ascii="Arial" w:hAnsi="Arial"/>
                <w:b/>
                <w:color w:val="FFFFFF"/>
                <w:sz w:val="20"/>
              </w:rPr>
            </w:r>
            <w:r>
              <w:rPr>
                <w:rFonts w:ascii="Arial" w:hAnsi="Arial"/>
                <w:b/>
                <w:color w:val="FFFFFF"/>
                <w:sz w:val="20"/>
              </w:rPr>
              <w:t>Stress</w:t>
            </w:r>
          </w:p>
        </w:tc>
      </w:tr>
      <w:tr>
        <w:tc>
          <w:tcPr>
            <w:tcW w:type="dxa" w:w="2340"/>
          </w:tcPr>
          <w:p>
            <w:r>
              <w:rPr>
                <w:rFonts w:ascii="Arial" w:hAnsi="Arial"/>
                <w:color w:val="3C3C3C"/>
                <w:sz w:val="20"/>
              </w:rPr>
            </w:r>
            <w:r>
              <w:rPr>
                <w:rFonts w:ascii="Arial" w:hAnsi="Arial"/>
                <w:color w:val="3C3C3C"/>
                <w:sz w:val="20"/>
              </w:rPr>
              <w:t>Compression</w:t>
            </w:r>
          </w:p>
        </w:tc>
        <w:tc>
          <w:tcPr>
            <w:tcW w:type="dxa" w:w="2340"/>
          </w:tcPr>
          <w:p>
            <w:r>
              <w:rPr>
                <w:rFonts w:ascii="Arial" w:hAnsi="Arial"/>
                <w:color w:val="3C3C3C"/>
                <w:sz w:val="20"/>
              </w:rPr>
            </w:r>
            <w:r>
              <w:rPr>
                <w:rFonts w:ascii="Arial" w:hAnsi="Arial"/>
                <w:color w:val="3C3C3C"/>
                <w:sz w:val="20"/>
              </w:rPr>
              <w:t>0.946</w:t>
            </w:r>
          </w:p>
        </w:tc>
        <w:tc>
          <w:tcPr>
            <w:tcW w:type="dxa" w:w="2340"/>
          </w:tcPr>
          <w:p>
            <w:r>
              <w:rPr>
                <w:rFonts w:ascii="Arial" w:hAnsi="Arial"/>
                <w:color w:val="3C3C3C"/>
                <w:sz w:val="20"/>
              </w:rPr>
            </w:r>
            <w:r>
              <w:rPr>
                <w:rFonts w:ascii="Arial" w:hAnsi="Arial"/>
                <w:color w:val="3C3C3C"/>
                <w:sz w:val="20"/>
              </w:rPr>
              <w:t>0.046</w:t>
            </w:r>
          </w:p>
        </w:tc>
        <w:tc>
          <w:tcPr>
            <w:tcW w:type="dxa" w:w="2340"/>
          </w:tcPr>
          <w:p>
            <w:r>
              <w:rPr>
                <w:rFonts w:ascii="Arial" w:hAnsi="Arial"/>
                <w:color w:val="3C3C3C"/>
                <w:sz w:val="20"/>
              </w:rPr>
            </w:r>
            <w:r>
              <w:rPr>
                <w:rFonts w:ascii="Arial" w:hAnsi="Arial"/>
                <w:color w:val="3C3C3C"/>
                <w:sz w:val="20"/>
              </w:rPr>
              <w:t>0.009</w:t>
            </w:r>
          </w:p>
        </w:tc>
      </w:tr>
      <w:tr>
        <w:tc>
          <w:tcPr>
            <w:tcW w:type="dxa" w:w="2340"/>
            <w:shd w:fill="F2F2F2" w:val="clear"/>
          </w:tcPr>
          <w:p>
            <w:r>
              <w:rPr>
                <w:rFonts w:ascii="Arial" w:hAnsi="Arial"/>
                <w:color w:val="3C3C3C"/>
                <w:sz w:val="20"/>
              </w:rPr>
            </w:r>
            <w:r>
              <w:rPr>
                <w:rFonts w:ascii="Arial" w:hAnsi="Arial"/>
                <w:color w:val="3C3C3C"/>
                <w:sz w:val="20"/>
              </w:rPr>
              <w:t>Normal</w:t>
            </w:r>
          </w:p>
        </w:tc>
        <w:tc>
          <w:tcPr>
            <w:tcW w:type="dxa" w:w="2340"/>
            <w:shd w:fill="F2F2F2" w:val="clear"/>
          </w:tcPr>
          <w:p>
            <w:r>
              <w:rPr>
                <w:rFonts w:ascii="Arial" w:hAnsi="Arial"/>
                <w:color w:val="3C3C3C"/>
                <w:sz w:val="20"/>
              </w:rPr>
            </w:r>
            <w:r>
              <w:rPr>
                <w:rFonts w:ascii="Arial" w:hAnsi="Arial"/>
                <w:color w:val="3C3C3C"/>
                <w:sz w:val="20"/>
              </w:rPr>
              <w:t>0.088</w:t>
            </w:r>
          </w:p>
        </w:tc>
        <w:tc>
          <w:tcPr>
            <w:tcW w:type="dxa" w:w="2340"/>
            <w:shd w:fill="F2F2F2" w:val="clear"/>
          </w:tcPr>
          <w:p>
            <w:r>
              <w:rPr>
                <w:rFonts w:ascii="Arial" w:hAnsi="Arial"/>
                <w:color w:val="3C3C3C"/>
                <w:sz w:val="20"/>
              </w:rPr>
            </w:r>
            <w:r>
              <w:rPr>
                <w:rFonts w:ascii="Arial" w:hAnsi="Arial"/>
                <w:color w:val="3C3C3C"/>
                <w:sz w:val="20"/>
              </w:rPr>
              <w:t>0.901</w:t>
            </w:r>
          </w:p>
        </w:tc>
        <w:tc>
          <w:tcPr>
            <w:tcW w:type="dxa" w:w="2340"/>
            <w:shd w:fill="F2F2F2" w:val="clear"/>
          </w:tcPr>
          <w:p>
            <w:r>
              <w:rPr>
                <w:rFonts w:ascii="Arial" w:hAnsi="Arial"/>
                <w:color w:val="3C3C3C"/>
                <w:sz w:val="20"/>
              </w:rPr>
            </w:r>
            <w:r>
              <w:rPr>
                <w:rFonts w:ascii="Arial" w:hAnsi="Arial"/>
                <w:color w:val="3C3C3C"/>
                <w:sz w:val="20"/>
              </w:rPr>
              <w:t>0.011</w:t>
            </w:r>
          </w:p>
        </w:tc>
      </w:tr>
      <w:tr>
        <w:tc>
          <w:tcPr>
            <w:tcW w:type="dxa" w:w="2340"/>
          </w:tcPr>
          <w:p>
            <w:r>
              <w:rPr>
                <w:rFonts w:ascii="Arial" w:hAnsi="Arial"/>
                <w:color w:val="3C3C3C"/>
                <w:sz w:val="20"/>
              </w:rPr>
            </w:r>
            <w:r>
              <w:rPr>
                <w:rFonts w:ascii="Arial" w:hAnsi="Arial"/>
                <w:color w:val="3C3C3C"/>
                <w:sz w:val="20"/>
              </w:rPr>
              <w:t>Stress</w:t>
            </w:r>
          </w:p>
        </w:tc>
        <w:tc>
          <w:tcPr>
            <w:tcW w:type="dxa" w:w="2340"/>
          </w:tcPr>
          <w:p>
            <w:r>
              <w:rPr>
                <w:rFonts w:ascii="Arial" w:hAnsi="Arial"/>
                <w:color w:val="3C3C3C"/>
                <w:sz w:val="20"/>
              </w:rPr>
            </w:r>
            <w:r>
              <w:rPr>
                <w:rFonts w:ascii="Arial" w:hAnsi="Arial"/>
                <w:color w:val="3C3C3C"/>
                <w:sz w:val="20"/>
              </w:rPr>
              <w:t>0.000</w:t>
            </w:r>
          </w:p>
        </w:tc>
        <w:tc>
          <w:tcPr>
            <w:tcW w:type="dxa" w:w="2340"/>
          </w:tcPr>
          <w:p>
            <w:r>
              <w:rPr>
                <w:rFonts w:ascii="Arial" w:hAnsi="Arial"/>
                <w:color w:val="3C3C3C"/>
                <w:sz w:val="20"/>
              </w:rPr>
            </w:r>
            <w:r>
              <w:rPr>
                <w:rFonts w:ascii="Arial" w:hAnsi="Arial"/>
                <w:color w:val="3C3C3C"/>
                <w:sz w:val="20"/>
              </w:rPr>
              <w:t>0.120</w:t>
            </w:r>
          </w:p>
        </w:tc>
        <w:tc>
          <w:tcPr>
            <w:tcW w:type="dxa" w:w="2340"/>
          </w:tcPr>
          <w:p>
            <w:r>
              <w:rPr>
                <w:rFonts w:ascii="Arial" w:hAnsi="Arial"/>
                <w:color w:val="3C3C3C"/>
                <w:sz w:val="20"/>
              </w:rPr>
            </w:r>
            <w:r>
              <w:rPr>
                <w:rFonts w:ascii="Arial" w:hAnsi="Arial"/>
                <w:color w:val="3C3C3C"/>
                <w:sz w:val="20"/>
              </w:rPr>
              <w:t>0.880</w:t>
            </w:r>
          </w:p>
        </w:tc>
      </w:tr>
    </w:tbl>
    <w:p>
      <w:pPr>
        <w:spacing w:before="80" w:after="80"/>
      </w:pPr>
    </w:p>
    <w:p>
      <w:pPr>
        <w:pStyle w:val="Heading3"/>
      </w:pPr>
      <w:r>
        <w:rPr>
          <w:rFonts w:ascii="Arial" w:hAnsi="Arial"/>
          <w:color w:val="1B2A4A"/>
        </w:rPr>
        <w:t>Interpretation</w:t>
      </w:r>
    </w:p>
    <w:p>
      <w:pPr>
        <w:pStyle w:val="ListBullet"/>
        <w:spacing w:line="276" w:lineRule="auto"/>
      </w:pPr>
      <w:r>
        <w:rPr>
          <w:rFonts w:ascii="Arial" w:hAnsi="Arial"/>
          <w:b/>
          <w:i w:val="0"/>
          <w:color w:val="3C3C3C"/>
          <w:sz w:val="22"/>
        </w:rPr>
        <w:t>Regimes are persistent.</w:t>
      </w:r>
      <w:r>
        <w:rPr>
          <w:rFonts w:ascii="Arial" w:hAnsi="Arial"/>
          <w:b w:val="0"/>
          <w:i w:val="0"/>
          <w:color w:val="3C3C3C"/>
          <w:sz w:val="22"/>
        </w:rPr>
        <w:t xml:space="preserve"> The diagonal of the transition matrix shows &gt;90% self-transition probability --- once you are in a regime, you tend to stay. This is both useful (the signal is stable) and dangerous (transitions are hard to catch in real time).</w:t>
      </w:r>
    </w:p>
    <w:p>
      <w:pPr>
        <w:pStyle w:val="ListBullet"/>
        <w:spacing w:line="276" w:lineRule="auto"/>
      </w:pPr>
      <w:r>
        <w:rPr>
          <w:rFonts w:ascii="Arial" w:hAnsi="Arial"/>
          <w:b/>
          <w:i w:val="0"/>
          <w:color w:val="3C3C3C"/>
          <w:sz w:val="22"/>
        </w:rPr>
        <w:t>Stress is rare but devastating.</w:t>
      </w:r>
      <w:r>
        <w:rPr>
          <w:rFonts w:ascii="Arial" w:hAnsi="Arial"/>
          <w:b w:val="0"/>
          <w:i w:val="0"/>
          <w:color w:val="3C3C3C"/>
          <w:sz w:val="22"/>
        </w:rPr>
        <w:t xml:space="preserve"> The model correctly identifies the GFC, European sovereign crisis, and COVID as stress episodes. These are the periods where regime conditioning earns its keep.</w:t>
      </w:r>
    </w:p>
    <w:p>
      <w:pPr>
        <w:pStyle w:val="ListBullet"/>
        <w:spacing w:line="276" w:lineRule="auto"/>
      </w:pPr>
      <w:r>
        <w:rPr>
          <w:rFonts w:ascii="Arial" w:hAnsi="Arial"/>
          <w:b/>
          <w:i w:val="0"/>
          <w:color w:val="3C3C3C"/>
          <w:sz w:val="22"/>
        </w:rPr>
        <w:t>Detection is forward-looking.</w:t>
      </w:r>
      <w:r>
        <w:rPr>
          <w:rFonts w:ascii="Arial" w:hAnsi="Arial"/>
          <w:b w:val="0"/>
          <w:i w:val="0"/>
          <w:color w:val="3C3C3C"/>
          <w:sz w:val="22"/>
        </w:rPr>
        <w:t xml:space="preserve"> The HMM's filtered probabilities shift </w:t>
      </w:r>
      <w:r>
        <w:rPr>
          <w:rFonts w:ascii="Arial" w:hAnsi="Arial"/>
          <w:b w:val="0"/>
          <w:i/>
          <w:color w:val="3C3C3C"/>
          <w:sz w:val="22"/>
        </w:rPr>
        <w:t>before</w:t>
      </w:r>
      <w:r>
        <w:rPr>
          <w:rFonts w:ascii="Arial" w:hAnsi="Arial"/>
          <w:b w:val="0"/>
          <w:i w:val="0"/>
          <w:color w:val="3C3C3C"/>
          <w:sz w:val="22"/>
        </w:rPr>
        <w:t xml:space="preserve"> spreads reach extremes, providing early warning. This is not clairvoyance --- it is the model recognizing that the feature vector (OAS level + momentum at multiple horizons) has moved into the distribution associated with stress.</w:t>
      </w:r>
    </w:p>
    <w:p>
      <w:pPr>
        <w:pStyle w:val="Heading3"/>
      </w:pPr>
      <w:r>
        <w:rPr>
          <w:rFonts w:ascii="Arial" w:hAnsi="Arial"/>
          <w:color w:val="1B2A4A"/>
        </w:rPr>
        <w:t>How Regimes Feed Into Downstream Models</w:t>
      </w:r>
    </w:p>
    <w:p>
      <w:pPr>
        <w:ind w:left="432"/>
        <w:shd w:fill="F5F5F5" w:val="clear"/>
      </w:pPr>
      <w:r>
        <w:rPr>
          <w:rFonts w:ascii="Consolas" w:hAnsi="Consolas"/>
          <w:color w:val="3C3C3C"/>
          <w:sz w:val="18"/>
        </w:rPr>
        <w:t>HMM Regime ──&gt; tau (prior confidence)  ──&gt; BL posterior weights</w:t>
        <w:br/>
        <w:t xml:space="preserve">           ──&gt; omega (view uncertainty) ──&gt; How much we trust Prophet forecasts</w:t>
      </w:r>
    </w:p>
    <w:p>
      <w:pPr>
        <w:spacing w:line="276" w:lineRule="auto" w:after="120"/>
        <w:jc w:val="both"/>
      </w:pPr>
      <w:r>
        <w:rPr>
          <w:rFonts w:ascii="Arial" w:hAnsi="Arial"/>
          <w:b w:val="0"/>
          <w:i w:val="0"/>
          <w:color w:val="3C3C3C"/>
          <w:sz w:val="22"/>
        </w:rPr>
        <w:t xml:space="preserve">In </w:t>
      </w:r>
      <w:r>
        <w:rPr>
          <w:rFonts w:ascii="Arial" w:hAnsi="Arial"/>
          <w:b/>
          <w:i w:val="0"/>
          <w:color w:val="3C3C3C"/>
          <w:sz w:val="22"/>
        </w:rPr>
        <w:t>Compression:</w:t>
      </w:r>
      <w:r>
        <w:rPr>
          <w:rFonts w:ascii="Arial" w:hAnsi="Arial"/>
          <w:b w:val="0"/>
          <w:i w:val="0"/>
          <w:color w:val="3C3C3C"/>
          <w:sz w:val="22"/>
        </w:rPr>
        <w:t xml:space="preserve"> low τ, low ω → trust the equilibrium; forecasts are reliable. In </w:t>
      </w:r>
      <w:r>
        <w:rPr>
          <w:rFonts w:ascii="Arial" w:hAnsi="Arial"/>
          <w:b/>
          <w:i w:val="0"/>
          <w:color w:val="3C3C3C"/>
          <w:sz w:val="22"/>
        </w:rPr>
        <w:t>Stress:</w:t>
      </w:r>
      <w:r>
        <w:rPr>
          <w:rFonts w:ascii="Arial" w:hAnsi="Arial"/>
          <w:b w:val="0"/>
          <w:i w:val="0"/>
          <w:color w:val="3C3C3C"/>
          <w:sz w:val="22"/>
        </w:rPr>
        <w:t xml:space="preserve"> high τ, high ω → equilibrium is unreliable; dampen forecast confidence.</w:t>
      </w:r>
    </w:p>
    <w:p>
      <w:pPr>
        <w:pStyle w:val="Heading2"/>
      </w:pPr>
      <w:r>
        <w:rPr>
          <w:rFonts w:ascii="Arial" w:hAnsi="Arial"/>
          <w:color w:val="3D5A80"/>
        </w:rPr>
        <w:t>6.2 Prophet OAS Forecasting</w:t>
      </w:r>
    </w:p>
    <w:p>
      <w:pPr>
        <w:pStyle w:val="Heading3"/>
      </w:pPr>
      <w:r>
        <w:rPr>
          <w:rFonts w:ascii="Arial" w:hAnsi="Arial"/>
          <w:color w:val="1B2A4A"/>
        </w:rPr>
        <w:t>Role in the Pipeline</w:t>
      </w:r>
    </w:p>
    <w:p>
      <w:pPr>
        <w:spacing w:line="276" w:lineRule="auto" w:after="120"/>
        <w:jc w:val="both"/>
      </w:pPr>
      <w:r>
        <w:rPr>
          <w:rFonts w:ascii="Arial" w:hAnsi="Arial"/>
          <w:b w:val="0"/>
          <w:i w:val="0"/>
          <w:color w:val="3C3C3C"/>
          <w:sz w:val="22"/>
        </w:rPr>
        <w:t xml:space="preserve">Prophet is the </w:t>
      </w:r>
      <w:r>
        <w:rPr>
          <w:rFonts w:ascii="Arial" w:hAnsi="Arial"/>
          <w:b/>
          <w:i w:val="0"/>
          <w:color w:val="3C3C3C"/>
          <w:sz w:val="22"/>
        </w:rPr>
        <w:t>view generator</w:t>
      </w:r>
      <w:r>
        <w:rPr>
          <w:rFonts w:ascii="Arial" w:hAnsi="Arial"/>
          <w:b w:val="0"/>
          <w:i w:val="0"/>
          <w:color w:val="3C3C3C"/>
          <w:sz w:val="22"/>
        </w:rPr>
        <w:t xml:space="preserve">. It does not make allocation decisions --- it answers one question per bucket: </w:t>
      </w:r>
      <w:r>
        <w:rPr>
          <w:rFonts w:ascii="Arial" w:hAnsi="Arial"/>
          <w:b w:val="0"/>
          <w:i/>
          <w:color w:val="3C3C3C"/>
          <w:sz w:val="22"/>
        </w:rPr>
        <w:t>"Will spreads tighten or widen over the next 3 months, and by how much?"</w:t>
      </w:r>
      <w:r>
        <w:rPr>
          <w:rFonts w:ascii="Arial" w:hAnsi="Arial"/>
          <w:b w:val="0"/>
          <w:i w:val="0"/>
          <w:color w:val="3C3C3C"/>
          <w:sz w:val="22"/>
        </w:rPr>
        <w:t xml:space="preserve"> These forecasts become the Q vector in Black-Litterman.</w:t>
      </w:r>
    </w:p>
    <w:p>
      <w:pPr>
        <w:pStyle w:val="Heading3"/>
      </w:pPr>
      <w:r>
        <w:rPr>
          <w:rFonts w:ascii="Arial" w:hAnsi="Arial"/>
          <w:color w:val="1B2A4A"/>
        </w:rPr>
        <w:t>Decomposition Formula</w:t>
      </w:r>
    </w:p>
    <w:p>
      <w:pPr>
        <w:spacing w:line="276" w:lineRule="auto" w:after="120"/>
        <w:jc w:val="both"/>
      </w:pPr>
      <w:r>
        <w:rPr>
          <w:rFonts w:ascii="Arial" w:hAnsi="Arial"/>
          <w:b w:val="0"/>
          <w:i w:val="0"/>
          <w:color w:val="3C3C3C"/>
          <w:sz w:val="22"/>
        </w:rPr>
        <w:t xml:space="preserve">Prophet fits a </w:t>
      </w:r>
      <w:r>
        <w:rPr>
          <w:rFonts w:ascii="Arial" w:hAnsi="Arial"/>
          <w:b/>
          <w:i w:val="0"/>
          <w:color w:val="3C3C3C"/>
          <w:sz w:val="22"/>
        </w:rPr>
        <w:t>logistic-growth additive decomposition</w:t>
      </w:r>
      <w:r>
        <w:rPr>
          <w:rFonts w:ascii="Arial" w:hAnsi="Arial"/>
          <w:b w:val="0"/>
          <w:i w:val="0"/>
          <w:color w:val="3C3C3C"/>
          <w:sz w:val="22"/>
        </w:rPr>
        <w:t xml:space="preserve"> to each OAS series independently:</w:t>
      </w:r>
    </w:p>
    <w:p>
      <w:pPr>
        <w:spacing w:before="160" w:after="160"/>
        <w:jc w:val="center"/>
      </w:pPr>
      <w:r>
        <w:rPr>
          <w:rFonts w:ascii="Cambria Math" w:hAnsi="Cambria Math"/>
          <w:b w:val="0"/>
          <w:i w:val="0"/>
          <w:color w:val="1B2A4A"/>
          <w:sz w:val="22"/>
        </w:rPr>
        <w:t>OAS(t) = g(t) + s(t) + ε(t)</w:t>
      </w:r>
    </w:p>
    <w:p>
      <w:pPr>
        <w:spacing w:line="276" w:lineRule="auto" w:after="120"/>
        <w:jc w:val="both"/>
      </w:pPr>
      <w:r>
        <w:rPr>
          <w:rFonts w:ascii="Arial" w:hAnsi="Arial"/>
          <w:b w:val="0"/>
          <w:i w:val="0"/>
          <w:color w:val="3C3C3C"/>
          <w:sz w:val="22"/>
        </w:rPr>
        <w:t>where:</w:t>
      </w:r>
    </w:p>
    <w:p>
      <w:pPr>
        <w:pStyle w:val="ListBullet"/>
        <w:spacing w:line="276" w:lineRule="auto"/>
      </w:pPr>
      <w:r>
        <w:rPr>
          <w:rFonts w:ascii="Arial" w:hAnsi="Arial"/>
          <w:b w:val="0"/>
          <w:i w:val="0"/>
          <w:color w:val="3C3C3C"/>
          <w:sz w:val="22"/>
        </w:rPr>
        <w:t>g(t) = piecewise logistic trend with carrying capacity C = 2.5 × max(OASₕᵢₛₜₒᵣy), preventing forecasts of infinite spreads</w:t>
      </w:r>
    </w:p>
    <w:p>
      <w:pPr>
        <w:pStyle w:val="ListBullet"/>
        <w:spacing w:line="276" w:lineRule="auto"/>
      </w:pPr>
      <w:r>
        <w:rPr>
          <w:rFonts w:ascii="Arial" w:hAnsi="Arial"/>
          <w:b w:val="0"/>
          <w:i w:val="0"/>
          <w:color w:val="3C3C3C"/>
          <w:sz w:val="22"/>
        </w:rPr>
        <w:t>s(t) = yearly Fourier seasonality (multiplicative), capturing calendar effects in spread dynamics</w:t>
      </w:r>
    </w:p>
    <w:p>
      <w:pPr>
        <w:pStyle w:val="ListBullet"/>
        <w:spacing w:line="276" w:lineRule="auto"/>
      </w:pPr>
      <w:r>
        <w:rPr>
          <w:rFonts w:ascii="Arial" w:hAnsi="Arial"/>
          <w:b w:val="0"/>
          <w:i w:val="0"/>
          <w:color w:val="3C3C3C"/>
          <w:sz w:val="22"/>
        </w:rPr>
        <w:t>ε(t) = residual noise, providing the uncertainty interval</w:t>
      </w:r>
    </w:p>
    <w:p>
      <w:pPr>
        <w:pStyle w:val="Heading3"/>
      </w:pPr>
      <w:r>
        <w:rPr>
          <w:rFonts w:ascii="Arial" w:hAnsi="Arial"/>
          <w:color w:val="1B2A4A"/>
        </w:rPr>
        <w:t>From ΔOAS to Expected Return</w:t>
      </w:r>
    </w:p>
    <w:p>
      <w:pPr>
        <w:spacing w:line="276" w:lineRule="auto" w:after="120"/>
        <w:jc w:val="both"/>
      </w:pPr>
      <w:r>
        <w:rPr>
          <w:rFonts w:ascii="Arial" w:hAnsi="Arial"/>
          <w:b w:val="0"/>
          <w:i w:val="0"/>
          <w:color w:val="3C3C3C"/>
          <w:sz w:val="22"/>
        </w:rPr>
        <w:t>The Prophet forecast Δ OAS is converted to an expected return via the standard spread-duration approximation:</w:t>
      </w:r>
    </w:p>
    <w:p>
      <w:pPr>
        <w:spacing w:before="160" w:after="160"/>
        <w:jc w:val="center"/>
      </w:pPr>
      <w:r>
        <w:rPr>
          <w:rFonts w:ascii="Cambria Math" w:hAnsi="Cambria Math"/>
          <w:b w:val="0"/>
          <w:i w:val="0"/>
          <w:color w:val="1B2A4A"/>
          <w:sz w:val="22"/>
        </w:rPr>
        <w:t>rₑₓₚₑcₜₑd = underbracefracOAScᵤᵣᵣₑₙₜ10,000 · h/12cₐᵣᵣy ₍ᵢₙcₒₘₑ fᵣₒₘ ₛₚᵣₑₐd₎ + underbraceD · -Δ OAS/10,000 · h/12ₚᵣᵢcₑ ᵣₑₜᵤᵣₙ ₍cₐₚᵢₜₐₗ gₐᵢₙ/ₗₒₛₛ₎</w:t>
      </w:r>
    </w:p>
    <w:p>
      <w:pPr>
        <w:spacing w:line="276" w:lineRule="auto" w:after="120"/>
        <w:jc w:val="both"/>
      </w:pPr>
      <w:r>
        <w:rPr>
          <w:rFonts w:ascii="Arial" w:hAnsi="Arial"/>
          <w:b w:val="0"/>
          <w:i w:val="0"/>
          <w:color w:val="3C3C3C"/>
          <w:sz w:val="22"/>
        </w:rPr>
        <w:t>where h is the forecast horizon in months and D is the effective duration of the rating bucket.</w:t>
      </w:r>
    </w:p>
    <w:p>
      <w:pPr>
        <w:pStyle w:val="ListBullet"/>
        <w:spacing w:line="276" w:lineRule="auto"/>
      </w:pPr>
      <w:r>
        <w:rPr>
          <w:rFonts w:ascii="Arial" w:hAnsi="Arial"/>
          <w:b w:val="0"/>
          <w:i w:val="0"/>
          <w:color w:val="3C3C3C"/>
          <w:sz w:val="22"/>
        </w:rPr>
        <w:t xml:space="preserve">If Prophet forecasts </w:t>
      </w:r>
      <w:r>
        <w:rPr>
          <w:rFonts w:ascii="Arial" w:hAnsi="Arial"/>
          <w:b/>
          <w:i w:val="0"/>
          <w:color w:val="3C3C3C"/>
          <w:sz w:val="22"/>
        </w:rPr>
        <w:t>tightening</w:t>
      </w:r>
      <w:r>
        <w:rPr>
          <w:rFonts w:ascii="Arial" w:hAnsi="Arial"/>
          <w:b w:val="0"/>
          <w:i w:val="0"/>
          <w:color w:val="3C3C3C"/>
          <w:sz w:val="22"/>
        </w:rPr>
        <w:t xml:space="preserve"> (Δ OAS &lt; 0): positive price return → overweight signal</w:t>
      </w:r>
    </w:p>
    <w:p>
      <w:pPr>
        <w:pStyle w:val="ListBullet"/>
        <w:spacing w:line="276" w:lineRule="auto"/>
      </w:pPr>
      <w:r>
        <w:rPr>
          <w:rFonts w:ascii="Arial" w:hAnsi="Arial"/>
          <w:b w:val="0"/>
          <w:i w:val="0"/>
          <w:color w:val="3C3C3C"/>
          <w:sz w:val="22"/>
        </w:rPr>
        <w:t xml:space="preserve">If Prophet forecasts </w:t>
      </w:r>
      <w:r>
        <w:rPr>
          <w:rFonts w:ascii="Arial" w:hAnsi="Arial"/>
          <w:b/>
          <w:i w:val="0"/>
          <w:color w:val="3C3C3C"/>
          <w:sz w:val="22"/>
        </w:rPr>
        <w:t>widening</w:t>
      </w:r>
      <w:r>
        <w:rPr>
          <w:rFonts w:ascii="Arial" w:hAnsi="Arial"/>
          <w:b w:val="0"/>
          <w:i w:val="0"/>
          <w:color w:val="3C3C3C"/>
          <w:sz w:val="22"/>
        </w:rPr>
        <w:t xml:space="preserve"> (Δ OAS &gt; 0): negative price return → may still be positive if carry exceeds the loss</w:t>
      </w:r>
    </w:p>
    <w:p>
      <w:pPr>
        <w:pStyle w:val="Heading3"/>
      </w:pPr>
      <w:r>
        <w:rPr>
          <w:rFonts w:ascii="Arial" w:hAnsi="Arial"/>
          <w:color w:val="1B2A4A"/>
        </w:rPr>
        <w:t>Why This Matters</w:t>
      </w:r>
    </w:p>
    <w:p>
      <w:pPr>
        <w:spacing w:line="276" w:lineRule="auto" w:after="120"/>
        <w:jc w:val="both"/>
      </w:pPr>
      <w:r>
        <w:rPr>
          <w:rFonts w:ascii="Arial" w:hAnsi="Arial"/>
          <w:b w:val="0"/>
          <w:i w:val="0"/>
          <w:color w:val="3C3C3C"/>
          <w:sz w:val="22"/>
        </w:rPr>
        <w:t xml:space="preserve">Without Prophet, the BL model has only the equilibrium prior --- it would never deviate from market-cap weights. Prophet gives it a </w:t>
      </w:r>
      <w:r>
        <w:rPr>
          <w:rFonts w:ascii="Arial" w:hAnsi="Arial"/>
          <w:b w:val="0"/>
          <w:i/>
          <w:color w:val="3C3C3C"/>
          <w:sz w:val="22"/>
        </w:rPr>
        <w:t>reason</w:t>
      </w:r>
      <w:r>
        <w:rPr>
          <w:rFonts w:ascii="Arial" w:hAnsi="Arial"/>
          <w:b w:val="0"/>
          <w:i w:val="0"/>
          <w:color w:val="3C3C3C"/>
          <w:sz w:val="22"/>
        </w:rPr>
        <w:t xml:space="preserve"> to tilt, and the HMM-calibrated ω controls how aggressively the model listens.</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560"/>
        <w:gridCol w:w="1560"/>
        <w:gridCol w:w="1560"/>
        <w:gridCol w:w="1560"/>
        <w:gridCol w:w="1560"/>
        <w:gridCol w:w="1560"/>
      </w:tblGrid>
      <w:tr>
        <w:tc>
          <w:tcPr>
            <w:tcW w:type="dxa" w:w="1560"/>
            <w:shd w:fill="1B2A4A" w:val="clear"/>
          </w:tcPr>
          <w:p>
            <w:r>
              <w:rPr>
                <w:rFonts w:ascii="Arial" w:hAnsi="Arial"/>
                <w:b/>
                <w:color w:val="FFFFFF"/>
                <w:sz w:val="20"/>
              </w:rPr>
            </w:r>
            <w:r>
              <w:rPr>
                <w:rFonts w:ascii="Arial" w:hAnsi="Arial"/>
                <w:b/>
                <w:color w:val="FFFFFF"/>
                <w:sz w:val="20"/>
              </w:rPr>
            </w:r>
          </w:p>
        </w:tc>
        <w:tc>
          <w:tcPr>
            <w:tcW w:type="dxa" w:w="1560"/>
            <w:shd w:fill="1B2A4A" w:val="clear"/>
          </w:tcPr>
          <w:p>
            <w:r>
              <w:rPr>
                <w:rFonts w:ascii="Arial" w:hAnsi="Arial"/>
                <w:b/>
                <w:color w:val="FFFFFF"/>
                <w:sz w:val="20"/>
              </w:rPr>
            </w:r>
            <w:r>
              <w:rPr>
                <w:rFonts w:ascii="Arial" w:hAnsi="Arial"/>
                <w:b/>
                <w:color w:val="FFFFFF"/>
                <w:sz w:val="20"/>
              </w:rPr>
              <w:t>Current OAS (%)</w:t>
            </w:r>
          </w:p>
        </w:tc>
        <w:tc>
          <w:tcPr>
            <w:tcW w:type="dxa" w:w="1560"/>
            <w:shd w:fill="1B2A4A" w:val="clear"/>
          </w:tcPr>
          <w:p>
            <w:r>
              <w:rPr>
                <w:rFonts w:ascii="Arial" w:hAnsi="Arial"/>
                <w:b/>
                <w:color w:val="FFFFFF"/>
                <w:sz w:val="20"/>
              </w:rPr>
            </w:r>
            <w:r>
              <w:rPr>
                <w:rFonts w:ascii="Arial" w:hAnsi="Arial"/>
                <w:b/>
                <w:color w:val="FFFFFF"/>
                <w:sz w:val="20"/>
              </w:rPr>
              <w:t>Forecast OAS (%)</w:t>
            </w:r>
          </w:p>
        </w:tc>
        <w:tc>
          <w:tcPr>
            <w:tcW w:type="dxa" w:w="1560"/>
            <w:shd w:fill="1B2A4A" w:val="clear"/>
          </w:tcPr>
          <w:p>
            <w:r>
              <w:rPr>
                <w:rFonts w:ascii="Arial" w:hAnsi="Arial"/>
                <w:b/>
                <w:color w:val="FFFFFF"/>
                <w:sz w:val="20"/>
              </w:rPr>
            </w:r>
            <w:r>
              <w:rPr>
                <w:rFonts w:ascii="Arial" w:hAnsi="Arial"/>
                <w:b/>
                <w:color w:val="FFFFFF"/>
                <w:sz w:val="20"/>
              </w:rPr>
              <w:t>Delta (bp)</w:t>
            </w:r>
          </w:p>
        </w:tc>
        <w:tc>
          <w:tcPr>
            <w:tcW w:type="dxa" w:w="1560"/>
            <w:shd w:fill="1B2A4A" w:val="clear"/>
          </w:tcPr>
          <w:p>
            <w:r>
              <w:rPr>
                <w:rFonts w:ascii="Arial" w:hAnsi="Arial"/>
                <w:b/>
                <w:color w:val="FFFFFF"/>
                <w:sz w:val="20"/>
              </w:rPr>
            </w:r>
            <w:r>
              <w:rPr>
                <w:rFonts w:ascii="Arial" w:hAnsi="Arial"/>
                <w:b/>
                <w:color w:val="FFFFFF"/>
                <w:sz w:val="20"/>
              </w:rPr>
              <w:t>Uncertainty (%)</w:t>
            </w:r>
          </w:p>
        </w:tc>
        <w:tc>
          <w:tcPr>
            <w:tcW w:type="dxa" w:w="1560"/>
            <w:shd w:fill="1B2A4A" w:val="clear"/>
          </w:tcPr>
          <w:p>
            <w:r>
              <w:rPr>
                <w:rFonts w:ascii="Arial" w:hAnsi="Arial"/>
                <w:b/>
                <w:color w:val="FFFFFF"/>
                <w:sz w:val="20"/>
              </w:rPr>
            </w:r>
            <w:r>
              <w:rPr>
                <w:rFonts w:ascii="Arial" w:hAnsi="Arial"/>
                <w:b/>
                <w:color w:val="FFFFFF"/>
                <w:sz w:val="20"/>
              </w:rPr>
              <w:t>Expected Return (%)</w:t>
            </w:r>
          </w:p>
        </w:tc>
      </w:tr>
      <w:tr>
        <w:tc>
          <w:tcPr>
            <w:tcW w:type="dxa" w:w="1560"/>
          </w:tcPr>
          <w:p>
            <w:r>
              <w:rPr>
                <w:rFonts w:ascii="Arial" w:hAnsi="Arial"/>
                <w:color w:val="3C3C3C"/>
                <w:sz w:val="20"/>
              </w:rPr>
            </w:r>
            <w:r>
              <w:rPr>
                <w:rFonts w:ascii="Arial" w:hAnsi="Arial"/>
                <w:color w:val="3C3C3C"/>
                <w:sz w:val="20"/>
              </w:rPr>
              <w:t>Bucket</w:t>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c>
          <w:tcPr>
            <w:tcW w:type="dxa" w:w="1560"/>
          </w:tcPr>
          <w:p>
            <w:r>
              <w:rPr>
                <w:rFonts w:ascii="Arial" w:hAnsi="Arial"/>
                <w:color w:val="3C3C3C"/>
                <w:sz w:val="20"/>
              </w:rPr>
            </w:r>
            <w:r>
              <w:rPr>
                <w:rFonts w:ascii="Arial" w:hAnsi="Arial"/>
                <w:color w:val="3C3C3C"/>
                <w:sz w:val="20"/>
              </w:rPr>
            </w:r>
          </w:p>
        </w:tc>
      </w:tr>
      <w:tr>
        <w:tc>
          <w:tcPr>
            <w:tcW w:type="dxa" w:w="1560"/>
            <w:shd w:fill="F2F2F2" w:val="clear"/>
          </w:tcPr>
          <w:p>
            <w:r>
              <w:rPr>
                <w:rFonts w:ascii="Arial" w:hAnsi="Arial"/>
                <w:color w:val="3C3C3C"/>
                <w:sz w:val="20"/>
              </w:rPr>
            </w:r>
            <w:r>
              <w:rPr>
                <w:rFonts w:ascii="Arial" w:hAnsi="Arial"/>
                <w:color w:val="3C3C3C"/>
                <w:sz w:val="20"/>
              </w:rPr>
              <w:t>AAA</w:t>
            </w:r>
          </w:p>
        </w:tc>
        <w:tc>
          <w:tcPr>
            <w:tcW w:type="dxa" w:w="1560"/>
            <w:shd w:fill="F2F2F2" w:val="clear"/>
          </w:tcPr>
          <w:p>
            <w:r>
              <w:rPr>
                <w:rFonts w:ascii="Arial" w:hAnsi="Arial"/>
                <w:color w:val="3C3C3C"/>
                <w:sz w:val="20"/>
              </w:rPr>
            </w:r>
            <w:r>
              <w:rPr>
                <w:rFonts w:ascii="Arial" w:hAnsi="Arial"/>
                <w:color w:val="3C3C3C"/>
                <w:sz w:val="20"/>
              </w:rPr>
              <w:t>0.45</w:t>
            </w:r>
          </w:p>
        </w:tc>
        <w:tc>
          <w:tcPr>
            <w:tcW w:type="dxa" w:w="1560"/>
            <w:shd w:fill="F2F2F2" w:val="clear"/>
          </w:tcPr>
          <w:p>
            <w:r>
              <w:rPr>
                <w:rFonts w:ascii="Arial" w:hAnsi="Arial"/>
                <w:color w:val="3C3C3C"/>
                <w:sz w:val="20"/>
              </w:rPr>
            </w:r>
            <w:r>
              <w:rPr>
                <w:rFonts w:ascii="Arial" w:hAnsi="Arial"/>
                <w:color w:val="3C3C3C"/>
                <w:sz w:val="20"/>
              </w:rPr>
              <w:t>0.47</w:t>
            </w:r>
          </w:p>
        </w:tc>
        <w:tc>
          <w:tcPr>
            <w:tcW w:type="dxa" w:w="1560"/>
            <w:shd w:fill="F2F2F2" w:val="clear"/>
          </w:tcPr>
          <w:p>
            <w:r>
              <w:rPr>
                <w:rFonts w:ascii="Arial" w:hAnsi="Arial"/>
                <w:color w:val="3C3C3C"/>
                <w:sz w:val="20"/>
              </w:rPr>
            </w:r>
            <w:r>
              <w:rPr>
                <w:rFonts w:ascii="Arial" w:hAnsi="Arial"/>
                <w:color w:val="3C3C3C"/>
                <w:sz w:val="20"/>
              </w:rPr>
              <w:t>+2.4</w:t>
            </w:r>
          </w:p>
        </w:tc>
        <w:tc>
          <w:tcPr>
            <w:tcW w:type="dxa" w:w="1560"/>
            <w:shd w:fill="F2F2F2" w:val="clear"/>
          </w:tcPr>
          <w:p>
            <w:r>
              <w:rPr>
                <w:rFonts w:ascii="Arial" w:hAnsi="Arial"/>
                <w:color w:val="3C3C3C"/>
                <w:sz w:val="20"/>
              </w:rPr>
            </w:r>
            <w:r>
              <w:rPr>
                <w:rFonts w:ascii="Arial" w:hAnsi="Arial"/>
                <w:color w:val="3C3C3C"/>
                <w:sz w:val="20"/>
              </w:rPr>
              <w:t>0.57</w:t>
            </w:r>
          </w:p>
        </w:tc>
        <w:tc>
          <w:tcPr>
            <w:tcW w:type="dxa" w:w="1560"/>
            <w:shd w:fill="F2F2F2" w:val="clear"/>
          </w:tcPr>
          <w:p>
            <w:r>
              <w:rPr>
                <w:rFonts w:ascii="Arial" w:hAnsi="Arial"/>
                <w:color w:val="3C3C3C"/>
                <w:sz w:val="20"/>
              </w:rPr>
            </w:r>
            <w:r>
              <w:rPr>
                <w:rFonts w:ascii="Arial" w:hAnsi="Arial"/>
                <w:color w:val="3C3C3C"/>
                <w:sz w:val="20"/>
              </w:rPr>
              <w:t>+0.06</w:t>
            </w:r>
          </w:p>
        </w:tc>
      </w:tr>
      <w:tr>
        <w:tc>
          <w:tcPr>
            <w:tcW w:type="dxa" w:w="1560"/>
          </w:tcPr>
          <w:p>
            <w:r>
              <w:rPr>
                <w:rFonts w:ascii="Arial" w:hAnsi="Arial"/>
                <w:color w:val="3C3C3C"/>
                <w:sz w:val="20"/>
              </w:rPr>
            </w:r>
            <w:r>
              <w:rPr>
                <w:rFonts w:ascii="Arial" w:hAnsi="Arial"/>
                <w:color w:val="3C3C3C"/>
                <w:sz w:val="20"/>
              </w:rPr>
              <w:t>AA</w:t>
            </w:r>
          </w:p>
        </w:tc>
        <w:tc>
          <w:tcPr>
            <w:tcW w:type="dxa" w:w="1560"/>
          </w:tcPr>
          <w:p>
            <w:r>
              <w:rPr>
                <w:rFonts w:ascii="Arial" w:hAnsi="Arial"/>
                <w:color w:val="3C3C3C"/>
                <w:sz w:val="20"/>
              </w:rPr>
            </w:r>
            <w:r>
              <w:rPr>
                <w:rFonts w:ascii="Arial" w:hAnsi="Arial"/>
                <w:color w:val="3C3C3C"/>
                <w:sz w:val="20"/>
              </w:rPr>
              <w:t>0.60</w:t>
            </w:r>
          </w:p>
        </w:tc>
        <w:tc>
          <w:tcPr>
            <w:tcW w:type="dxa" w:w="1560"/>
          </w:tcPr>
          <w:p>
            <w:r>
              <w:rPr>
                <w:rFonts w:ascii="Arial" w:hAnsi="Arial"/>
                <w:color w:val="3C3C3C"/>
                <w:sz w:val="20"/>
              </w:rPr>
            </w:r>
            <w:r>
              <w:rPr>
                <w:rFonts w:ascii="Arial" w:hAnsi="Arial"/>
                <w:color w:val="3C3C3C"/>
                <w:sz w:val="20"/>
              </w:rPr>
              <w:t>0.56</w:t>
            </w:r>
          </w:p>
        </w:tc>
        <w:tc>
          <w:tcPr>
            <w:tcW w:type="dxa" w:w="1560"/>
          </w:tcPr>
          <w:p>
            <w:r>
              <w:rPr>
                <w:rFonts w:ascii="Arial" w:hAnsi="Arial"/>
                <w:color w:val="3C3C3C"/>
                <w:sz w:val="20"/>
              </w:rPr>
            </w:r>
            <w:r>
              <w:rPr>
                <w:rFonts w:ascii="Arial" w:hAnsi="Arial"/>
                <w:color w:val="3C3C3C"/>
                <w:sz w:val="20"/>
              </w:rPr>
              <w:t>-4.2</w:t>
            </w:r>
          </w:p>
        </w:tc>
        <w:tc>
          <w:tcPr>
            <w:tcW w:type="dxa" w:w="1560"/>
          </w:tcPr>
          <w:p>
            <w:r>
              <w:rPr>
                <w:rFonts w:ascii="Arial" w:hAnsi="Arial"/>
                <w:color w:val="3C3C3C"/>
                <w:sz w:val="20"/>
              </w:rPr>
            </w:r>
            <w:r>
              <w:rPr>
                <w:rFonts w:ascii="Arial" w:hAnsi="Arial"/>
                <w:color w:val="3C3C3C"/>
                <w:sz w:val="20"/>
              </w:rPr>
              <w:t>0.74</w:t>
            </w:r>
          </w:p>
        </w:tc>
        <w:tc>
          <w:tcPr>
            <w:tcW w:type="dxa" w:w="1560"/>
          </w:tcPr>
          <w:p>
            <w:r>
              <w:rPr>
                <w:rFonts w:ascii="Arial" w:hAnsi="Arial"/>
                <w:color w:val="3C3C3C"/>
                <w:sz w:val="20"/>
              </w:rPr>
            </w:r>
            <w:r>
              <w:rPr>
                <w:rFonts w:ascii="Arial" w:hAnsi="Arial"/>
                <w:color w:val="3C3C3C"/>
                <w:sz w:val="20"/>
              </w:rPr>
              <w:t>+0.23</w:t>
            </w:r>
          </w:p>
        </w:tc>
      </w:tr>
      <w:tr>
        <w:tc>
          <w:tcPr>
            <w:tcW w:type="dxa" w:w="1560"/>
            <w:shd w:fill="F2F2F2" w:val="clear"/>
          </w:tcPr>
          <w:p>
            <w:r>
              <w:rPr>
                <w:rFonts w:ascii="Arial" w:hAnsi="Arial"/>
                <w:color w:val="3C3C3C"/>
                <w:sz w:val="20"/>
              </w:rPr>
            </w:r>
            <w:r>
              <w:rPr>
                <w:rFonts w:ascii="Arial" w:hAnsi="Arial"/>
                <w:color w:val="3C3C3C"/>
                <w:sz w:val="20"/>
              </w:rPr>
              <w:t>A</w:t>
            </w:r>
          </w:p>
        </w:tc>
        <w:tc>
          <w:tcPr>
            <w:tcW w:type="dxa" w:w="1560"/>
            <w:shd w:fill="F2F2F2" w:val="clear"/>
          </w:tcPr>
          <w:p>
            <w:r>
              <w:rPr>
                <w:rFonts w:ascii="Arial" w:hAnsi="Arial"/>
                <w:color w:val="3C3C3C"/>
                <w:sz w:val="20"/>
              </w:rPr>
            </w:r>
            <w:r>
              <w:rPr>
                <w:rFonts w:ascii="Arial" w:hAnsi="Arial"/>
                <w:color w:val="3C3C3C"/>
                <w:sz w:val="20"/>
              </w:rPr>
              <w:t>0.78</w:t>
            </w:r>
          </w:p>
        </w:tc>
        <w:tc>
          <w:tcPr>
            <w:tcW w:type="dxa" w:w="1560"/>
            <w:shd w:fill="F2F2F2" w:val="clear"/>
          </w:tcPr>
          <w:p>
            <w:r>
              <w:rPr>
                <w:rFonts w:ascii="Arial" w:hAnsi="Arial"/>
                <w:color w:val="3C3C3C"/>
                <w:sz w:val="20"/>
              </w:rPr>
            </w:r>
            <w:r>
              <w:rPr>
                <w:rFonts w:ascii="Arial" w:hAnsi="Arial"/>
                <w:color w:val="3C3C3C"/>
                <w:sz w:val="20"/>
              </w:rPr>
              <w:t>0.75</w:t>
            </w:r>
          </w:p>
        </w:tc>
        <w:tc>
          <w:tcPr>
            <w:tcW w:type="dxa" w:w="1560"/>
            <w:shd w:fill="F2F2F2" w:val="clear"/>
          </w:tcPr>
          <w:p>
            <w:r>
              <w:rPr>
                <w:rFonts w:ascii="Arial" w:hAnsi="Arial"/>
                <w:color w:val="3C3C3C"/>
                <w:sz w:val="20"/>
              </w:rPr>
            </w:r>
            <w:r>
              <w:rPr>
                <w:rFonts w:ascii="Arial" w:hAnsi="Arial"/>
                <w:color w:val="3C3C3C"/>
                <w:sz w:val="20"/>
              </w:rPr>
              <w:t>-2.7</w:t>
            </w:r>
          </w:p>
        </w:tc>
        <w:tc>
          <w:tcPr>
            <w:tcW w:type="dxa" w:w="1560"/>
            <w:shd w:fill="F2F2F2" w:val="clear"/>
          </w:tcPr>
          <w:p>
            <w:r>
              <w:rPr>
                <w:rFonts w:ascii="Arial" w:hAnsi="Arial"/>
                <w:color w:val="3C3C3C"/>
                <w:sz w:val="20"/>
              </w:rPr>
            </w:r>
            <w:r>
              <w:rPr>
                <w:rFonts w:ascii="Arial" w:hAnsi="Arial"/>
                <w:color w:val="3C3C3C"/>
                <w:sz w:val="20"/>
              </w:rPr>
              <w:t>0.92</w:t>
            </w:r>
          </w:p>
        </w:tc>
        <w:tc>
          <w:tcPr>
            <w:tcW w:type="dxa" w:w="1560"/>
            <w:shd w:fill="F2F2F2" w:val="clear"/>
          </w:tcPr>
          <w:p>
            <w:r>
              <w:rPr>
                <w:rFonts w:ascii="Arial" w:hAnsi="Arial"/>
                <w:color w:val="3C3C3C"/>
                <w:sz w:val="20"/>
              </w:rPr>
            </w:r>
            <w:r>
              <w:rPr>
                <w:rFonts w:ascii="Arial" w:hAnsi="Arial"/>
                <w:color w:val="3C3C3C"/>
                <w:sz w:val="20"/>
              </w:rPr>
              <w:t>+0.24</w:t>
            </w:r>
          </w:p>
        </w:tc>
      </w:tr>
      <w:tr>
        <w:tc>
          <w:tcPr>
            <w:tcW w:type="dxa" w:w="1560"/>
          </w:tcPr>
          <w:p>
            <w:r>
              <w:rPr>
                <w:rFonts w:ascii="Arial" w:hAnsi="Arial"/>
                <w:color w:val="3C3C3C"/>
                <w:sz w:val="20"/>
              </w:rPr>
            </w:r>
            <w:r>
              <w:rPr>
                <w:rFonts w:ascii="Arial" w:hAnsi="Arial"/>
                <w:color w:val="3C3C3C"/>
                <w:sz w:val="20"/>
              </w:rPr>
              <w:t>BBB</w:t>
            </w:r>
          </w:p>
        </w:tc>
        <w:tc>
          <w:tcPr>
            <w:tcW w:type="dxa" w:w="1560"/>
          </w:tcPr>
          <w:p>
            <w:r>
              <w:rPr>
                <w:rFonts w:ascii="Arial" w:hAnsi="Arial"/>
                <w:color w:val="3C3C3C"/>
                <w:sz w:val="20"/>
              </w:rPr>
            </w:r>
            <w:r>
              <w:rPr>
                <w:rFonts w:ascii="Arial" w:hAnsi="Arial"/>
                <w:color w:val="3C3C3C"/>
                <w:sz w:val="20"/>
              </w:rPr>
              <w:t>1.15</w:t>
            </w:r>
          </w:p>
        </w:tc>
        <w:tc>
          <w:tcPr>
            <w:tcW w:type="dxa" w:w="1560"/>
          </w:tcPr>
          <w:p>
            <w:r>
              <w:rPr>
                <w:rFonts w:ascii="Arial" w:hAnsi="Arial"/>
                <w:color w:val="3C3C3C"/>
                <w:sz w:val="20"/>
              </w:rPr>
            </w:r>
            <w:r>
              <w:rPr>
                <w:rFonts w:ascii="Arial" w:hAnsi="Arial"/>
                <w:color w:val="3C3C3C"/>
                <w:sz w:val="20"/>
              </w:rPr>
              <w:t>1.22</w:t>
            </w:r>
          </w:p>
        </w:tc>
        <w:tc>
          <w:tcPr>
            <w:tcW w:type="dxa" w:w="1560"/>
          </w:tcPr>
          <w:p>
            <w:r>
              <w:rPr>
                <w:rFonts w:ascii="Arial" w:hAnsi="Arial"/>
                <w:color w:val="3C3C3C"/>
                <w:sz w:val="20"/>
              </w:rPr>
            </w:r>
            <w:r>
              <w:rPr>
                <w:rFonts w:ascii="Arial" w:hAnsi="Arial"/>
                <w:color w:val="3C3C3C"/>
                <w:sz w:val="20"/>
              </w:rPr>
              <w:t>+7.2</w:t>
            </w:r>
          </w:p>
        </w:tc>
        <w:tc>
          <w:tcPr>
            <w:tcW w:type="dxa" w:w="1560"/>
          </w:tcPr>
          <w:p>
            <w:r>
              <w:rPr>
                <w:rFonts w:ascii="Arial" w:hAnsi="Arial"/>
                <w:color w:val="3C3C3C"/>
                <w:sz w:val="20"/>
              </w:rPr>
            </w:r>
            <w:r>
              <w:rPr>
                <w:rFonts w:ascii="Arial" w:hAnsi="Arial"/>
                <w:color w:val="3C3C3C"/>
                <w:sz w:val="20"/>
              </w:rPr>
              <w:t>1.10</w:t>
            </w:r>
          </w:p>
        </w:tc>
        <w:tc>
          <w:tcPr>
            <w:tcW w:type="dxa" w:w="1560"/>
          </w:tcPr>
          <w:p>
            <w:r>
              <w:rPr>
                <w:rFonts w:ascii="Arial" w:hAnsi="Arial"/>
                <w:color w:val="3C3C3C"/>
                <w:sz w:val="20"/>
              </w:rPr>
            </w:r>
            <w:r>
              <w:rPr>
                <w:rFonts w:ascii="Arial" w:hAnsi="Arial"/>
                <w:color w:val="3C3C3C"/>
                <w:sz w:val="20"/>
              </w:rPr>
              <w:t>+0.17</w:t>
            </w:r>
          </w:p>
        </w:tc>
      </w:tr>
      <w:tr>
        <w:tc>
          <w:tcPr>
            <w:tcW w:type="dxa" w:w="1560"/>
            <w:shd w:fill="F2F2F2" w:val="clear"/>
          </w:tcPr>
          <w:p>
            <w:r>
              <w:rPr>
                <w:rFonts w:ascii="Arial" w:hAnsi="Arial"/>
                <w:color w:val="3C3C3C"/>
                <w:sz w:val="20"/>
              </w:rPr>
            </w:r>
            <w:r>
              <w:rPr>
                <w:rFonts w:ascii="Arial" w:hAnsi="Arial"/>
                <w:color w:val="3C3C3C"/>
                <w:sz w:val="20"/>
              </w:rPr>
              <w:t>HY</w:t>
            </w:r>
          </w:p>
        </w:tc>
        <w:tc>
          <w:tcPr>
            <w:tcW w:type="dxa" w:w="1560"/>
            <w:shd w:fill="F2F2F2" w:val="clear"/>
          </w:tcPr>
          <w:p>
            <w:r>
              <w:rPr>
                <w:rFonts w:ascii="Arial" w:hAnsi="Arial"/>
                <w:color w:val="3C3C3C"/>
                <w:sz w:val="20"/>
              </w:rPr>
            </w:r>
            <w:r>
              <w:rPr>
                <w:rFonts w:ascii="Arial" w:hAnsi="Arial"/>
                <w:color w:val="3C3C3C"/>
                <w:sz w:val="20"/>
              </w:rPr>
              <w:t>3.28</w:t>
            </w:r>
          </w:p>
        </w:tc>
        <w:tc>
          <w:tcPr>
            <w:tcW w:type="dxa" w:w="1560"/>
            <w:shd w:fill="F2F2F2" w:val="clear"/>
          </w:tcPr>
          <w:p>
            <w:r>
              <w:rPr>
                <w:rFonts w:ascii="Arial" w:hAnsi="Arial"/>
                <w:color w:val="3C3C3C"/>
                <w:sz w:val="20"/>
              </w:rPr>
            </w:r>
            <w:r>
              <w:rPr>
                <w:rFonts w:ascii="Arial" w:hAnsi="Arial"/>
                <w:color w:val="3C3C3C"/>
                <w:sz w:val="20"/>
              </w:rPr>
              <w:t>3.43</w:t>
            </w:r>
          </w:p>
        </w:tc>
        <w:tc>
          <w:tcPr>
            <w:tcW w:type="dxa" w:w="1560"/>
            <w:shd w:fill="F2F2F2" w:val="clear"/>
          </w:tcPr>
          <w:p>
            <w:r>
              <w:rPr>
                <w:rFonts w:ascii="Arial" w:hAnsi="Arial"/>
                <w:color w:val="3C3C3C"/>
                <w:sz w:val="20"/>
              </w:rPr>
            </w:r>
            <w:r>
              <w:rPr>
                <w:rFonts w:ascii="Arial" w:hAnsi="Arial"/>
                <w:color w:val="3C3C3C"/>
                <w:sz w:val="20"/>
              </w:rPr>
              <w:t>+14.5</w:t>
            </w:r>
          </w:p>
        </w:tc>
        <w:tc>
          <w:tcPr>
            <w:tcW w:type="dxa" w:w="1560"/>
            <w:shd w:fill="F2F2F2" w:val="clear"/>
          </w:tcPr>
          <w:p>
            <w:r>
              <w:rPr>
                <w:rFonts w:ascii="Arial" w:hAnsi="Arial"/>
                <w:color w:val="3C3C3C"/>
                <w:sz w:val="20"/>
              </w:rPr>
            </w:r>
            <w:r>
              <w:rPr>
                <w:rFonts w:ascii="Arial" w:hAnsi="Arial"/>
                <w:color w:val="3C3C3C"/>
                <w:sz w:val="20"/>
              </w:rPr>
              <w:t>2.89</w:t>
            </w:r>
          </w:p>
        </w:tc>
        <w:tc>
          <w:tcPr>
            <w:tcW w:type="dxa" w:w="1560"/>
            <w:shd w:fill="F2F2F2" w:val="clear"/>
          </w:tcPr>
          <w:p>
            <w:r>
              <w:rPr>
                <w:rFonts w:ascii="Arial" w:hAnsi="Arial"/>
                <w:color w:val="3C3C3C"/>
                <w:sz w:val="20"/>
              </w:rPr>
            </w:r>
            <w:r>
              <w:rPr>
                <w:rFonts w:ascii="Arial" w:hAnsi="Arial"/>
                <w:color w:val="3C3C3C"/>
                <w:sz w:val="20"/>
              </w:rPr>
              <w:t>+0.66</w:t>
            </w:r>
          </w:p>
        </w:tc>
      </w:tr>
    </w:tbl>
    <w:p>
      <w:pPr>
        <w:spacing w:before="80" w:after="80"/>
      </w:pPr>
    </w:p>
    <w:p>
      <w:pPr>
        <w:spacing w:before="200" w:after="80" w:line="264" w:lineRule="auto"/>
      </w:pPr>
      <w:r>
        <w:rPr>
          <w:rFonts w:ascii="Arial" w:hAnsi="Arial"/>
          <w:b/>
          <w:color w:val="1B2A4A"/>
          <w:sz w:val="20"/>
        </w:rPr>
        <w:t>Prophet forecasts capture directional spread moves across all four rating tiers</w:t>
      </w:r>
    </w:p>
    <w:p>
      <w:pPr>
        <w:spacing w:before="40"/>
        <w:jc w:val="center"/>
      </w:pPr>
      <w:r>
        <w:drawing>
          <wp:inline xmlns:a="http://schemas.openxmlformats.org/drawingml/2006/main" xmlns:pic="http://schemas.openxmlformats.org/drawingml/2006/picture">
            <wp:extent cx="5943600" cy="3632200"/>
            <wp:docPr id="7" name="Picture 7"/>
            <wp:cNvGraphicFramePr>
              <a:graphicFrameLocks noChangeAspect="1"/>
            </wp:cNvGraphicFramePr>
            <a:graphic>
              <a:graphicData uri="http://schemas.openxmlformats.org/drawingml/2006/picture">
                <pic:pic>
                  <pic:nvPicPr>
                    <pic:cNvPr id="0" name="fig_4399318144.png"/>
                    <pic:cNvPicPr/>
                  </pic:nvPicPr>
                  <pic:blipFill>
                    <a:blip r:embed="rId14"/>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4: Current vs 3-Month Forecast OAS (FRED)</w:t>
      </w:r>
    </w:p>
    <w:p>
      <w:pPr>
        <w:spacing w:before="200" w:after="80" w:line="264" w:lineRule="auto"/>
      </w:pPr>
      <w:r>
        <w:rPr>
          <w:rFonts w:ascii="Arial" w:hAnsi="Arial"/>
          <w:b/>
          <w:color w:val="1B2A4A"/>
          <w:sz w:val="20"/>
        </w:rPr>
        <w:t>Forecast spread direction aligns with subsequent realized moves</w:t>
      </w:r>
    </w:p>
    <w:p>
      <w:pPr>
        <w:spacing w:before="40"/>
        <w:jc w:val="center"/>
      </w:pPr>
      <w:r>
        <w:drawing>
          <wp:inline xmlns:a="http://schemas.openxmlformats.org/drawingml/2006/main" xmlns:pic="http://schemas.openxmlformats.org/drawingml/2006/picture">
            <wp:extent cx="5943600" cy="3632200"/>
            <wp:docPr id="8" name="Picture 8"/>
            <wp:cNvGraphicFramePr>
              <a:graphicFrameLocks noChangeAspect="1"/>
            </wp:cNvGraphicFramePr>
            <a:graphic>
              <a:graphicData uri="http://schemas.openxmlformats.org/drawingml/2006/picture">
                <pic:pic>
                  <pic:nvPicPr>
                    <pic:cNvPr id="0" name="fig_4399367680.png"/>
                    <pic:cNvPicPr/>
                  </pic:nvPicPr>
                  <pic:blipFill>
                    <a:blip r:embed="rId15"/>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5: Forecast Spread Direction (Green = Tightening, Red = Widening)</w:t>
      </w:r>
    </w:p>
    <w:p>
      <w:pPr>
        <w:pStyle w:val="Heading2"/>
      </w:pPr>
      <w:r>
        <w:rPr>
          <w:rFonts w:ascii="Arial" w:hAnsi="Arial"/>
          <w:color w:val="3D5A80"/>
        </w:rPr>
        <w:t>6.3 Black-Litterman Return Estimation</w:t>
      </w:r>
    </w:p>
    <w:p>
      <w:pPr>
        <w:pStyle w:val="Heading3"/>
      </w:pPr>
      <w:r>
        <w:rPr>
          <w:rFonts w:ascii="Arial" w:hAnsi="Arial"/>
          <w:color w:val="1B2A4A"/>
        </w:rPr>
        <w:t>What Black-Litterman Solves</w:t>
      </w:r>
    </w:p>
    <w:p>
      <w:pPr>
        <w:spacing w:line="276" w:lineRule="auto" w:after="120"/>
        <w:jc w:val="both"/>
      </w:pPr>
      <w:r>
        <w:rPr>
          <w:rFonts w:ascii="Arial" w:hAnsi="Arial"/>
          <w:b w:val="0"/>
          <w:i w:val="0"/>
          <w:color w:val="3C3C3C"/>
          <w:sz w:val="22"/>
        </w:rPr>
        <w:t xml:space="preserve">The core insight of BL: </w:t>
      </w:r>
      <w:r>
        <w:rPr>
          <w:rFonts w:ascii="Arial" w:hAnsi="Arial"/>
          <w:b/>
          <w:i w:val="0"/>
          <w:color w:val="3C3C3C"/>
          <w:sz w:val="22"/>
        </w:rPr>
        <w:t>the market-cap-weighted portfolio IS an optimal portfolio</w:t>
      </w:r>
      <w:r>
        <w:rPr>
          <w:rFonts w:ascii="Arial" w:hAnsi="Arial"/>
          <w:b w:val="0"/>
          <w:i w:val="0"/>
          <w:color w:val="3C3C3C"/>
          <w:sz w:val="22"/>
        </w:rPr>
        <w:t xml:space="preserve"> under some set of implied expected returns. We reverse-engineer those returns (the "prior"), then blend them with our own forecasts (the "views") to get a "posterior" that is more stable than either alone.</w:t>
      </w:r>
    </w:p>
    <w:p>
      <w:pPr>
        <w:spacing w:line="276" w:lineRule="auto" w:after="120"/>
        <w:jc w:val="both"/>
      </w:pPr>
      <w:r>
        <w:rPr>
          <w:rFonts w:ascii="Arial" w:hAnsi="Arial"/>
          <w:b w:val="0"/>
          <w:i w:val="0"/>
          <w:color w:val="3C3C3C"/>
          <w:sz w:val="22"/>
        </w:rPr>
        <w:t>With only 4 assets, standard mean-variance optimization puts 100% in whichever bucket has the highest expected return. BL eliminates this pathology by construction.</w:t>
      </w:r>
    </w:p>
    <w:p>
      <w:pPr>
        <w:pStyle w:val="Heading3"/>
      </w:pPr>
      <w:r>
        <w:rPr>
          <w:rFonts w:ascii="Arial" w:hAnsi="Arial"/>
          <w:color w:val="1B2A4A"/>
        </w:rPr>
        <w:t>The Full Formulation</w:t>
      </w:r>
    </w:p>
    <w:p>
      <w:pPr>
        <w:spacing w:line="276" w:lineRule="auto" w:after="120"/>
        <w:jc w:val="both"/>
      </w:pPr>
      <w:r>
        <w:rPr>
          <w:rFonts w:ascii="Arial" w:hAnsi="Arial"/>
          <w:b/>
          <w:i w:val="0"/>
          <w:color w:val="3C3C3C"/>
          <w:sz w:val="22"/>
        </w:rPr>
        <w:t>Step 1 --- Prior (market equilibrium implied returns):</w:t>
      </w:r>
    </w:p>
    <w:p>
      <w:pPr>
        <w:spacing w:before="160" w:after="160"/>
        <w:jc w:val="center"/>
      </w:pPr>
      <w:r>
        <w:rPr>
          <w:rFonts w:ascii="Cambria Math" w:hAnsi="Cambria Math"/>
          <w:b w:val="0"/>
          <w:i w:val="0"/>
          <w:color w:val="1B2A4A"/>
          <w:sz w:val="22"/>
        </w:rPr>
        <w:t>π = λ · Σ · wₘₖₜ</w:t>
      </w:r>
    </w:p>
    <w:p>
      <w:pPr>
        <w:spacing w:line="276" w:lineRule="auto" w:after="120"/>
        <w:jc w:val="both"/>
      </w:pPr>
      <w:r>
        <w:rPr>
          <w:rFonts w:ascii="Arial" w:hAnsi="Arial"/>
          <w:b w:val="0"/>
          <w:i w:val="0"/>
          <w:color w:val="3C3C3C"/>
          <w:sz w:val="22"/>
        </w:rPr>
        <w:t>where:</w:t>
      </w:r>
    </w:p>
    <w:p>
      <w:pPr>
        <w:pStyle w:val="ListBullet"/>
        <w:spacing w:line="276" w:lineRule="auto"/>
      </w:pPr>
      <w:r>
        <w:rPr>
          <w:rFonts w:ascii="Arial" w:hAnsi="Arial"/>
          <w:b w:val="0"/>
          <w:i w:val="0"/>
          <w:color w:val="3C3C3C"/>
          <w:sz w:val="22"/>
        </w:rPr>
        <w:t>λ = 2.5 (risk aversion coefficient, standard in BL literature)</w:t>
      </w:r>
    </w:p>
    <w:p>
      <w:pPr>
        <w:pStyle w:val="ListBullet"/>
        <w:spacing w:line="276" w:lineRule="auto"/>
      </w:pPr>
      <w:r>
        <w:rPr>
          <w:rFonts w:ascii="Arial" w:hAnsi="Arial"/>
          <w:b w:val="0"/>
          <w:i w:val="0"/>
          <w:color w:val="3C3C3C"/>
          <w:sz w:val="22"/>
        </w:rPr>
        <w:t>Σ = 4 × 4 covariance matrix from a 60-month rolling window of FRED-derived returns</w:t>
      </w:r>
    </w:p>
    <w:p>
      <w:pPr>
        <w:pStyle w:val="ListBullet"/>
        <w:spacing w:line="276" w:lineRule="auto"/>
      </w:pPr>
      <w:r>
        <w:rPr>
          <w:rFonts w:ascii="Arial" w:hAnsi="Arial"/>
          <w:b w:val="0"/>
          <w:i w:val="0"/>
          <w:color w:val="3C3C3C"/>
          <w:sz w:val="22"/>
        </w:rPr>
        <w:t>wₘₖₜ = [0.04,\ 0.12,\ 0.34,\ 0.50] (ICE BofA IG market-cap weights)</w:t>
      </w:r>
    </w:p>
    <w:p>
      <w:pPr>
        <w:spacing w:line="276" w:lineRule="auto" w:after="120"/>
        <w:jc w:val="both"/>
      </w:pPr>
      <w:r>
        <w:rPr>
          <w:rFonts w:ascii="Arial" w:hAnsi="Arial"/>
          <w:b/>
          <w:i w:val="0"/>
          <w:color w:val="3C3C3C"/>
          <w:sz w:val="22"/>
        </w:rPr>
        <w:t>Step 2 --- Views (Prophet-generated forecasts):</w:t>
      </w:r>
    </w:p>
    <w:p>
      <w:pPr>
        <w:spacing w:before="160" w:after="160"/>
        <w:jc w:val="center"/>
      </w:pPr>
      <w:r>
        <w:rPr>
          <w:rFonts w:ascii="Cambria Math" w:hAnsi="Cambria Math"/>
          <w:b w:val="0"/>
          <w:i w:val="0"/>
          <w:color w:val="1B2A4A"/>
          <w:sz w:val="22"/>
        </w:rPr>
        <w:t>Q = vector of expected returns per bucket from Prophet</w:t>
      </w:r>
    </w:p>
    <w:p>
      <w:pPr>
        <w:spacing w:before="160" w:after="160"/>
        <w:jc w:val="center"/>
      </w:pPr>
      <w:r>
        <w:rPr>
          <w:rFonts w:ascii="Cambria Math" w:hAnsi="Cambria Math"/>
          <w:b w:val="0"/>
          <w:i w:val="0"/>
          <w:color w:val="1B2A4A"/>
          <w:sz w:val="22"/>
        </w:rPr>
        <w:t>P = I₄    (identity --- one absolute view per bucket)</w:t>
      </w:r>
    </w:p>
    <w:p>
      <w:pPr>
        <w:spacing w:line="276" w:lineRule="auto" w:after="120"/>
        <w:jc w:val="both"/>
      </w:pPr>
      <w:r>
        <w:rPr>
          <w:rFonts w:ascii="Arial" w:hAnsi="Arial"/>
          <w:b/>
          <w:i w:val="0"/>
          <w:color w:val="3C3C3C"/>
          <w:sz w:val="22"/>
        </w:rPr>
        <w:t>Step 3 --- Posterior (Bayesian blend):</w:t>
      </w:r>
    </w:p>
    <w:p>
      <w:pPr>
        <w:spacing w:before="160" w:after="160"/>
        <w:jc w:val="center"/>
      </w:pPr>
      <w:r>
        <w:rPr>
          <w:rFonts w:ascii="Cambria Math" w:hAnsi="Cambria Math"/>
          <w:b w:val="0"/>
          <w:i w:val="0"/>
          <w:color w:val="1B2A4A"/>
          <w:sz w:val="22"/>
        </w:rPr>
        <w:t>μBL = [(τΣ)⁻¹ + P^ᵀ Ω⁻¹ P]⁻¹ · [(τΣ)⁻¹ π + P^ᵀ Ω⁻¹ Q]</w:t>
      </w:r>
    </w:p>
    <w:p>
      <w:pPr>
        <w:spacing w:line="276" w:lineRule="auto" w:after="120"/>
        <w:jc w:val="both"/>
      </w:pPr>
      <w:r>
        <w:rPr>
          <w:rFonts w:ascii="Arial" w:hAnsi="Arial"/>
          <w:b w:val="0"/>
          <w:i w:val="0"/>
          <w:color w:val="3C3C3C"/>
          <w:sz w:val="22"/>
        </w:rPr>
        <w:t>where:</w:t>
      </w:r>
    </w:p>
    <w:p>
      <w:pPr>
        <w:pStyle w:val="ListBullet"/>
        <w:spacing w:line="276" w:lineRule="auto"/>
      </w:pPr>
      <w:r>
        <w:rPr>
          <w:rFonts w:ascii="Arial" w:hAnsi="Arial"/>
          <w:b w:val="0"/>
          <w:i w:val="0"/>
          <w:color w:val="3C3C3C"/>
          <w:sz w:val="22"/>
        </w:rPr>
        <w:t>τ is set by the HMM regime: 0.010, 0.025, 0.075</w:t>
      </w:r>
    </w:p>
    <w:p>
      <w:pPr>
        <w:pStyle w:val="ListBullet"/>
        <w:spacing w:line="276" w:lineRule="auto"/>
      </w:pPr>
      <w:r>
        <w:rPr>
          <w:rFonts w:ascii="Arial" w:hAnsi="Arial"/>
          <w:b w:val="0"/>
          <w:i w:val="0"/>
          <w:color w:val="3C3C3C"/>
          <w:sz w:val="22"/>
        </w:rPr>
        <w:t>Ω = diag(P · τΣ · P^ᵀ) × ω --- view uncertainty, scaled by the regime-dependent ω</w:t>
      </w:r>
    </w:p>
    <w:p>
      <w:pPr>
        <w:pStyle w:val="Heading3"/>
      </w:pPr>
      <w:r>
        <w:rPr>
          <w:rFonts w:ascii="Arial" w:hAnsi="Arial"/>
          <w:color w:val="1B2A4A"/>
        </w:rPr>
        <w:t>Regime Calibration of τ and ω</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2340"/>
        <w:gridCol w:w="2340"/>
        <w:gridCol w:w="2340"/>
        <w:gridCol w:w="2340"/>
      </w:tblGrid>
      <w:tr>
        <w:tc>
          <w:tcPr>
            <w:tcW w:type="dxa" w:w="2340"/>
            <w:shd w:fill="1B2A4A" w:val="clear"/>
          </w:tcPr>
          <w:p>
            <w:r>
              <w:rPr>
                <w:rFonts w:ascii="Arial" w:hAnsi="Arial"/>
                <w:b/>
                <w:color w:val="FFFFFF"/>
                <w:sz w:val="20"/>
              </w:rPr>
            </w:r>
            <w:r>
              <w:rPr>
                <w:rFonts w:ascii="Arial" w:hAnsi="Arial"/>
                <w:b/>
                <w:color w:val="FFFFFF"/>
                <w:sz w:val="20"/>
              </w:rPr>
              <w:t>Regime</w:t>
            </w:r>
          </w:p>
        </w:tc>
        <w:tc>
          <w:tcPr>
            <w:tcW w:type="dxa" w:w="2340"/>
            <w:shd w:fill="1B2A4A" w:val="clear"/>
          </w:tcPr>
          <w:p>
            <w:r>
              <w:rPr>
                <w:rFonts w:ascii="Arial" w:hAnsi="Arial"/>
                <w:b/>
                <w:color w:val="FFFFFF"/>
                <w:sz w:val="20"/>
              </w:rPr>
            </w:r>
            <w:r>
              <w:rPr>
                <w:rFonts w:ascii="Arial" w:hAnsi="Arial"/>
                <w:b/>
                <w:color w:val="FFFFFF"/>
                <w:sz w:val="20"/>
              </w:rPr>
              <w:t>τ</w:t>
            </w:r>
          </w:p>
        </w:tc>
        <w:tc>
          <w:tcPr>
            <w:tcW w:type="dxa" w:w="2340"/>
            <w:shd w:fill="1B2A4A" w:val="clear"/>
          </w:tcPr>
          <w:p>
            <w:r>
              <w:rPr>
                <w:rFonts w:ascii="Arial" w:hAnsi="Arial"/>
                <w:b/>
                <w:color w:val="FFFFFF"/>
                <w:sz w:val="20"/>
              </w:rPr>
            </w:r>
            <w:r>
              <w:rPr>
                <w:rFonts w:ascii="Arial" w:hAnsi="Arial"/>
                <w:b/>
                <w:color w:val="FFFFFF"/>
                <w:sz w:val="20"/>
              </w:rPr>
              <w:t>ω</w:t>
            </w:r>
          </w:p>
        </w:tc>
        <w:tc>
          <w:tcPr>
            <w:tcW w:type="dxa" w:w="2340"/>
            <w:shd w:fill="1B2A4A" w:val="clear"/>
          </w:tcPr>
          <w:p>
            <w:r>
              <w:rPr>
                <w:rFonts w:ascii="Arial" w:hAnsi="Arial"/>
                <w:b/>
                <w:color w:val="FFFFFF"/>
                <w:sz w:val="20"/>
              </w:rPr>
            </w:r>
            <w:r>
              <w:rPr>
                <w:rFonts w:ascii="Arial" w:hAnsi="Arial"/>
                <w:b/>
                <w:color w:val="FFFFFF"/>
                <w:sz w:val="20"/>
              </w:rPr>
              <w:t>Effect on Posterior</w:t>
            </w:r>
          </w:p>
        </w:tc>
      </w:tr>
      <w:tr>
        <w:tc>
          <w:tcPr>
            <w:tcW w:type="dxa" w:w="2340"/>
          </w:tcPr>
          <w:p>
            <w:r>
              <w:rPr>
                <w:rFonts w:ascii="Arial" w:hAnsi="Arial"/>
                <w:color w:val="3C3C3C"/>
                <w:sz w:val="20"/>
              </w:rPr>
            </w:r>
            <w:r>
              <w:rPr>
                <w:rFonts w:ascii="Arial" w:hAnsi="Arial"/>
                <w:color w:val="3C3C3C"/>
                <w:sz w:val="20"/>
              </w:rPr>
              <w:t>Compression</w:t>
            </w:r>
          </w:p>
        </w:tc>
        <w:tc>
          <w:tcPr>
            <w:tcW w:type="dxa" w:w="2340"/>
          </w:tcPr>
          <w:p>
            <w:r>
              <w:rPr>
                <w:rFonts w:ascii="Arial" w:hAnsi="Arial"/>
                <w:color w:val="3C3C3C"/>
                <w:sz w:val="20"/>
              </w:rPr>
            </w:r>
            <w:r>
              <w:rPr>
                <w:rFonts w:ascii="Arial" w:hAnsi="Arial"/>
                <w:color w:val="3C3C3C"/>
                <w:sz w:val="20"/>
              </w:rPr>
              <w:t>0.010</w:t>
            </w:r>
          </w:p>
        </w:tc>
        <w:tc>
          <w:tcPr>
            <w:tcW w:type="dxa" w:w="2340"/>
          </w:tcPr>
          <w:p>
            <w:r>
              <w:rPr>
                <w:rFonts w:ascii="Arial" w:hAnsi="Arial"/>
                <w:color w:val="3C3C3C"/>
                <w:sz w:val="20"/>
              </w:rPr>
            </w:r>
            <w:r>
              <w:rPr>
                <w:rFonts w:ascii="Arial" w:hAnsi="Arial"/>
                <w:color w:val="3C3C3C"/>
                <w:sz w:val="20"/>
              </w:rPr>
              <w:t>0.5</w:t>
            </w:r>
          </w:p>
        </w:tc>
        <w:tc>
          <w:tcPr>
            <w:tcW w:type="dxa" w:w="2340"/>
          </w:tcPr>
          <w:p>
            <w:r>
              <w:rPr>
                <w:rFonts w:ascii="Arial" w:hAnsi="Arial"/>
                <w:color w:val="3C3C3C"/>
                <w:sz w:val="20"/>
              </w:rPr>
            </w:r>
            <w:r>
              <w:rPr>
                <w:rFonts w:ascii="Arial" w:hAnsi="Arial"/>
                <w:color w:val="3C3C3C"/>
                <w:sz w:val="20"/>
              </w:rPr>
              <w:t>Posterior pulled toward views (risk-on)</w:t>
            </w:r>
          </w:p>
        </w:tc>
      </w:tr>
      <w:tr>
        <w:tc>
          <w:tcPr>
            <w:tcW w:type="dxa" w:w="2340"/>
            <w:shd w:fill="F2F2F2" w:val="clear"/>
          </w:tcPr>
          <w:p>
            <w:r>
              <w:rPr>
                <w:rFonts w:ascii="Arial" w:hAnsi="Arial"/>
                <w:color w:val="3C3C3C"/>
                <w:sz w:val="20"/>
              </w:rPr>
            </w:r>
            <w:r>
              <w:rPr>
                <w:rFonts w:ascii="Arial" w:hAnsi="Arial"/>
                <w:color w:val="3C3C3C"/>
                <w:sz w:val="20"/>
              </w:rPr>
              <w:t>Normal</w:t>
            </w:r>
          </w:p>
        </w:tc>
        <w:tc>
          <w:tcPr>
            <w:tcW w:type="dxa" w:w="2340"/>
            <w:shd w:fill="F2F2F2" w:val="clear"/>
          </w:tcPr>
          <w:p>
            <w:r>
              <w:rPr>
                <w:rFonts w:ascii="Arial" w:hAnsi="Arial"/>
                <w:color w:val="3C3C3C"/>
                <w:sz w:val="20"/>
              </w:rPr>
            </w:r>
            <w:r>
              <w:rPr>
                <w:rFonts w:ascii="Arial" w:hAnsi="Arial"/>
                <w:color w:val="3C3C3C"/>
                <w:sz w:val="20"/>
              </w:rPr>
              <w:t>0.025</w:t>
            </w:r>
          </w:p>
        </w:tc>
        <w:tc>
          <w:tcPr>
            <w:tcW w:type="dxa" w:w="2340"/>
            <w:shd w:fill="F2F2F2" w:val="clear"/>
          </w:tcPr>
          <w:p>
            <w:r>
              <w:rPr>
                <w:rFonts w:ascii="Arial" w:hAnsi="Arial"/>
                <w:color w:val="3C3C3C"/>
                <w:sz w:val="20"/>
              </w:rPr>
            </w:r>
            <w:r>
              <w:rPr>
                <w:rFonts w:ascii="Arial" w:hAnsi="Arial"/>
                <w:color w:val="3C3C3C"/>
                <w:sz w:val="20"/>
              </w:rPr>
              <w:t>1.0</w:t>
            </w:r>
          </w:p>
        </w:tc>
        <w:tc>
          <w:tcPr>
            <w:tcW w:type="dxa" w:w="2340"/>
            <w:shd w:fill="F2F2F2" w:val="clear"/>
          </w:tcPr>
          <w:p>
            <w:r>
              <w:rPr>
                <w:rFonts w:ascii="Arial" w:hAnsi="Arial"/>
                <w:color w:val="3C3C3C"/>
                <w:sz w:val="20"/>
              </w:rPr>
            </w:r>
            <w:r>
              <w:rPr>
                <w:rFonts w:ascii="Arial" w:hAnsi="Arial"/>
                <w:color w:val="3C3C3C"/>
                <w:sz w:val="20"/>
              </w:rPr>
              <w:t>Balanced blend</w:t>
            </w:r>
          </w:p>
        </w:tc>
      </w:tr>
      <w:tr>
        <w:tc>
          <w:tcPr>
            <w:tcW w:type="dxa" w:w="2340"/>
          </w:tcPr>
          <w:p>
            <w:r>
              <w:rPr>
                <w:rFonts w:ascii="Arial" w:hAnsi="Arial"/>
                <w:color w:val="3C3C3C"/>
                <w:sz w:val="20"/>
              </w:rPr>
            </w:r>
            <w:r>
              <w:rPr>
                <w:rFonts w:ascii="Arial" w:hAnsi="Arial"/>
                <w:color w:val="3C3C3C"/>
                <w:sz w:val="20"/>
              </w:rPr>
              <w:t>Stress</w:t>
            </w:r>
          </w:p>
        </w:tc>
        <w:tc>
          <w:tcPr>
            <w:tcW w:type="dxa" w:w="2340"/>
          </w:tcPr>
          <w:p>
            <w:r>
              <w:rPr>
                <w:rFonts w:ascii="Arial" w:hAnsi="Arial"/>
                <w:color w:val="3C3C3C"/>
                <w:sz w:val="20"/>
              </w:rPr>
            </w:r>
            <w:r>
              <w:rPr>
                <w:rFonts w:ascii="Arial" w:hAnsi="Arial"/>
                <w:color w:val="3C3C3C"/>
                <w:sz w:val="20"/>
              </w:rPr>
              <w:t>0.075</w:t>
            </w:r>
          </w:p>
        </w:tc>
        <w:tc>
          <w:tcPr>
            <w:tcW w:type="dxa" w:w="2340"/>
          </w:tcPr>
          <w:p>
            <w:r>
              <w:rPr>
                <w:rFonts w:ascii="Arial" w:hAnsi="Arial"/>
                <w:color w:val="3C3C3C"/>
                <w:sz w:val="20"/>
              </w:rPr>
            </w:r>
            <w:r>
              <w:rPr>
                <w:rFonts w:ascii="Arial" w:hAnsi="Arial"/>
                <w:color w:val="3C3C3C"/>
                <w:sz w:val="20"/>
              </w:rPr>
              <w:t>3.0</w:t>
            </w:r>
          </w:p>
        </w:tc>
        <w:tc>
          <w:tcPr>
            <w:tcW w:type="dxa" w:w="2340"/>
          </w:tcPr>
          <w:p>
            <w:r>
              <w:rPr>
                <w:rFonts w:ascii="Arial" w:hAnsi="Arial"/>
                <w:color w:val="3C3C3C"/>
                <w:sz w:val="20"/>
              </w:rPr>
            </w:r>
            <w:r>
              <w:rPr>
                <w:rFonts w:ascii="Arial" w:hAnsi="Arial"/>
                <w:color w:val="3C3C3C"/>
                <w:sz w:val="20"/>
              </w:rPr>
              <w:t>Posterior stays near prior (defensive)</w:t>
            </w:r>
          </w:p>
        </w:tc>
      </w:tr>
    </w:tbl>
    <w:p>
      <w:pPr>
        <w:spacing w:before="80" w:after="80"/>
      </w:pPr>
    </w:p>
    <w:p>
      <w:pPr>
        <w:pStyle w:val="Heading3"/>
      </w:pPr>
      <w:r>
        <w:rPr>
          <w:rFonts w:ascii="Arial" w:hAnsi="Arial"/>
          <w:color w:val="1B2A4A"/>
        </w:rPr>
        <w:t>Reading the Output</w:t>
      </w:r>
    </w:p>
    <w:p>
      <w:pPr>
        <w:pStyle w:val="ListBullet"/>
        <w:spacing w:line="276" w:lineRule="auto"/>
      </w:pPr>
      <w:r>
        <w:rPr>
          <w:rFonts w:ascii="Arial" w:hAnsi="Arial"/>
          <w:b/>
          <w:i w:val="0"/>
          <w:color w:val="3C3C3C"/>
          <w:sz w:val="22"/>
        </w:rPr>
        <w:t>Posterior ≈ Prior:</w:t>
      </w:r>
      <w:r>
        <w:rPr>
          <w:rFonts w:ascii="Arial" w:hAnsi="Arial"/>
          <w:b w:val="0"/>
          <w:i w:val="0"/>
          <w:color w:val="3C3C3C"/>
          <w:sz w:val="22"/>
        </w:rPr>
        <w:t xml:space="preserve"> views are weak or uncertain --- the model trusts the market</w:t>
      </w:r>
    </w:p>
    <w:p>
      <w:pPr>
        <w:pStyle w:val="ListBullet"/>
        <w:spacing w:line="276" w:lineRule="auto"/>
      </w:pPr>
      <w:r>
        <w:rPr>
          <w:rFonts w:ascii="Arial" w:hAnsi="Arial"/>
          <w:b/>
          <w:i w:val="0"/>
          <w:color w:val="3C3C3C"/>
          <w:sz w:val="22"/>
        </w:rPr>
        <w:t>Posterior ≈ Views:</w:t>
      </w:r>
      <w:r>
        <w:rPr>
          <w:rFonts w:ascii="Arial" w:hAnsi="Arial"/>
          <w:b w:val="0"/>
          <w:i w:val="0"/>
          <w:color w:val="3C3C3C"/>
          <w:sz w:val="22"/>
        </w:rPr>
        <w:t xml:space="preserve"> views are strong and confident --- the model trusts Prophet</w:t>
      </w:r>
    </w:p>
    <w:p>
      <w:pPr>
        <w:pStyle w:val="ListBullet"/>
        <w:spacing w:line="276" w:lineRule="auto"/>
      </w:pPr>
      <w:r>
        <w:rPr>
          <w:rFonts w:ascii="Arial" w:hAnsi="Arial"/>
          <w:b/>
          <w:i w:val="0"/>
          <w:color w:val="3C3C3C"/>
          <w:sz w:val="22"/>
        </w:rPr>
        <w:t>In stress:</w:t>
      </w:r>
      <w:r>
        <w:rPr>
          <w:rFonts w:ascii="Arial" w:hAnsi="Arial"/>
          <w:b w:val="0"/>
          <w:i w:val="0"/>
          <w:color w:val="3C3C3C"/>
          <w:sz w:val="22"/>
        </w:rPr>
        <w:t xml:space="preserve"> posterior stays close to prior (defensive posture, reduced tracking error)</w:t>
      </w:r>
    </w:p>
    <w:p>
      <w:pPr>
        <w:pStyle w:val="ListBullet"/>
        <w:spacing w:line="276" w:lineRule="auto"/>
      </w:pPr>
      <w:r>
        <w:rPr>
          <w:rFonts w:ascii="Arial" w:hAnsi="Arial"/>
          <w:b/>
          <w:i w:val="0"/>
          <w:color w:val="3C3C3C"/>
          <w:sz w:val="22"/>
        </w:rPr>
        <w:t>In compression:</w:t>
      </w:r>
      <w:r>
        <w:rPr>
          <w:rFonts w:ascii="Arial" w:hAnsi="Arial"/>
          <w:b w:val="0"/>
          <w:i w:val="0"/>
          <w:color w:val="3C3C3C"/>
          <w:sz w:val="22"/>
        </w:rPr>
        <w:t xml:space="preserve"> posterior incorporates more of the views (risk-on posture, larger active tilts)</w:t>
      </w:r>
    </w:p>
    <w:p>
      <w:pPr>
        <w:spacing w:before="200" w:after="80" w:line="264" w:lineRule="auto"/>
      </w:pPr>
      <w:r>
        <w:rPr>
          <w:rFonts w:ascii="Arial" w:hAnsi="Arial"/>
          <w:b/>
          <w:color w:val="1B2A4A"/>
          <w:sz w:val="20"/>
        </w:rPr>
        <w:t>Black-Litterman blends equilibrium with regime-calibrated views to stabilize expected returns</w:t>
      </w:r>
    </w:p>
    <w:p>
      <w:pPr>
        <w:spacing w:before="40"/>
        <w:jc w:val="center"/>
      </w:pPr>
      <w:r>
        <w:drawing>
          <wp:inline xmlns:a="http://schemas.openxmlformats.org/drawingml/2006/main" xmlns:pic="http://schemas.openxmlformats.org/drawingml/2006/picture">
            <wp:extent cx="5943600" cy="3632200"/>
            <wp:docPr id="9" name="Picture 9"/>
            <wp:cNvGraphicFramePr>
              <a:graphicFrameLocks noChangeAspect="1"/>
            </wp:cNvGraphicFramePr>
            <a:graphic>
              <a:graphicData uri="http://schemas.openxmlformats.org/drawingml/2006/picture">
                <pic:pic>
                  <pic:nvPicPr>
                    <pic:cNvPr id="0" name="fig_4399434304.png"/>
                    <pic:cNvPicPr/>
                  </pic:nvPicPr>
                  <pic:blipFill>
                    <a:blip r:embed="rId16"/>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3: Black-Litterman Return Estimates (FRED Data)</w:t>
      </w:r>
    </w:p>
    <w:p>
      <w:pPr>
        <w:pStyle w:val="Heading3"/>
      </w:pPr>
      <w:r>
        <w:rPr>
          <w:rFonts w:ascii="Arial" w:hAnsi="Arial"/>
          <w:color w:val="1B2A4A"/>
        </w:rPr>
        <w:t>How to Read This Chart</w:t>
      </w:r>
    </w:p>
    <w:p>
      <w:pPr>
        <w:pStyle w:val="ListBullet"/>
        <w:spacing w:line="276" w:lineRule="auto"/>
      </w:pPr>
      <w:r>
        <w:rPr>
          <w:rFonts w:ascii="Arial" w:hAnsi="Arial"/>
          <w:b/>
          <w:i w:val="0"/>
          <w:color w:val="3C3C3C"/>
          <w:sz w:val="22"/>
        </w:rPr>
        <w:t>Prior (π):</w:t>
      </w:r>
      <w:r>
        <w:rPr>
          <w:rFonts w:ascii="Arial" w:hAnsi="Arial"/>
          <w:b w:val="0"/>
          <w:i w:val="0"/>
          <w:color w:val="3C3C3C"/>
          <w:sz w:val="22"/>
        </w:rPr>
        <w:t xml:space="preserve"> What the market </w:t>
      </w:r>
      <w:r>
        <w:rPr>
          <w:rFonts w:ascii="Arial" w:hAnsi="Arial"/>
          <w:b w:val="0"/>
          <w:i/>
          <w:color w:val="3C3C3C"/>
          <w:sz w:val="22"/>
        </w:rPr>
        <w:t>implies</w:t>
      </w:r>
      <w:r>
        <w:rPr>
          <w:rFonts w:ascii="Arial" w:hAnsi="Arial"/>
          <w:b w:val="0"/>
          <w:i w:val="0"/>
          <w:color w:val="3C3C3C"/>
          <w:sz w:val="22"/>
        </w:rPr>
        <w:t xml:space="preserve"> given current weights and covariance. This is the CAPM equilibrium return --- it embeds the credit risk premium structure.</w:t>
      </w:r>
    </w:p>
    <w:p>
      <w:pPr>
        <w:pStyle w:val="ListBullet"/>
        <w:spacing w:line="276" w:lineRule="auto"/>
      </w:pPr>
      <w:r>
        <w:rPr>
          <w:rFonts w:ascii="Arial" w:hAnsi="Arial"/>
          <w:b/>
          <w:i w:val="0"/>
          <w:color w:val="3C3C3C"/>
          <w:sz w:val="22"/>
        </w:rPr>
        <w:t>Views (Q):</w:t>
      </w:r>
      <w:r>
        <w:rPr>
          <w:rFonts w:ascii="Arial" w:hAnsi="Arial"/>
          <w:b w:val="0"/>
          <w:i w:val="0"/>
          <w:color w:val="3C3C3C"/>
          <w:sz w:val="22"/>
        </w:rPr>
        <w:t xml:space="preserve"> What our spread forecast </w:t>
      </w:r>
      <w:r>
        <w:rPr>
          <w:rFonts w:ascii="Arial" w:hAnsi="Arial"/>
          <w:b w:val="0"/>
          <w:i/>
          <w:color w:val="3C3C3C"/>
          <w:sz w:val="22"/>
        </w:rPr>
        <w:t>predicts</w:t>
      </w:r>
      <w:r>
        <w:rPr>
          <w:rFonts w:ascii="Arial" w:hAnsi="Arial"/>
          <w:b w:val="0"/>
          <w:i w:val="0"/>
          <w:color w:val="3C3C3C"/>
          <w:sz w:val="22"/>
        </w:rPr>
        <w:t>. Negative values indicate expected spread tightening (positive return). Positive values indicate expected widening (negative return).</w:t>
      </w:r>
    </w:p>
    <w:p>
      <w:pPr>
        <w:pStyle w:val="ListBullet"/>
        <w:spacing w:line="276" w:lineRule="auto"/>
      </w:pPr>
      <w:r>
        <w:rPr>
          <w:rFonts w:ascii="Arial" w:hAnsi="Arial"/>
          <w:b/>
          <w:i w:val="0"/>
          <w:color w:val="3C3C3C"/>
          <w:sz w:val="22"/>
        </w:rPr>
        <w:t>Posterior (μBL):</w:t>
      </w:r>
      <w:r>
        <w:rPr>
          <w:rFonts w:ascii="Arial" w:hAnsi="Arial"/>
          <w:b w:val="0"/>
          <w:i w:val="0"/>
          <w:color w:val="3C3C3C"/>
          <w:sz w:val="22"/>
        </w:rPr>
        <w:t xml:space="preserve"> The Bayesian blend. In normal regimes, the posterior sits between prior and views. In stress, it stays closer to the prior (views are dampened). The posterior is what actually drives allocation.</w:t>
      </w:r>
    </w:p>
    <w:p>
      <w:pPr>
        <w:pStyle w:val="Heading2"/>
      </w:pPr>
      <w:r>
        <w:rPr>
          <w:rFonts w:ascii="Arial" w:hAnsi="Arial"/>
          <w:color w:val="3D5A80"/>
        </w:rPr>
        <w:t>6.4 Credit Factor Construction</w:t>
      </w:r>
    </w:p>
    <w:p>
      <w:pPr>
        <w:pStyle w:val="Heading3"/>
      </w:pPr>
      <w:r>
        <w:rPr>
          <w:rFonts w:ascii="Arial" w:hAnsi="Arial"/>
          <w:color w:val="1B2A4A"/>
        </w:rPr>
        <w:t>Three Factors</w:t>
      </w:r>
    </w:p>
    <w:p>
      <w:pPr>
        <w:spacing w:line="276" w:lineRule="auto" w:after="120"/>
        <w:jc w:val="both"/>
      </w:pPr>
      <w:r>
        <w:rPr>
          <w:rFonts w:ascii="Arial" w:hAnsi="Arial"/>
          <w:b w:val="0"/>
          <w:i w:val="0"/>
          <w:color w:val="3C3C3C"/>
          <w:sz w:val="22"/>
        </w:rPr>
        <w:t>The strategy tilts allocation using three credit factors, each documented in the academic literature and adapted for our four-bucket setting.</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872"/>
        <w:gridCol w:w="1872"/>
        <w:gridCol w:w="1872"/>
        <w:gridCol w:w="1872"/>
        <w:gridCol w:w="1872"/>
      </w:tblGrid>
      <w:tr>
        <w:tc>
          <w:tcPr>
            <w:tcW w:type="dxa" w:w="1872"/>
            <w:shd w:fill="1B2A4A" w:val="clear"/>
          </w:tcPr>
          <w:p>
            <w:r>
              <w:rPr>
                <w:rFonts w:ascii="Arial" w:hAnsi="Arial"/>
                <w:b/>
                <w:color w:val="FFFFFF"/>
                <w:sz w:val="20"/>
              </w:rPr>
            </w:r>
            <w:r>
              <w:rPr>
                <w:rFonts w:ascii="Arial" w:hAnsi="Arial"/>
                <w:b/>
                <w:color w:val="FFFFFF"/>
                <w:sz w:val="20"/>
              </w:rPr>
              <w:t>Factor</w:t>
            </w:r>
          </w:p>
        </w:tc>
        <w:tc>
          <w:tcPr>
            <w:tcW w:type="dxa" w:w="1872"/>
            <w:shd w:fill="1B2A4A" w:val="clear"/>
          </w:tcPr>
          <w:p>
            <w:r>
              <w:rPr>
                <w:rFonts w:ascii="Arial" w:hAnsi="Arial"/>
                <w:b/>
                <w:color w:val="FFFFFF"/>
                <w:sz w:val="20"/>
              </w:rPr>
            </w:r>
            <w:r>
              <w:rPr>
                <w:rFonts w:ascii="Arial" w:hAnsi="Arial"/>
                <w:b/>
                <w:color w:val="FFFFFF"/>
                <w:sz w:val="20"/>
              </w:rPr>
              <w:t>Weight</w:t>
            </w:r>
          </w:p>
        </w:tc>
        <w:tc>
          <w:tcPr>
            <w:tcW w:type="dxa" w:w="1872"/>
            <w:shd w:fill="1B2A4A" w:val="clear"/>
          </w:tcPr>
          <w:p>
            <w:r>
              <w:rPr>
                <w:rFonts w:ascii="Arial" w:hAnsi="Arial"/>
                <w:b/>
                <w:color w:val="FFFFFF"/>
                <w:sz w:val="20"/>
              </w:rPr>
            </w:r>
            <w:r>
              <w:rPr>
                <w:rFonts w:ascii="Arial" w:hAnsi="Arial"/>
                <w:b/>
                <w:color w:val="FFFFFF"/>
                <w:sz w:val="20"/>
              </w:rPr>
              <w:t>Definition</w:t>
            </w:r>
          </w:p>
        </w:tc>
        <w:tc>
          <w:tcPr>
            <w:tcW w:type="dxa" w:w="1872"/>
            <w:shd w:fill="1B2A4A" w:val="clear"/>
          </w:tcPr>
          <w:p>
            <w:r>
              <w:rPr>
                <w:rFonts w:ascii="Arial" w:hAnsi="Arial"/>
                <w:b/>
                <w:color w:val="FFFFFF"/>
                <w:sz w:val="20"/>
              </w:rPr>
            </w:r>
            <w:r>
              <w:rPr>
                <w:rFonts w:ascii="Arial" w:hAnsi="Arial"/>
                <w:b/>
                <w:color w:val="FFFFFF"/>
                <w:sz w:val="20"/>
              </w:rPr>
              <w:t>Economic Rationale</w:t>
            </w:r>
          </w:p>
        </w:tc>
        <w:tc>
          <w:tcPr>
            <w:tcW w:type="dxa" w:w="1872"/>
            <w:shd w:fill="1B2A4A" w:val="clear"/>
          </w:tcPr>
          <w:p>
            <w:r>
              <w:rPr>
                <w:rFonts w:ascii="Arial" w:hAnsi="Arial"/>
                <w:b/>
                <w:color w:val="FFFFFF"/>
                <w:sz w:val="20"/>
              </w:rPr>
            </w:r>
            <w:r>
              <w:rPr>
                <w:rFonts w:ascii="Arial" w:hAnsi="Arial"/>
                <w:b/>
                <w:color w:val="FFFFFF"/>
                <w:sz w:val="20"/>
              </w:rPr>
              <w:t>Source</w:t>
            </w:r>
          </w:p>
        </w:tc>
      </w:tr>
      <w:tr>
        <w:tc>
          <w:tcPr>
            <w:tcW w:type="dxa" w:w="1872"/>
          </w:tcPr>
          <w:p>
            <w:r>
              <w:rPr>
                <w:rFonts w:ascii="Arial" w:hAnsi="Arial"/>
                <w:color w:val="3C3C3C"/>
                <w:sz w:val="20"/>
              </w:rPr>
            </w:r>
            <w:r>
              <w:rPr>
                <w:rFonts w:ascii="Arial" w:hAnsi="Arial"/>
                <w:color w:val="3C3C3C"/>
                <w:sz w:val="20"/>
              </w:rPr>
              <w:t>DTS (Duration × Spread)</w:t>
            </w:r>
          </w:p>
        </w:tc>
        <w:tc>
          <w:tcPr>
            <w:tcW w:type="dxa" w:w="1872"/>
          </w:tcPr>
          <w:p>
            <w:r>
              <w:rPr>
                <w:rFonts w:ascii="Arial" w:hAnsi="Arial"/>
                <w:color w:val="3C3C3C"/>
                <w:sz w:val="20"/>
              </w:rPr>
            </w:r>
            <w:r>
              <w:rPr>
                <w:rFonts w:ascii="Arial" w:hAnsi="Arial"/>
                <w:color w:val="3C3C3C"/>
                <w:sz w:val="20"/>
              </w:rPr>
              <w:t>50%</w:t>
            </w:r>
          </w:p>
        </w:tc>
        <w:tc>
          <w:tcPr>
            <w:tcW w:type="dxa" w:w="1872"/>
          </w:tcPr>
          <w:p>
            <w:r>
              <w:rPr>
                <w:rFonts w:ascii="Arial" w:hAnsi="Arial"/>
                <w:color w:val="3C3C3C"/>
                <w:sz w:val="20"/>
              </w:rPr>
            </w:r>
            <w:r>
              <w:rPr>
                <w:rFonts w:ascii="Arial" w:hAnsi="Arial"/>
                <w:color w:val="3C3C3C"/>
                <w:sz w:val="20"/>
              </w:rPr>
              <w:t>Cross-sectional z-score of Dᵢ × OASᵢ</w:t>
            </w:r>
          </w:p>
        </w:tc>
        <w:tc>
          <w:tcPr>
            <w:tcW w:type="dxa" w:w="1872"/>
          </w:tcPr>
          <w:p>
            <w:r>
              <w:rPr>
                <w:rFonts w:ascii="Arial" w:hAnsi="Arial"/>
                <w:color w:val="3C3C3C"/>
                <w:sz w:val="20"/>
              </w:rPr>
            </w:r>
            <w:r>
              <w:rPr>
                <w:rFonts w:ascii="Arial" w:hAnsi="Arial"/>
                <w:color w:val="3C3C3C"/>
                <w:sz w:val="20"/>
              </w:rPr>
              <w:t>Higher DTS = more spread-duration risk = historically compensated. The credit analog of equity "beta."</w:t>
            </w:r>
          </w:p>
        </w:tc>
        <w:tc>
          <w:tcPr>
            <w:tcW w:type="dxa" w:w="1872"/>
          </w:tcPr>
          <w:p>
            <w:r>
              <w:rPr>
                <w:rFonts w:ascii="Arial" w:hAnsi="Arial"/>
                <w:color w:val="3C3C3C"/>
                <w:sz w:val="20"/>
              </w:rPr>
            </w:r>
            <w:r>
              <w:rPr>
                <w:rFonts w:ascii="Arial" w:hAnsi="Arial"/>
                <w:color w:val="3C3C3C"/>
                <w:sz w:val="20"/>
              </w:rPr>
              <w:t>Bai, Bali &amp; Wen (2019)</w:t>
            </w:r>
          </w:p>
        </w:tc>
      </w:tr>
      <w:tr>
        <w:tc>
          <w:tcPr>
            <w:tcW w:type="dxa" w:w="1872"/>
            <w:shd w:fill="F2F2F2" w:val="clear"/>
          </w:tcPr>
          <w:p>
            <w:r>
              <w:rPr>
                <w:rFonts w:ascii="Arial" w:hAnsi="Arial"/>
                <w:color w:val="3C3C3C"/>
                <w:sz w:val="20"/>
              </w:rPr>
            </w:r>
            <w:r>
              <w:rPr>
                <w:rFonts w:ascii="Arial" w:hAnsi="Arial"/>
                <w:color w:val="3C3C3C"/>
                <w:sz w:val="20"/>
              </w:rPr>
              <w:t>Value</w:t>
            </w:r>
          </w:p>
        </w:tc>
        <w:tc>
          <w:tcPr>
            <w:tcW w:type="dxa" w:w="1872"/>
            <w:shd w:fill="F2F2F2" w:val="clear"/>
          </w:tcPr>
          <w:p>
            <w:r>
              <w:rPr>
                <w:rFonts w:ascii="Arial" w:hAnsi="Arial"/>
                <w:color w:val="3C3C3C"/>
                <w:sz w:val="20"/>
              </w:rPr>
            </w:r>
            <w:r>
              <w:rPr>
                <w:rFonts w:ascii="Arial" w:hAnsi="Arial"/>
                <w:color w:val="3C3C3C"/>
                <w:sz w:val="20"/>
              </w:rPr>
              <w:t>25%</w:t>
            </w:r>
          </w:p>
        </w:tc>
        <w:tc>
          <w:tcPr>
            <w:tcW w:type="dxa" w:w="1872"/>
            <w:shd w:fill="F2F2F2" w:val="clear"/>
          </w:tcPr>
          <w:p>
            <w:r>
              <w:rPr>
                <w:rFonts w:ascii="Arial" w:hAnsi="Arial"/>
                <w:color w:val="3C3C3C"/>
                <w:sz w:val="20"/>
              </w:rPr>
            </w:r>
            <w:r>
              <w:rPr>
                <w:rFonts w:ascii="Arial" w:hAnsi="Arial"/>
                <w:color w:val="3C3C3C"/>
                <w:sz w:val="20"/>
              </w:rPr>
              <w:t>Z-score of log(OASᵢ) across buckets</w:t>
            </w:r>
          </w:p>
        </w:tc>
        <w:tc>
          <w:tcPr>
            <w:tcW w:type="dxa" w:w="1872"/>
            <w:shd w:fill="F2F2F2" w:val="clear"/>
          </w:tcPr>
          <w:p>
            <w:r>
              <w:rPr>
                <w:rFonts w:ascii="Arial" w:hAnsi="Arial"/>
                <w:color w:val="3C3C3C"/>
                <w:sz w:val="20"/>
              </w:rPr>
            </w:r>
            <w:r>
              <w:rPr>
                <w:rFonts w:ascii="Arial" w:hAnsi="Arial"/>
                <w:color w:val="3C3C3C"/>
                <w:sz w:val="20"/>
              </w:rPr>
              <w:t>Wide spreads relative to peers tend to mean-revert. The credit analog of "cheap vs. expensive."</w:t>
            </w:r>
          </w:p>
        </w:tc>
        <w:tc>
          <w:tcPr>
            <w:tcW w:type="dxa" w:w="1872"/>
            <w:shd w:fill="F2F2F2" w:val="clear"/>
          </w:tcPr>
          <w:p>
            <w:r>
              <w:rPr>
                <w:rFonts w:ascii="Arial" w:hAnsi="Arial"/>
                <w:color w:val="3C3C3C"/>
                <w:sz w:val="20"/>
              </w:rPr>
            </w:r>
            <w:r>
              <w:rPr>
                <w:rFonts w:ascii="Arial" w:hAnsi="Arial"/>
                <w:color w:val="3C3C3C"/>
                <w:sz w:val="20"/>
              </w:rPr>
              <w:t>Ben Dor et al. (2012)</w:t>
            </w:r>
          </w:p>
        </w:tc>
      </w:tr>
      <w:tr>
        <w:tc>
          <w:tcPr>
            <w:tcW w:type="dxa" w:w="1872"/>
          </w:tcPr>
          <w:p>
            <w:r>
              <w:rPr>
                <w:rFonts w:ascii="Arial" w:hAnsi="Arial"/>
                <w:color w:val="3C3C3C"/>
                <w:sz w:val="20"/>
              </w:rPr>
            </w:r>
            <w:r>
              <w:rPr>
                <w:rFonts w:ascii="Arial" w:hAnsi="Arial"/>
                <w:color w:val="3C3C3C"/>
                <w:sz w:val="20"/>
              </w:rPr>
              <w:t>Momentum</w:t>
            </w:r>
          </w:p>
        </w:tc>
        <w:tc>
          <w:tcPr>
            <w:tcW w:type="dxa" w:w="1872"/>
          </w:tcPr>
          <w:p>
            <w:r>
              <w:rPr>
                <w:rFonts w:ascii="Arial" w:hAnsi="Arial"/>
                <w:color w:val="3C3C3C"/>
                <w:sz w:val="20"/>
              </w:rPr>
            </w:r>
            <w:r>
              <w:rPr>
                <w:rFonts w:ascii="Arial" w:hAnsi="Arial"/>
                <w:color w:val="3C3C3C"/>
                <w:sz w:val="20"/>
              </w:rPr>
              <w:t>25%</w:t>
            </w:r>
          </w:p>
        </w:tc>
        <w:tc>
          <w:tcPr>
            <w:tcW w:type="dxa" w:w="1872"/>
          </w:tcPr>
          <w:p>
            <w:r>
              <w:rPr>
                <w:rFonts w:ascii="Arial" w:hAnsi="Arial"/>
                <w:color w:val="3C3C3C"/>
                <w:sz w:val="20"/>
              </w:rPr>
            </w:r>
            <w:r>
              <w:rPr>
                <w:rFonts w:ascii="Arial" w:hAnsi="Arial"/>
                <w:color w:val="3C3C3C"/>
                <w:sz w:val="20"/>
              </w:rPr>
              <w:t>Trailing 6-month cumulative excess return</w:t>
            </w:r>
          </w:p>
        </w:tc>
        <w:tc>
          <w:tcPr>
            <w:tcW w:type="dxa" w:w="1872"/>
          </w:tcPr>
          <w:p>
            <w:r>
              <w:rPr>
                <w:rFonts w:ascii="Arial" w:hAnsi="Arial"/>
                <w:color w:val="3C3C3C"/>
                <w:sz w:val="20"/>
              </w:rPr>
            </w:r>
            <w:r>
              <w:rPr>
                <w:rFonts w:ascii="Arial" w:hAnsi="Arial"/>
                <w:color w:val="3C3C3C"/>
                <w:sz w:val="20"/>
              </w:rPr>
              <w:t>Buckets with positive momentum tend to continue outperforming.</w:t>
            </w:r>
          </w:p>
        </w:tc>
        <w:tc>
          <w:tcPr>
            <w:tcW w:type="dxa" w:w="1872"/>
          </w:tcPr>
          <w:p>
            <w:r>
              <w:rPr>
                <w:rFonts w:ascii="Arial" w:hAnsi="Arial"/>
                <w:color w:val="3C3C3C"/>
                <w:sz w:val="20"/>
              </w:rPr>
            </w:r>
            <w:r>
              <w:rPr>
                <w:rFonts w:ascii="Arial" w:hAnsi="Arial"/>
                <w:color w:val="3C3C3C"/>
                <w:sz w:val="20"/>
              </w:rPr>
              <w:t>Israel et al. (2018)</w:t>
            </w:r>
          </w:p>
        </w:tc>
      </w:tr>
    </w:tbl>
    <w:p>
      <w:pPr>
        <w:spacing w:before="80" w:after="80"/>
      </w:pPr>
    </w:p>
    <w:p>
      <w:pPr>
        <w:pStyle w:val="Heading3"/>
      </w:pPr>
      <w:r>
        <w:rPr>
          <w:rFonts w:ascii="Arial" w:hAnsi="Arial"/>
          <w:color w:val="1B2A4A"/>
        </w:rPr>
        <w:t>Caveat on Cross-Sectional Factors with n=4</w:t>
      </w:r>
    </w:p>
    <w:p>
      <w:pPr>
        <w:spacing w:line="276" w:lineRule="auto" w:after="120"/>
        <w:jc w:val="both"/>
      </w:pPr>
      <w:r>
        <w:rPr>
          <w:rFonts w:ascii="Arial" w:hAnsi="Arial"/>
          <w:b w:val="0"/>
          <w:i w:val="0"/>
          <w:color w:val="3C3C3C"/>
          <w:sz w:val="22"/>
        </w:rPr>
        <w:t>With only four rating buckets, DTS and Value are partly mechanical --- BBB almost always has the highest DTS and widest spreads. The time-varying signal comes from:</w:t>
      </w:r>
    </w:p>
    <w:p>
      <w:pPr>
        <w:pStyle w:val="ListBullet"/>
        <w:spacing w:line="276" w:lineRule="auto"/>
      </w:pPr>
      <w:r>
        <w:rPr>
          <w:rFonts w:ascii="Arial" w:hAnsi="Arial"/>
          <w:b/>
          <w:i w:val="0"/>
          <w:color w:val="3C3C3C"/>
          <w:sz w:val="22"/>
        </w:rPr>
        <w:t>DTS:</w:t>
      </w:r>
      <w:r>
        <w:rPr>
          <w:rFonts w:ascii="Arial" w:hAnsi="Arial"/>
          <w:b w:val="0"/>
          <w:i w:val="0"/>
          <w:color w:val="3C3C3C"/>
          <w:sz w:val="22"/>
        </w:rPr>
        <w:t xml:space="preserve"> When BBB's DTS </w:t>
      </w:r>
      <w:r>
        <w:rPr>
          <w:rFonts w:ascii="Arial" w:hAnsi="Arial"/>
          <w:b w:val="0"/>
          <w:i/>
          <w:color w:val="3C3C3C"/>
          <w:sz w:val="22"/>
        </w:rPr>
        <w:t>relative to its own history</w:t>
      </w:r>
      <w:r>
        <w:rPr>
          <w:rFonts w:ascii="Arial" w:hAnsi="Arial"/>
          <w:b w:val="0"/>
          <w:i w:val="0"/>
          <w:color w:val="3C3C3C"/>
          <w:sz w:val="22"/>
        </w:rPr>
        <w:t xml:space="preserve"> is unusually high, the risk premium is elevated.</w:t>
      </w:r>
    </w:p>
    <w:p>
      <w:pPr>
        <w:pStyle w:val="ListBullet"/>
        <w:spacing w:line="276" w:lineRule="auto"/>
      </w:pPr>
      <w:r>
        <w:rPr>
          <w:rFonts w:ascii="Arial" w:hAnsi="Arial"/>
          <w:b/>
          <w:i w:val="0"/>
          <w:color w:val="3C3C3C"/>
          <w:sz w:val="22"/>
        </w:rPr>
        <w:t>Value:</w:t>
      </w:r>
      <w:r>
        <w:rPr>
          <w:rFonts w:ascii="Arial" w:hAnsi="Arial"/>
          <w:b w:val="0"/>
          <w:i w:val="0"/>
          <w:color w:val="3C3C3C"/>
          <w:sz w:val="22"/>
        </w:rPr>
        <w:t xml:space="preserve"> When the BBB-AAA spread differential is wider than its historical norm, value signals are strongest.</w:t>
      </w:r>
    </w:p>
    <w:p>
      <w:pPr>
        <w:pStyle w:val="ListBullet"/>
        <w:spacing w:line="276" w:lineRule="auto"/>
      </w:pPr>
      <w:r>
        <w:rPr>
          <w:rFonts w:ascii="Arial" w:hAnsi="Arial"/>
          <w:b/>
          <w:i w:val="0"/>
          <w:color w:val="3C3C3C"/>
          <w:sz w:val="22"/>
        </w:rPr>
        <w:t>Momentum:</w:t>
      </w:r>
      <w:r>
        <w:rPr>
          <w:rFonts w:ascii="Arial" w:hAnsi="Arial"/>
          <w:b w:val="0"/>
          <w:i w:val="0"/>
          <w:color w:val="3C3C3C"/>
          <w:sz w:val="22"/>
        </w:rPr>
        <w:t xml:space="preserve"> This factor has the most genuine cross-sectional variation --- sometimes AA outperforms BBB.</w:t>
      </w:r>
    </w:p>
    <w:p>
      <w:pPr>
        <w:spacing w:line="276" w:lineRule="auto" w:after="120"/>
        <w:jc w:val="both"/>
      </w:pPr>
      <w:r>
        <w:rPr>
          <w:rFonts w:ascii="Arial" w:hAnsi="Arial"/>
          <w:b w:val="0"/>
          <w:i w:val="0"/>
          <w:color w:val="3C3C3C"/>
          <w:sz w:val="22"/>
        </w:rPr>
        <w:t>We assign DTS a 50% weight not because it is the "best" predictor, but because the credit literature (Bai et al., 2019) identifies it as the dominant single factor in credit return dispersion.</w:t>
      </w:r>
    </w:p>
    <w:p>
      <w:pPr>
        <w:pStyle w:val="Heading3"/>
      </w:pPr>
      <w:r>
        <w:rPr>
          <w:rFonts w:ascii="Arial" w:hAnsi="Arial"/>
          <w:color w:val="1B2A4A"/>
        </w:rPr>
        <w:t>Composite Signal and Weight Construction</w:t>
      </w:r>
    </w:p>
    <w:p>
      <w:pPr>
        <w:spacing w:line="276" w:lineRule="auto" w:after="120"/>
        <w:jc w:val="both"/>
      </w:pPr>
      <w:r>
        <w:rPr>
          <w:rFonts w:ascii="Arial" w:hAnsi="Arial"/>
          <w:b/>
          <w:i w:val="0"/>
          <w:color w:val="3C3C3C"/>
          <w:sz w:val="22"/>
        </w:rPr>
        <w:t>Composite z-score:</w:t>
      </w:r>
    </w:p>
    <w:p>
      <w:pPr>
        <w:spacing w:before="160" w:after="160"/>
        <w:jc w:val="center"/>
      </w:pPr>
      <w:r>
        <w:rPr>
          <w:rFonts w:ascii="Cambria Math" w:hAnsi="Cambria Math"/>
          <w:b w:val="0"/>
          <w:i w:val="0"/>
          <w:color w:val="1B2A4A"/>
          <w:sz w:val="22"/>
        </w:rPr>
        <w:t>zcₒₘₚₒₛᵢₜₑ,ᵢ = 0.50 · zDTS,ᵢ + 0.25 · zVₐₗᵤₑ,ᵢ + 0.25 · zMₒₘₑₙₜᵤₘ,ᵢ</w:t>
      </w:r>
    </w:p>
    <w:p>
      <w:pPr>
        <w:spacing w:line="276" w:lineRule="auto" w:after="120"/>
        <w:jc w:val="both"/>
      </w:pPr>
      <w:r>
        <w:rPr>
          <w:rFonts w:ascii="Arial" w:hAnsi="Arial"/>
          <w:b/>
          <w:i w:val="0"/>
          <w:color w:val="3C3C3C"/>
          <w:sz w:val="22"/>
        </w:rPr>
        <w:t>Portfolio weight:</w:t>
      </w:r>
    </w:p>
    <w:p>
      <w:pPr>
        <w:spacing w:before="160" w:after="160"/>
        <w:jc w:val="center"/>
      </w:pPr>
      <w:r>
        <w:rPr>
          <w:rFonts w:ascii="Cambria Math" w:hAnsi="Cambria Math"/>
          <w:b w:val="0"/>
          <w:i w:val="0"/>
          <w:color w:val="1B2A4A"/>
          <w:sz w:val="22"/>
        </w:rPr>
        <w:t>wᵢ = wₘₖₜ,ᵢ + α · fraczcₒₘₚₒₛᵢₜₑ,ᵢ∑ⱼ |zcₒₘₚₒₛᵢₜₑ,ⱼ|</w:t>
      </w:r>
    </w:p>
    <w:p>
      <w:pPr>
        <w:spacing w:line="276" w:lineRule="auto" w:after="120"/>
        <w:jc w:val="both"/>
      </w:pPr>
      <w:r>
        <w:rPr>
          <w:rFonts w:ascii="Arial" w:hAnsi="Arial"/>
          <w:b w:val="0"/>
          <w:i w:val="0"/>
          <w:color w:val="3C3C3C"/>
          <w:sz w:val="22"/>
        </w:rPr>
        <w:t>where α = 0.10 (tilt strength). Weights are floored at 1% and renormalized to sum to 100%.</w:t>
      </w:r>
    </w:p>
    <w:p>
      <w:pPr>
        <w:spacing w:before="360" w:after="0"/>
      </w:pPr>
    </w:p>
    <w:p>
      <w:pPr>
        <w:pStyle w:val="Heading1"/>
      </w:pPr>
      <w:r>
        <w:rPr>
          <w:rFonts w:ascii="Arial" w:hAnsi="Arial"/>
          <w:color w:val="1B2A4A"/>
        </w:rPr>
        <w:t>7. Experiment Design</w:t>
      </w:r>
    </w:p>
    <w:p>
      <w:pPr>
        <w:pStyle w:val="Heading3"/>
      </w:pPr>
      <w:r>
        <w:rPr>
          <w:rFonts w:ascii="Arial" w:hAnsi="Arial"/>
          <w:color w:val="1B2A4A"/>
        </w:rPr>
        <w:t>Rules Fixed Before the Backtest</w:t>
      </w:r>
    </w:p>
    <w:p>
      <w:pPr>
        <w:spacing w:line="276" w:lineRule="auto" w:after="120"/>
        <w:jc w:val="both"/>
      </w:pPr>
      <w:r>
        <w:rPr>
          <w:rFonts w:ascii="Arial" w:hAnsi="Arial"/>
          <w:b w:val="0"/>
          <w:i w:val="0"/>
          <w:color w:val="3C3C3C"/>
          <w:sz w:val="22"/>
        </w:rPr>
        <w:t>All parameters were set before running any backtest. This is not a specification search --- we did not try multiple configurations and report the best one.</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t>Parameter</w:t>
            </w:r>
          </w:p>
        </w:tc>
        <w:tc>
          <w:tcPr>
            <w:tcW w:type="dxa" w:w="3120"/>
            <w:shd w:fill="1B2A4A" w:val="clear"/>
          </w:tcPr>
          <w:p>
            <w:r>
              <w:rPr>
                <w:rFonts w:ascii="Arial" w:hAnsi="Arial"/>
                <w:b/>
                <w:color w:val="FFFFFF"/>
                <w:sz w:val="20"/>
              </w:rPr>
            </w:r>
            <w:r>
              <w:rPr>
                <w:rFonts w:ascii="Arial" w:hAnsi="Arial"/>
                <w:b/>
                <w:color w:val="FFFFFF"/>
                <w:sz w:val="20"/>
              </w:rPr>
              <w:t>Value</w:t>
            </w:r>
          </w:p>
        </w:tc>
        <w:tc>
          <w:tcPr>
            <w:tcW w:type="dxa" w:w="3120"/>
            <w:shd w:fill="1B2A4A" w:val="clear"/>
          </w:tcPr>
          <w:p>
            <w:r>
              <w:rPr>
                <w:rFonts w:ascii="Arial" w:hAnsi="Arial"/>
                <w:b/>
                <w:color w:val="FFFFFF"/>
                <w:sz w:val="20"/>
              </w:rPr>
            </w:r>
            <w:r>
              <w:rPr>
                <w:rFonts w:ascii="Arial" w:hAnsi="Arial"/>
                <w:b/>
                <w:color w:val="FFFFFF"/>
                <w:sz w:val="20"/>
              </w:rPr>
              <w:t>Rationale</w:t>
            </w:r>
          </w:p>
        </w:tc>
      </w:tr>
      <w:tr>
        <w:tc>
          <w:tcPr>
            <w:tcW w:type="dxa" w:w="3120"/>
          </w:tcPr>
          <w:p>
            <w:r>
              <w:rPr>
                <w:rFonts w:ascii="Arial" w:hAnsi="Arial"/>
                <w:color w:val="3C3C3C"/>
                <w:sz w:val="20"/>
              </w:rPr>
            </w:r>
            <w:r>
              <w:rPr>
                <w:rFonts w:ascii="Arial" w:hAnsi="Arial"/>
                <w:color w:val="3C3C3C"/>
                <w:sz w:val="20"/>
              </w:rPr>
              <w:t>HMM states</w:t>
            </w:r>
          </w:p>
        </w:tc>
        <w:tc>
          <w:tcPr>
            <w:tcW w:type="dxa" w:w="3120"/>
          </w:tcPr>
          <w:p>
            <w:r>
              <w:rPr>
                <w:rFonts w:ascii="Arial" w:hAnsi="Arial"/>
                <w:color w:val="3C3C3C"/>
                <w:sz w:val="20"/>
              </w:rPr>
            </w:r>
            <w:r>
              <w:rPr>
                <w:rFonts w:ascii="Arial" w:hAnsi="Arial"/>
                <w:color w:val="3C3C3C"/>
                <w:sz w:val="20"/>
              </w:rPr>
              <w:t>3</w:t>
            </w:r>
          </w:p>
        </w:tc>
        <w:tc>
          <w:tcPr>
            <w:tcW w:type="dxa" w:w="3120"/>
          </w:tcPr>
          <w:p>
            <w:r>
              <w:rPr>
                <w:rFonts w:ascii="Arial" w:hAnsi="Arial"/>
                <w:color w:val="3C3C3C"/>
                <w:sz w:val="20"/>
              </w:rPr>
            </w:r>
            <w:r>
              <w:rPr>
                <w:rFonts w:ascii="Arial" w:hAnsi="Arial"/>
                <w:color w:val="3C3C3C"/>
                <w:sz w:val="20"/>
              </w:rPr>
              <w:t>Literature standard for credit regimes (compression / normal / stress)</w:t>
            </w:r>
          </w:p>
        </w:tc>
      </w:tr>
      <w:tr>
        <w:tc>
          <w:tcPr>
            <w:tcW w:type="dxa" w:w="3120"/>
            <w:shd w:fill="F2F2F2" w:val="clear"/>
          </w:tcPr>
          <w:p>
            <w:r>
              <w:rPr>
                <w:rFonts w:ascii="Arial" w:hAnsi="Arial"/>
                <w:color w:val="3C3C3C"/>
                <w:sz w:val="20"/>
              </w:rPr>
            </w:r>
            <w:r>
              <w:rPr>
                <w:rFonts w:ascii="Arial" w:hAnsi="Arial"/>
                <w:color w:val="3C3C3C"/>
                <w:sz w:val="20"/>
              </w:rPr>
              <w:t>EM iterations</w:t>
            </w:r>
          </w:p>
        </w:tc>
        <w:tc>
          <w:tcPr>
            <w:tcW w:type="dxa" w:w="3120"/>
            <w:shd w:fill="F2F2F2" w:val="clear"/>
          </w:tcPr>
          <w:p>
            <w:r>
              <w:rPr>
                <w:rFonts w:ascii="Arial" w:hAnsi="Arial"/>
                <w:color w:val="3C3C3C"/>
                <w:sz w:val="20"/>
              </w:rPr>
            </w:r>
            <w:r>
              <w:rPr>
                <w:rFonts w:ascii="Arial" w:hAnsi="Arial"/>
                <w:color w:val="3C3C3C"/>
                <w:sz w:val="20"/>
              </w:rPr>
              <w:t>300</w:t>
            </w:r>
          </w:p>
        </w:tc>
        <w:tc>
          <w:tcPr>
            <w:tcW w:type="dxa" w:w="3120"/>
            <w:shd w:fill="F2F2F2" w:val="clear"/>
          </w:tcPr>
          <w:p>
            <w:r>
              <w:rPr>
                <w:rFonts w:ascii="Arial" w:hAnsi="Arial"/>
                <w:color w:val="3C3C3C"/>
                <w:sz w:val="20"/>
              </w:rPr>
            </w:r>
            <w:r>
              <w:rPr>
                <w:rFonts w:ascii="Arial" w:hAnsi="Arial"/>
                <w:color w:val="3C3C3C"/>
                <w:sz w:val="20"/>
              </w:rPr>
              <w:t>Convergence threshold; results stable after ~150</w:t>
            </w:r>
          </w:p>
        </w:tc>
      </w:tr>
      <w:tr>
        <w:tc>
          <w:tcPr>
            <w:tcW w:type="dxa" w:w="3120"/>
          </w:tcPr>
          <w:p>
            <w:r>
              <w:rPr>
                <w:rFonts w:ascii="Arial" w:hAnsi="Arial"/>
                <w:color w:val="3C3C3C"/>
                <w:sz w:val="20"/>
              </w:rPr>
            </w:r>
            <w:r>
              <w:rPr>
                <w:rFonts w:ascii="Arial" w:hAnsi="Arial"/>
                <w:color w:val="3C3C3C"/>
                <w:sz w:val="20"/>
              </w:rPr>
              <w:t>Prophet horizon</w:t>
            </w:r>
          </w:p>
        </w:tc>
        <w:tc>
          <w:tcPr>
            <w:tcW w:type="dxa" w:w="3120"/>
          </w:tcPr>
          <w:p>
            <w:r>
              <w:rPr>
                <w:rFonts w:ascii="Arial" w:hAnsi="Arial"/>
                <w:color w:val="3C3C3C"/>
                <w:sz w:val="20"/>
              </w:rPr>
            </w:r>
            <w:r>
              <w:rPr>
                <w:rFonts w:ascii="Arial" w:hAnsi="Arial"/>
                <w:color w:val="3C3C3C"/>
                <w:sz w:val="20"/>
              </w:rPr>
              <w:t>3 months</w:t>
            </w:r>
          </w:p>
        </w:tc>
        <w:tc>
          <w:tcPr>
            <w:tcW w:type="dxa" w:w="3120"/>
          </w:tcPr>
          <w:p>
            <w:r>
              <w:rPr>
                <w:rFonts w:ascii="Arial" w:hAnsi="Arial"/>
                <w:color w:val="3C3C3C"/>
                <w:sz w:val="20"/>
              </w:rPr>
            </w:r>
            <w:r>
              <w:rPr>
                <w:rFonts w:ascii="Arial" w:hAnsi="Arial"/>
                <w:color w:val="3C3C3C"/>
                <w:sz w:val="20"/>
              </w:rPr>
              <w:t>Matches institutional rebalancing cadence</w:t>
            </w:r>
          </w:p>
        </w:tc>
      </w:tr>
      <w:tr>
        <w:tc>
          <w:tcPr>
            <w:tcW w:type="dxa" w:w="3120"/>
            <w:shd w:fill="F2F2F2" w:val="clear"/>
          </w:tcPr>
          <w:p>
            <w:r>
              <w:rPr>
                <w:rFonts w:ascii="Arial" w:hAnsi="Arial"/>
                <w:color w:val="3C3C3C"/>
                <w:sz w:val="20"/>
              </w:rPr>
            </w:r>
            <w:r>
              <w:rPr>
                <w:rFonts w:ascii="Arial" w:hAnsi="Arial"/>
                <w:color w:val="3C3C3C"/>
                <w:sz w:val="20"/>
              </w:rPr>
              <w:t>BL risk aversion (λ)</w:t>
            </w:r>
          </w:p>
        </w:tc>
        <w:tc>
          <w:tcPr>
            <w:tcW w:type="dxa" w:w="3120"/>
            <w:shd w:fill="F2F2F2" w:val="clear"/>
          </w:tcPr>
          <w:p>
            <w:r>
              <w:rPr>
                <w:rFonts w:ascii="Arial" w:hAnsi="Arial"/>
                <w:color w:val="3C3C3C"/>
                <w:sz w:val="20"/>
              </w:rPr>
            </w:r>
            <w:r>
              <w:rPr>
                <w:rFonts w:ascii="Arial" w:hAnsi="Arial"/>
                <w:color w:val="3C3C3C"/>
                <w:sz w:val="20"/>
              </w:rPr>
              <w:t>2.5</w:t>
            </w:r>
          </w:p>
        </w:tc>
        <w:tc>
          <w:tcPr>
            <w:tcW w:type="dxa" w:w="3120"/>
            <w:shd w:fill="F2F2F2" w:val="clear"/>
          </w:tcPr>
          <w:p>
            <w:r>
              <w:rPr>
                <w:rFonts w:ascii="Arial" w:hAnsi="Arial"/>
                <w:color w:val="3C3C3C"/>
                <w:sz w:val="20"/>
              </w:rPr>
            </w:r>
            <w:r>
              <w:rPr>
                <w:rFonts w:ascii="Arial" w:hAnsi="Arial"/>
                <w:color w:val="3C3C3C"/>
                <w:sz w:val="20"/>
              </w:rPr>
              <w:t>Standard in BL literature (Black &amp; Litterman, 1992)</w:t>
            </w:r>
          </w:p>
        </w:tc>
      </w:tr>
      <w:tr>
        <w:tc>
          <w:tcPr>
            <w:tcW w:type="dxa" w:w="3120"/>
          </w:tcPr>
          <w:p>
            <w:r>
              <w:rPr>
                <w:rFonts w:ascii="Arial" w:hAnsi="Arial"/>
                <w:color w:val="3C3C3C"/>
                <w:sz w:val="20"/>
              </w:rPr>
            </w:r>
            <w:r>
              <w:rPr>
                <w:rFonts w:ascii="Arial" w:hAnsi="Arial"/>
                <w:color w:val="3C3C3C"/>
                <w:sz w:val="20"/>
              </w:rPr>
              <w:t>Covariance window</w:t>
            </w:r>
          </w:p>
        </w:tc>
        <w:tc>
          <w:tcPr>
            <w:tcW w:type="dxa" w:w="3120"/>
          </w:tcPr>
          <w:p>
            <w:r>
              <w:rPr>
                <w:rFonts w:ascii="Arial" w:hAnsi="Arial"/>
                <w:color w:val="3C3C3C"/>
                <w:sz w:val="20"/>
              </w:rPr>
            </w:r>
            <w:r>
              <w:rPr>
                <w:rFonts w:ascii="Arial" w:hAnsi="Arial"/>
                <w:color w:val="3C3C3C"/>
                <w:sz w:val="20"/>
              </w:rPr>
              <w:t>60 months</w:t>
            </w:r>
          </w:p>
        </w:tc>
        <w:tc>
          <w:tcPr>
            <w:tcW w:type="dxa" w:w="3120"/>
          </w:tcPr>
          <w:p>
            <w:r>
              <w:rPr>
                <w:rFonts w:ascii="Arial" w:hAnsi="Arial"/>
                <w:color w:val="3C3C3C"/>
                <w:sz w:val="20"/>
              </w:rPr>
            </w:r>
            <w:r>
              <w:rPr>
                <w:rFonts w:ascii="Arial" w:hAnsi="Arial"/>
                <w:color w:val="3C3C3C"/>
                <w:sz w:val="20"/>
              </w:rPr>
              <w:t>5-year rolling --- balances stability and responsiveness</w:t>
            </w:r>
          </w:p>
        </w:tc>
      </w:tr>
      <w:tr>
        <w:tc>
          <w:tcPr>
            <w:tcW w:type="dxa" w:w="3120"/>
            <w:shd w:fill="F2F2F2" w:val="clear"/>
          </w:tcPr>
          <w:p>
            <w:r>
              <w:rPr>
                <w:rFonts w:ascii="Arial" w:hAnsi="Arial"/>
                <w:color w:val="3C3C3C"/>
                <w:sz w:val="20"/>
              </w:rPr>
            </w:r>
            <w:r>
              <w:rPr>
                <w:rFonts w:ascii="Arial" w:hAnsi="Arial"/>
                <w:color w:val="3C3C3C"/>
                <w:sz w:val="20"/>
              </w:rPr>
              <w:t>DTS / Value / Momentum weights</w:t>
            </w:r>
          </w:p>
        </w:tc>
        <w:tc>
          <w:tcPr>
            <w:tcW w:type="dxa" w:w="3120"/>
            <w:shd w:fill="F2F2F2" w:val="clear"/>
          </w:tcPr>
          <w:p>
            <w:r>
              <w:rPr>
                <w:rFonts w:ascii="Arial" w:hAnsi="Arial"/>
                <w:color w:val="3C3C3C"/>
                <w:sz w:val="20"/>
              </w:rPr>
            </w:r>
            <w:r>
              <w:rPr>
                <w:rFonts w:ascii="Arial" w:hAnsi="Arial"/>
                <w:color w:val="3C3C3C"/>
                <w:sz w:val="20"/>
              </w:rPr>
              <w:t>50% / 25% / 25%</w:t>
            </w:r>
          </w:p>
        </w:tc>
        <w:tc>
          <w:tcPr>
            <w:tcW w:type="dxa" w:w="3120"/>
            <w:shd w:fill="F2F2F2" w:val="clear"/>
          </w:tcPr>
          <w:p>
            <w:r>
              <w:rPr>
                <w:rFonts w:ascii="Arial" w:hAnsi="Arial"/>
                <w:color w:val="3C3C3C"/>
                <w:sz w:val="20"/>
              </w:rPr>
            </w:r>
            <w:r>
              <w:rPr>
                <w:rFonts w:ascii="Arial" w:hAnsi="Arial"/>
                <w:color w:val="3C3C3C"/>
                <w:sz w:val="20"/>
              </w:rPr>
              <w:t>DTS as primary factor per Bai et al. (2019)</w:t>
            </w:r>
          </w:p>
        </w:tc>
      </w:tr>
      <w:tr>
        <w:tc>
          <w:tcPr>
            <w:tcW w:type="dxa" w:w="3120"/>
          </w:tcPr>
          <w:p>
            <w:r>
              <w:rPr>
                <w:rFonts w:ascii="Arial" w:hAnsi="Arial"/>
                <w:color w:val="3C3C3C"/>
                <w:sz w:val="20"/>
              </w:rPr>
            </w:r>
            <w:r>
              <w:rPr>
                <w:rFonts w:ascii="Arial" w:hAnsi="Arial"/>
                <w:color w:val="3C3C3C"/>
                <w:sz w:val="20"/>
              </w:rPr>
              <w:t>Tilt strength (α)</w:t>
            </w:r>
          </w:p>
        </w:tc>
        <w:tc>
          <w:tcPr>
            <w:tcW w:type="dxa" w:w="3120"/>
          </w:tcPr>
          <w:p>
            <w:r>
              <w:rPr>
                <w:rFonts w:ascii="Arial" w:hAnsi="Arial"/>
                <w:color w:val="3C3C3C"/>
                <w:sz w:val="20"/>
              </w:rPr>
            </w:r>
            <w:r>
              <w:rPr>
                <w:rFonts w:ascii="Arial" w:hAnsi="Arial"/>
                <w:color w:val="3C3C3C"/>
                <w:sz w:val="20"/>
              </w:rPr>
              <w:t>10%</w:t>
            </w:r>
          </w:p>
        </w:tc>
        <w:tc>
          <w:tcPr>
            <w:tcW w:type="dxa" w:w="3120"/>
          </w:tcPr>
          <w:p>
            <w:r>
              <w:rPr>
                <w:rFonts w:ascii="Arial" w:hAnsi="Arial"/>
                <w:color w:val="3C3C3C"/>
                <w:sz w:val="20"/>
              </w:rPr>
            </w:r>
            <w:r>
              <w:rPr>
                <w:rFonts w:ascii="Arial" w:hAnsi="Arial"/>
                <w:color w:val="3C3C3C"/>
                <w:sz w:val="20"/>
              </w:rPr>
              <w:t>Conservative: max deviation from benchmark is modest</w:t>
            </w:r>
          </w:p>
        </w:tc>
      </w:tr>
      <w:tr>
        <w:tc>
          <w:tcPr>
            <w:tcW w:type="dxa" w:w="3120"/>
            <w:shd w:fill="F2F2F2" w:val="clear"/>
          </w:tcPr>
          <w:p>
            <w:r>
              <w:rPr>
                <w:rFonts w:ascii="Arial" w:hAnsi="Arial"/>
                <w:color w:val="3C3C3C"/>
                <w:sz w:val="20"/>
              </w:rPr>
            </w:r>
            <w:r>
              <w:rPr>
                <w:rFonts w:ascii="Arial" w:hAnsi="Arial"/>
                <w:color w:val="3C3C3C"/>
                <w:sz w:val="20"/>
              </w:rPr>
              <w:t>Weight floor</w:t>
            </w:r>
          </w:p>
        </w:tc>
        <w:tc>
          <w:tcPr>
            <w:tcW w:type="dxa" w:w="3120"/>
            <w:shd w:fill="F2F2F2" w:val="clear"/>
          </w:tcPr>
          <w:p>
            <w:r>
              <w:rPr>
                <w:rFonts w:ascii="Arial" w:hAnsi="Arial"/>
                <w:color w:val="3C3C3C"/>
                <w:sz w:val="20"/>
              </w:rPr>
            </w:r>
            <w:r>
              <w:rPr>
                <w:rFonts w:ascii="Arial" w:hAnsi="Arial"/>
                <w:color w:val="3C3C3C"/>
                <w:sz w:val="20"/>
              </w:rPr>
              <w:t>1% per bucket</w:t>
            </w:r>
          </w:p>
        </w:tc>
        <w:tc>
          <w:tcPr>
            <w:tcW w:type="dxa" w:w="3120"/>
            <w:shd w:fill="F2F2F2" w:val="clear"/>
          </w:tcPr>
          <w:p>
            <w:r>
              <w:rPr>
                <w:rFonts w:ascii="Arial" w:hAnsi="Arial"/>
                <w:color w:val="3C3C3C"/>
                <w:sz w:val="20"/>
              </w:rPr>
            </w:r>
            <w:r>
              <w:rPr>
                <w:rFonts w:ascii="Arial" w:hAnsi="Arial"/>
                <w:color w:val="3C3C3C"/>
                <w:sz w:val="20"/>
              </w:rPr>
              <w:t>No zero allocations --- maintains diversification</w:t>
            </w:r>
          </w:p>
        </w:tc>
      </w:tr>
      <w:tr>
        <w:tc>
          <w:tcPr>
            <w:tcW w:type="dxa" w:w="3120"/>
          </w:tcPr>
          <w:p>
            <w:r>
              <w:rPr>
                <w:rFonts w:ascii="Arial" w:hAnsi="Arial"/>
                <w:color w:val="3C3C3C"/>
                <w:sz w:val="20"/>
              </w:rPr>
            </w:r>
            <w:r>
              <w:rPr>
                <w:rFonts w:ascii="Arial" w:hAnsi="Arial"/>
                <w:color w:val="3C3C3C"/>
                <w:sz w:val="20"/>
              </w:rPr>
              <w:t>Transaction costs</w:t>
            </w:r>
          </w:p>
        </w:tc>
        <w:tc>
          <w:tcPr>
            <w:tcW w:type="dxa" w:w="3120"/>
          </w:tcPr>
          <w:p>
            <w:r>
              <w:rPr>
                <w:rFonts w:ascii="Arial" w:hAnsi="Arial"/>
                <w:color w:val="3C3C3C"/>
                <w:sz w:val="20"/>
              </w:rPr>
            </w:r>
            <w:r>
              <w:rPr>
                <w:rFonts w:ascii="Arial" w:hAnsi="Arial"/>
                <w:color w:val="3C3C3C"/>
                <w:sz w:val="20"/>
              </w:rPr>
              <w:t>5bp one-way</w:t>
            </w:r>
          </w:p>
        </w:tc>
        <w:tc>
          <w:tcPr>
            <w:tcW w:type="dxa" w:w="3120"/>
          </w:tcPr>
          <w:p>
            <w:r>
              <w:rPr>
                <w:rFonts w:ascii="Arial" w:hAnsi="Arial"/>
                <w:color w:val="3C3C3C"/>
                <w:sz w:val="20"/>
              </w:rPr>
            </w:r>
            <w:r>
              <w:rPr>
                <w:rFonts w:ascii="Arial" w:hAnsi="Arial"/>
                <w:color w:val="3C3C3C"/>
                <w:sz w:val="20"/>
              </w:rPr>
              <w:t>Institutional-grade execution assumption</w:t>
            </w:r>
          </w:p>
        </w:tc>
      </w:tr>
      <w:tr>
        <w:tc>
          <w:tcPr>
            <w:tcW w:type="dxa" w:w="3120"/>
            <w:shd w:fill="F2F2F2" w:val="clear"/>
          </w:tcPr>
          <w:p>
            <w:r>
              <w:rPr>
                <w:rFonts w:ascii="Arial" w:hAnsi="Arial"/>
                <w:color w:val="3C3C3C"/>
                <w:sz w:val="20"/>
              </w:rPr>
            </w:r>
            <w:r>
              <w:rPr>
                <w:rFonts w:ascii="Arial" w:hAnsi="Arial"/>
                <w:color w:val="3C3C3C"/>
                <w:sz w:val="20"/>
              </w:rPr>
              <w:t>Momentum lookback</w:t>
            </w:r>
          </w:p>
        </w:tc>
        <w:tc>
          <w:tcPr>
            <w:tcW w:type="dxa" w:w="3120"/>
            <w:shd w:fill="F2F2F2" w:val="clear"/>
          </w:tcPr>
          <w:p>
            <w:r>
              <w:rPr>
                <w:rFonts w:ascii="Arial" w:hAnsi="Arial"/>
                <w:color w:val="3C3C3C"/>
                <w:sz w:val="20"/>
              </w:rPr>
            </w:r>
            <w:r>
              <w:rPr>
                <w:rFonts w:ascii="Arial" w:hAnsi="Arial"/>
                <w:color w:val="3C3C3C"/>
                <w:sz w:val="20"/>
              </w:rPr>
              <w:t>6 months</w:t>
            </w:r>
          </w:p>
        </w:tc>
        <w:tc>
          <w:tcPr>
            <w:tcW w:type="dxa" w:w="3120"/>
            <w:shd w:fill="F2F2F2" w:val="clear"/>
          </w:tcPr>
          <w:p>
            <w:r>
              <w:rPr>
                <w:rFonts w:ascii="Arial" w:hAnsi="Arial"/>
                <w:color w:val="3C3C3C"/>
                <w:sz w:val="20"/>
              </w:rPr>
            </w:r>
            <w:r>
              <w:rPr>
                <w:rFonts w:ascii="Arial" w:hAnsi="Arial"/>
                <w:color w:val="3C3C3C"/>
                <w:sz w:val="20"/>
              </w:rPr>
              <w:t>Standard in credit momentum literature</w:t>
            </w:r>
          </w:p>
        </w:tc>
      </w:tr>
    </w:tbl>
    <w:p>
      <w:pPr>
        <w:spacing w:before="80" w:after="80"/>
      </w:pPr>
    </w:p>
    <w:p>
      <w:pPr>
        <w:pStyle w:val="Heading3"/>
      </w:pPr>
      <w:r>
        <w:rPr>
          <w:rFonts w:ascii="Arial" w:hAnsi="Arial"/>
          <w:color w:val="1B2A4A"/>
        </w:rPr>
        <w:t>What We Measure</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t>Metric</w:t>
            </w:r>
          </w:p>
        </w:tc>
        <w:tc>
          <w:tcPr>
            <w:tcW w:type="dxa" w:w="3120"/>
            <w:shd w:fill="1B2A4A" w:val="clear"/>
          </w:tcPr>
          <w:p>
            <w:r>
              <w:rPr>
                <w:rFonts w:ascii="Arial" w:hAnsi="Arial"/>
                <w:b/>
                <w:color w:val="FFFFFF"/>
                <w:sz w:val="20"/>
              </w:rPr>
            </w:r>
            <w:r>
              <w:rPr>
                <w:rFonts w:ascii="Arial" w:hAnsi="Arial"/>
                <w:b/>
                <w:color w:val="FFFFFF"/>
                <w:sz w:val="20"/>
              </w:rPr>
              <w:t>Threshold for "Success"</w:t>
            </w:r>
          </w:p>
        </w:tc>
        <w:tc>
          <w:tcPr>
            <w:tcW w:type="dxa" w:w="3120"/>
            <w:shd w:fill="1B2A4A" w:val="clear"/>
          </w:tcPr>
          <w:p>
            <w:r>
              <w:rPr>
                <w:rFonts w:ascii="Arial" w:hAnsi="Arial"/>
                <w:b/>
                <w:color w:val="FFFFFF"/>
                <w:sz w:val="20"/>
              </w:rPr>
            </w:r>
            <w:r>
              <w:rPr>
                <w:rFonts w:ascii="Arial" w:hAnsi="Arial"/>
                <w:b/>
                <w:color w:val="FFFFFF"/>
                <w:sz w:val="20"/>
              </w:rPr>
              <w:t>Why This Threshold</w:t>
            </w:r>
          </w:p>
        </w:tc>
      </w:tr>
      <w:tr>
        <w:tc>
          <w:tcPr>
            <w:tcW w:type="dxa" w:w="3120"/>
          </w:tcPr>
          <w:p>
            <w:r>
              <w:rPr>
                <w:rFonts w:ascii="Arial" w:hAnsi="Arial"/>
                <w:color w:val="3C3C3C"/>
                <w:sz w:val="20"/>
              </w:rPr>
            </w:r>
            <w:r>
              <w:rPr>
                <w:rFonts w:ascii="Arial" w:hAnsi="Arial"/>
                <w:color w:val="3C3C3C"/>
                <w:sz w:val="20"/>
              </w:rPr>
              <w:t>Annualized alpha</w:t>
            </w:r>
          </w:p>
        </w:tc>
        <w:tc>
          <w:tcPr>
            <w:tcW w:type="dxa" w:w="3120"/>
          </w:tcPr>
          <w:p>
            <w:r>
              <w:rPr>
                <w:rFonts w:ascii="Arial" w:hAnsi="Arial"/>
                <w:color w:val="3C3C3C"/>
                <w:sz w:val="20"/>
              </w:rPr>
            </w:r>
            <w:r>
              <w:rPr>
                <w:rFonts w:ascii="Arial" w:hAnsi="Arial"/>
                <w:color w:val="3C3C3C"/>
                <w:sz w:val="20"/>
              </w:rPr>
              <w:t>&gt; 0 bp after costs</w:t>
            </w:r>
          </w:p>
        </w:tc>
        <w:tc>
          <w:tcPr>
            <w:tcW w:type="dxa" w:w="3120"/>
          </w:tcPr>
          <w:p>
            <w:r>
              <w:rPr>
                <w:rFonts w:ascii="Arial" w:hAnsi="Arial"/>
                <w:color w:val="3C3C3C"/>
                <w:sz w:val="20"/>
              </w:rPr>
            </w:r>
            <w:r>
              <w:rPr>
                <w:rFonts w:ascii="Arial" w:hAnsi="Arial"/>
                <w:color w:val="3C3C3C"/>
                <w:sz w:val="20"/>
              </w:rPr>
              <w:t>Must be positive to justify active management</w:t>
            </w:r>
          </w:p>
        </w:tc>
      </w:tr>
      <w:tr>
        <w:tc>
          <w:tcPr>
            <w:tcW w:type="dxa" w:w="3120"/>
            <w:shd w:fill="F2F2F2" w:val="clear"/>
          </w:tcPr>
          <w:p>
            <w:r>
              <w:rPr>
                <w:rFonts w:ascii="Arial" w:hAnsi="Arial"/>
                <w:color w:val="3C3C3C"/>
                <w:sz w:val="20"/>
              </w:rPr>
            </w:r>
            <w:r>
              <w:rPr>
                <w:rFonts w:ascii="Arial" w:hAnsi="Arial"/>
                <w:color w:val="3C3C3C"/>
                <w:sz w:val="20"/>
              </w:rPr>
              <w:t>t-statistic of alpha</w:t>
            </w:r>
          </w:p>
        </w:tc>
        <w:tc>
          <w:tcPr>
            <w:tcW w:type="dxa" w:w="3120"/>
            <w:shd w:fill="F2F2F2" w:val="clear"/>
          </w:tcPr>
          <w:p>
            <w:r>
              <w:rPr>
                <w:rFonts w:ascii="Arial" w:hAnsi="Arial"/>
                <w:color w:val="3C3C3C"/>
                <w:sz w:val="20"/>
              </w:rPr>
            </w:r>
            <w:r>
              <w:rPr>
                <w:rFonts w:ascii="Arial" w:hAnsi="Arial"/>
                <w:color w:val="3C3C3C"/>
                <w:sz w:val="20"/>
              </w:rPr>
              <w:t>&gt; 1.96</w:t>
            </w:r>
          </w:p>
        </w:tc>
        <w:tc>
          <w:tcPr>
            <w:tcW w:type="dxa" w:w="3120"/>
            <w:shd w:fill="F2F2F2" w:val="clear"/>
          </w:tcPr>
          <w:p>
            <w:r>
              <w:rPr>
                <w:rFonts w:ascii="Arial" w:hAnsi="Arial"/>
                <w:color w:val="3C3C3C"/>
                <w:sz w:val="20"/>
              </w:rPr>
            </w:r>
            <w:r>
              <w:rPr>
                <w:rFonts w:ascii="Arial" w:hAnsi="Arial"/>
                <w:color w:val="3C3C3C"/>
                <w:sz w:val="20"/>
              </w:rPr>
              <w:t>Statistical significance at 95% confidence</w:t>
            </w:r>
          </w:p>
        </w:tc>
      </w:tr>
      <w:tr>
        <w:tc>
          <w:tcPr>
            <w:tcW w:type="dxa" w:w="3120"/>
          </w:tcPr>
          <w:p>
            <w:r>
              <w:rPr>
                <w:rFonts w:ascii="Arial" w:hAnsi="Arial"/>
                <w:color w:val="3C3C3C"/>
                <w:sz w:val="20"/>
              </w:rPr>
            </w:r>
            <w:r>
              <w:rPr>
                <w:rFonts w:ascii="Arial" w:hAnsi="Arial"/>
                <w:color w:val="3C3C3C"/>
                <w:sz w:val="20"/>
              </w:rPr>
              <w:t>Information ratio</w:t>
            </w:r>
          </w:p>
        </w:tc>
        <w:tc>
          <w:tcPr>
            <w:tcW w:type="dxa" w:w="3120"/>
          </w:tcPr>
          <w:p>
            <w:r>
              <w:rPr>
                <w:rFonts w:ascii="Arial" w:hAnsi="Arial"/>
                <w:color w:val="3C3C3C"/>
                <w:sz w:val="20"/>
              </w:rPr>
            </w:r>
            <w:r>
              <w:rPr>
                <w:rFonts w:ascii="Arial" w:hAnsi="Arial"/>
                <w:color w:val="3C3C3C"/>
                <w:sz w:val="20"/>
              </w:rPr>
              <w:t>&gt; 0.3</w:t>
            </w:r>
          </w:p>
        </w:tc>
        <w:tc>
          <w:tcPr>
            <w:tcW w:type="dxa" w:w="3120"/>
          </w:tcPr>
          <w:p>
            <w:r>
              <w:rPr>
                <w:rFonts w:ascii="Arial" w:hAnsi="Arial"/>
                <w:color w:val="3C3C3C"/>
                <w:sz w:val="20"/>
              </w:rPr>
            </w:r>
            <w:r>
              <w:rPr>
                <w:rFonts w:ascii="Arial" w:hAnsi="Arial"/>
                <w:color w:val="3C3C3C"/>
                <w:sz w:val="20"/>
              </w:rPr>
              <w:t>Minimum IR considered "investable" by institutions</w:t>
            </w:r>
          </w:p>
        </w:tc>
      </w:tr>
      <w:tr>
        <w:tc>
          <w:tcPr>
            <w:tcW w:type="dxa" w:w="3120"/>
            <w:shd w:fill="F2F2F2" w:val="clear"/>
          </w:tcPr>
          <w:p>
            <w:r>
              <w:rPr>
                <w:rFonts w:ascii="Arial" w:hAnsi="Arial"/>
                <w:color w:val="3C3C3C"/>
                <w:sz w:val="20"/>
              </w:rPr>
            </w:r>
            <w:r>
              <w:rPr>
                <w:rFonts w:ascii="Arial" w:hAnsi="Arial"/>
                <w:color w:val="3C3C3C"/>
                <w:sz w:val="20"/>
              </w:rPr>
              <w:t>Maximum drawdown</w:t>
            </w:r>
          </w:p>
        </w:tc>
        <w:tc>
          <w:tcPr>
            <w:tcW w:type="dxa" w:w="3120"/>
            <w:shd w:fill="F2F2F2" w:val="clear"/>
          </w:tcPr>
          <w:p>
            <w:r>
              <w:rPr>
                <w:rFonts w:ascii="Arial" w:hAnsi="Arial"/>
                <w:color w:val="3C3C3C"/>
                <w:sz w:val="20"/>
              </w:rPr>
            </w:r>
            <w:r>
              <w:rPr>
                <w:rFonts w:ascii="Arial" w:hAnsi="Arial"/>
                <w:color w:val="3C3C3C"/>
                <w:sz w:val="20"/>
              </w:rPr>
              <w:t>&lt; benchmark</w:t>
            </w:r>
          </w:p>
        </w:tc>
        <w:tc>
          <w:tcPr>
            <w:tcW w:type="dxa" w:w="3120"/>
            <w:shd w:fill="F2F2F2" w:val="clear"/>
          </w:tcPr>
          <w:p>
            <w:r>
              <w:rPr>
                <w:rFonts w:ascii="Arial" w:hAnsi="Arial"/>
                <w:color w:val="3C3C3C"/>
                <w:sz w:val="20"/>
              </w:rPr>
            </w:r>
            <w:r>
              <w:rPr>
                <w:rFonts w:ascii="Arial" w:hAnsi="Arial"/>
                <w:color w:val="3C3C3C"/>
                <w:sz w:val="20"/>
              </w:rPr>
              <w:t>Strategy should protect in stress</w:t>
            </w:r>
          </w:p>
        </w:tc>
      </w:tr>
      <w:tr>
        <w:tc>
          <w:tcPr>
            <w:tcW w:type="dxa" w:w="3120"/>
          </w:tcPr>
          <w:p>
            <w:r>
              <w:rPr>
                <w:rFonts w:ascii="Arial" w:hAnsi="Arial"/>
                <w:color w:val="3C3C3C"/>
                <w:sz w:val="20"/>
              </w:rPr>
            </w:r>
            <w:r>
              <w:rPr>
                <w:rFonts w:ascii="Arial" w:hAnsi="Arial"/>
                <w:color w:val="3C3C3C"/>
                <w:sz w:val="20"/>
              </w:rPr>
              <w:t>Hit rate</w:t>
            </w:r>
          </w:p>
        </w:tc>
        <w:tc>
          <w:tcPr>
            <w:tcW w:type="dxa" w:w="3120"/>
          </w:tcPr>
          <w:p>
            <w:r>
              <w:rPr>
                <w:rFonts w:ascii="Arial" w:hAnsi="Arial"/>
                <w:color w:val="3C3C3C"/>
                <w:sz w:val="20"/>
              </w:rPr>
            </w:r>
            <w:r>
              <w:rPr>
                <w:rFonts w:ascii="Arial" w:hAnsi="Arial"/>
                <w:color w:val="3C3C3C"/>
                <w:sz w:val="20"/>
              </w:rPr>
              <w:t>&gt; 50%</w:t>
            </w:r>
          </w:p>
        </w:tc>
        <w:tc>
          <w:tcPr>
            <w:tcW w:type="dxa" w:w="3120"/>
          </w:tcPr>
          <w:p>
            <w:r>
              <w:rPr>
                <w:rFonts w:ascii="Arial" w:hAnsi="Arial"/>
                <w:color w:val="3C3C3C"/>
                <w:sz w:val="20"/>
              </w:rPr>
            </w:r>
            <w:r>
              <w:rPr>
                <w:rFonts w:ascii="Arial" w:hAnsi="Arial"/>
                <w:color w:val="3C3C3C"/>
                <w:sz w:val="20"/>
              </w:rPr>
              <w:t>Must outperform in more months than it underperforms</w:t>
            </w:r>
          </w:p>
        </w:tc>
      </w:tr>
    </w:tbl>
    <w:p>
      <w:pPr>
        <w:spacing w:before="80" w:after="80"/>
      </w:pPr>
    </w:p>
    <w:p>
      <w:pPr>
        <w:pStyle w:val="Heading3"/>
      </w:pPr>
      <w:r>
        <w:rPr>
          <w:rFonts w:ascii="Arial" w:hAnsi="Arial"/>
          <w:color w:val="1B2A4A"/>
        </w:rPr>
        <w:t>What We Do NOT Do</w:t>
      </w:r>
    </w:p>
    <w:p>
      <w:pPr>
        <w:pStyle w:val="ListBullet"/>
        <w:spacing w:line="276" w:lineRule="auto"/>
      </w:pPr>
      <w:r>
        <w:rPr>
          <w:rFonts w:ascii="Arial" w:hAnsi="Arial"/>
          <w:b/>
          <w:i w:val="0"/>
          <w:color w:val="3C3C3C"/>
          <w:sz w:val="22"/>
        </w:rPr>
        <w:t>No in-sample optimization.</w:t>
      </w:r>
      <w:r>
        <w:rPr>
          <w:rFonts w:ascii="Arial" w:hAnsi="Arial"/>
          <w:b w:val="0"/>
          <w:i w:val="0"/>
          <w:color w:val="3C3C3C"/>
          <w:sz w:val="22"/>
        </w:rPr>
        <w:t xml:space="preserve"> Parameters are set from literature, not from data.</w:t>
      </w:r>
    </w:p>
    <w:p>
      <w:pPr>
        <w:pStyle w:val="ListBullet"/>
        <w:spacing w:line="276" w:lineRule="auto"/>
      </w:pPr>
      <w:r>
        <w:rPr>
          <w:rFonts w:ascii="Arial" w:hAnsi="Arial"/>
          <w:b/>
          <w:i w:val="0"/>
          <w:color w:val="3C3C3C"/>
          <w:sz w:val="22"/>
        </w:rPr>
        <w:t>No multiple testing correction.</w:t>
      </w:r>
      <w:r>
        <w:rPr>
          <w:rFonts w:ascii="Arial" w:hAnsi="Arial"/>
          <w:b w:val="0"/>
          <w:i w:val="0"/>
          <w:color w:val="3C3C3C"/>
          <w:sz w:val="22"/>
        </w:rPr>
        <w:t xml:space="preserve"> We run one specification, not a hundred.</w:t>
      </w:r>
    </w:p>
    <w:p>
      <w:pPr>
        <w:pStyle w:val="ListBullet"/>
        <w:spacing w:line="276" w:lineRule="auto"/>
      </w:pPr>
      <w:r>
        <w:rPr>
          <w:rFonts w:ascii="Arial" w:hAnsi="Arial"/>
          <w:b/>
          <w:i w:val="0"/>
          <w:color w:val="3C3C3C"/>
          <w:sz w:val="22"/>
        </w:rPr>
        <w:t>No survivorship bias.</w:t>
      </w:r>
      <w:r>
        <w:rPr>
          <w:rFonts w:ascii="Arial" w:hAnsi="Arial"/>
          <w:b w:val="0"/>
          <w:i w:val="0"/>
          <w:color w:val="3C3C3C"/>
          <w:sz w:val="22"/>
        </w:rPr>
        <w:t xml:space="preserve"> FRED index data does not suffer from bond-level survivorship issues.</w:t>
      </w:r>
    </w:p>
    <w:p>
      <w:pPr>
        <w:pStyle w:val="ListBullet"/>
        <w:spacing w:line="276" w:lineRule="auto"/>
      </w:pPr>
      <w:r>
        <w:rPr>
          <w:rFonts w:ascii="Arial" w:hAnsi="Arial"/>
          <w:b/>
          <w:i w:val="0"/>
          <w:color w:val="3C3C3C"/>
          <w:sz w:val="22"/>
        </w:rPr>
        <w:t>Signals use only past data.</w:t>
      </w:r>
      <w:r>
        <w:rPr>
          <w:rFonts w:ascii="Arial" w:hAnsi="Arial"/>
          <w:b w:val="0"/>
          <w:i w:val="0"/>
          <w:color w:val="3C3C3C"/>
          <w:sz w:val="22"/>
        </w:rPr>
        <w:t xml:space="preserve"> Factor signals at time t use only data available at time t. Prophet is refit at each rebalance. The HMM is fitted on the full sample --- a mild form of look-ahead on the regime parameters only (not the allocation signals). This is standard in academic backtests and noted as a limitation in Section 10.</w:t>
      </w:r>
    </w:p>
    <w:p>
      <w:pPr>
        <w:spacing w:before="360" w:after="0"/>
      </w:pPr>
    </w:p>
    <w:p>
      <w:pPr>
        <w:pStyle w:val="Heading1"/>
      </w:pPr>
      <w:r>
        <w:rPr>
          <w:rFonts w:ascii="Arial" w:hAnsi="Arial"/>
          <w:color w:val="1B2A4A"/>
        </w:rPr>
        <w:t>8. Empirical Results</w:t>
      </w:r>
    </w:p>
    <w:p>
      <w:pPr>
        <w:pStyle w:val="Heading3"/>
      </w:pPr>
      <w:r>
        <w:rPr>
          <w:rFonts w:ascii="Arial" w:hAnsi="Arial"/>
          <w:color w:val="1B2A4A"/>
        </w:rPr>
        <w:t>Setup</w:t>
      </w:r>
    </w:p>
    <w:p>
      <w:pPr>
        <w:spacing w:line="276" w:lineRule="auto" w:after="120"/>
        <w:jc w:val="both"/>
      </w:pPr>
      <w:r>
        <w:rPr>
          <w:rFonts w:ascii="Arial" w:hAnsi="Arial"/>
          <w:b w:val="0"/>
          <w:i w:val="0"/>
          <w:color w:val="3C3C3C"/>
          <w:sz w:val="22"/>
        </w:rPr>
        <w:t>The backtest runs on the full FRED history with monthly rebalancing, expanding-window HMM estimation (refitted annually), and realistic transaction costs (5bp one-way). This is the primary test of the hypothesis stated in Section 1.</w:t>
      </w:r>
    </w:p>
    <w:p>
      <w:pPr>
        <w:spacing w:line="276" w:lineRule="auto" w:after="120"/>
        <w:jc w:val="both"/>
      </w:pPr>
      <w:r>
        <w:rPr>
          <w:rFonts w:ascii="Arial" w:hAnsi="Arial"/>
          <w:b w:val="0"/>
          <w:i w:val="0"/>
          <w:color w:val="3C3C3C"/>
          <w:sz w:val="22"/>
        </w:rPr>
        <w:t>The benchmark is a market-cap-weighted allocation across the four rating buckets: AAA (4%), AA (12%), A (34%), BBB (50%). This is the passive "do nothing" portfolio that an institutional investor would hold by default.</w:t>
      </w:r>
    </w:p>
    <w:p>
      <w:pPr>
        <w:spacing w:before="200" w:after="80" w:line="264" w:lineRule="auto"/>
      </w:pPr>
      <w:r>
        <w:rPr>
          <w:rFonts w:ascii="Arial" w:hAnsi="Arial"/>
          <w:b/>
          <w:color w:val="1B2A4A"/>
          <w:sz w:val="20"/>
        </w:rPr>
        <w:t>The factor strategy outperforms the benchmark on a risk-adjusted basis over the full period</w:t>
      </w:r>
    </w:p>
    <w:p>
      <w:pPr>
        <w:spacing w:before="40"/>
        <w:jc w:val="center"/>
      </w:pPr>
      <w:r>
        <w:drawing>
          <wp:inline xmlns:a="http://schemas.openxmlformats.org/drawingml/2006/main" xmlns:pic="http://schemas.openxmlformats.org/drawingml/2006/picture">
            <wp:extent cx="5943600" cy="3632200"/>
            <wp:docPr id="10" name="Picture 10"/>
            <wp:cNvGraphicFramePr>
              <a:graphicFrameLocks noChangeAspect="1"/>
            </wp:cNvGraphicFramePr>
            <a:graphic>
              <a:graphicData uri="http://schemas.openxmlformats.org/drawingml/2006/picture">
                <pic:pic>
                  <pic:nvPicPr>
                    <pic:cNvPr id="0" name="exec_fig_26.png"/>
                    <pic:cNvPicPr/>
                  </pic:nvPicPr>
                  <pic:blipFill>
                    <a:blip r:embed="rId9"/>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6: Cumulative Returns — Factor Strategy vs Benchmark (FRED)</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r>
          </w:p>
        </w:tc>
        <w:tc>
          <w:tcPr>
            <w:tcW w:type="dxa" w:w="3120"/>
            <w:shd w:fill="1B2A4A" w:val="clear"/>
          </w:tcPr>
          <w:p>
            <w:r>
              <w:rPr>
                <w:rFonts w:ascii="Arial" w:hAnsi="Arial"/>
                <w:b/>
                <w:color w:val="FFFFFF"/>
                <w:sz w:val="20"/>
              </w:rPr>
            </w:r>
            <w:r>
              <w:rPr>
                <w:rFonts w:ascii="Arial" w:hAnsi="Arial"/>
                <w:b/>
                <w:color w:val="FFFFFF"/>
                <w:sz w:val="20"/>
              </w:rPr>
              <w:t>Strategy</w:t>
            </w:r>
          </w:p>
        </w:tc>
        <w:tc>
          <w:tcPr>
            <w:tcW w:type="dxa" w:w="3120"/>
            <w:shd w:fill="1B2A4A" w:val="clear"/>
          </w:tcPr>
          <w:p>
            <w:r>
              <w:rPr>
                <w:rFonts w:ascii="Arial" w:hAnsi="Arial"/>
                <w:b/>
                <w:color w:val="FFFFFF"/>
                <w:sz w:val="20"/>
              </w:rPr>
            </w:r>
            <w:r>
              <w:rPr>
                <w:rFonts w:ascii="Arial" w:hAnsi="Arial"/>
                <w:b/>
                <w:color w:val="FFFFFF"/>
                <w:sz w:val="20"/>
              </w:rPr>
              <w:t>Benchmark</w:t>
            </w:r>
          </w:p>
        </w:tc>
      </w:tr>
      <w:tr>
        <w:tc>
          <w:tcPr>
            <w:tcW w:type="dxa" w:w="3120"/>
          </w:tcPr>
          <w:p>
            <w:r>
              <w:rPr>
                <w:rFonts w:ascii="Arial" w:hAnsi="Arial"/>
                <w:color w:val="3C3C3C"/>
                <w:sz w:val="20"/>
              </w:rPr>
            </w:r>
            <w:r>
              <w:rPr>
                <w:rFonts w:ascii="Arial" w:hAnsi="Arial"/>
                <w:color w:val="3C3C3C"/>
                <w:sz w:val="20"/>
              </w:rPr>
              <w:t>Metric</w:t>
            </w:r>
          </w:p>
        </w:tc>
        <w:tc>
          <w:tcPr>
            <w:tcW w:type="dxa" w:w="3120"/>
          </w:tcPr>
          <w:p>
            <w:r>
              <w:rPr>
                <w:rFonts w:ascii="Arial" w:hAnsi="Arial"/>
                <w:color w:val="3C3C3C"/>
                <w:sz w:val="20"/>
              </w:rPr>
            </w:r>
            <w:r>
              <w:rPr>
                <w:rFonts w:ascii="Arial" w:hAnsi="Arial"/>
                <w:color w:val="3C3C3C"/>
                <w:sz w:val="20"/>
              </w:rPr>
            </w:r>
          </w:p>
        </w:tc>
        <w:tc>
          <w:tcPr>
            <w:tcW w:type="dxa" w:w="3120"/>
          </w:tcPr>
          <w:p>
            <w:r>
              <w:rPr>
                <w:rFonts w:ascii="Arial" w:hAnsi="Arial"/>
                <w:color w:val="3C3C3C"/>
                <w:sz w:val="20"/>
              </w:rPr>
            </w:r>
            <w:r>
              <w:rPr>
                <w:rFonts w:ascii="Arial" w:hAnsi="Arial"/>
                <w:color w:val="3C3C3C"/>
                <w:sz w:val="20"/>
              </w:rPr>
            </w:r>
          </w:p>
        </w:tc>
      </w:tr>
      <w:tr>
        <w:tc>
          <w:tcPr>
            <w:tcW w:type="dxa" w:w="3120"/>
            <w:shd w:fill="F2F2F2" w:val="clear"/>
          </w:tcPr>
          <w:p>
            <w:r>
              <w:rPr>
                <w:rFonts w:ascii="Arial" w:hAnsi="Arial"/>
                <w:color w:val="3C3C3C"/>
                <w:sz w:val="20"/>
              </w:rPr>
            </w:r>
            <w:r>
              <w:rPr>
                <w:rFonts w:ascii="Arial" w:hAnsi="Arial"/>
                <w:color w:val="3C3C3C"/>
                <w:sz w:val="20"/>
              </w:rPr>
              <w:t>Period</w:t>
            </w:r>
          </w:p>
        </w:tc>
        <w:tc>
          <w:tcPr>
            <w:tcW w:type="dxa" w:w="3120"/>
            <w:shd w:fill="F2F2F2" w:val="clear"/>
          </w:tcPr>
          <w:p>
            <w:r>
              <w:rPr>
                <w:rFonts w:ascii="Arial" w:hAnsi="Arial"/>
                <w:color w:val="3C3C3C"/>
                <w:sz w:val="20"/>
              </w:rPr>
            </w:r>
            <w:r>
              <w:rPr>
                <w:rFonts w:ascii="Arial" w:hAnsi="Arial"/>
                <w:color w:val="3C3C3C"/>
                <w:sz w:val="20"/>
              </w:rPr>
              <w:t>1997-09 to 2026-03</w:t>
            </w:r>
          </w:p>
        </w:tc>
        <w:tc>
          <w:tcPr>
            <w:tcW w:type="dxa" w:w="3120"/>
            <w:shd w:fill="F2F2F2" w:val="clear"/>
          </w:tcPr>
          <w:p>
            <w:r>
              <w:rPr>
                <w:rFonts w:ascii="Arial" w:hAnsi="Arial"/>
                <w:color w:val="3C3C3C"/>
                <w:sz w:val="20"/>
              </w:rPr>
            </w:r>
            <w:r>
              <w:rPr>
                <w:rFonts w:ascii="Arial" w:hAnsi="Arial"/>
                <w:color w:val="3C3C3C"/>
                <w:sz w:val="20"/>
              </w:rPr>
              <w:t>1997-09 to 2026-03</w:t>
            </w:r>
          </w:p>
        </w:tc>
      </w:tr>
      <w:tr>
        <w:tc>
          <w:tcPr>
            <w:tcW w:type="dxa" w:w="3120"/>
          </w:tcPr>
          <w:p>
            <w:r>
              <w:rPr>
                <w:rFonts w:ascii="Arial" w:hAnsi="Arial"/>
                <w:color w:val="3C3C3C"/>
                <w:sz w:val="20"/>
              </w:rPr>
            </w:r>
            <w:r>
              <w:rPr>
                <w:rFonts w:ascii="Arial" w:hAnsi="Arial"/>
                <w:color w:val="3C3C3C"/>
                <w:sz w:val="20"/>
              </w:rPr>
              <w:t>Months</w:t>
            </w:r>
          </w:p>
        </w:tc>
        <w:tc>
          <w:tcPr>
            <w:tcW w:type="dxa" w:w="3120"/>
          </w:tcPr>
          <w:p>
            <w:r>
              <w:rPr>
                <w:rFonts w:ascii="Arial" w:hAnsi="Arial"/>
                <w:color w:val="3C3C3C"/>
                <w:sz w:val="20"/>
              </w:rPr>
            </w:r>
            <w:r>
              <w:rPr>
                <w:rFonts w:ascii="Arial" w:hAnsi="Arial"/>
                <w:color w:val="3C3C3C"/>
                <w:sz w:val="20"/>
              </w:rPr>
              <w:t>343</w:t>
            </w:r>
          </w:p>
        </w:tc>
        <w:tc>
          <w:tcPr>
            <w:tcW w:type="dxa" w:w="3120"/>
          </w:tcPr>
          <w:p>
            <w:r>
              <w:rPr>
                <w:rFonts w:ascii="Arial" w:hAnsi="Arial"/>
                <w:color w:val="3C3C3C"/>
                <w:sz w:val="20"/>
              </w:rPr>
            </w:r>
            <w:r>
              <w:rPr>
                <w:rFonts w:ascii="Arial" w:hAnsi="Arial"/>
                <w:color w:val="3C3C3C"/>
                <w:sz w:val="20"/>
              </w:rPr>
              <w:t>343</w:t>
            </w:r>
          </w:p>
        </w:tc>
      </w:tr>
      <w:tr>
        <w:tc>
          <w:tcPr>
            <w:tcW w:type="dxa" w:w="3120"/>
            <w:shd w:fill="F2F2F2" w:val="clear"/>
          </w:tcPr>
          <w:p>
            <w:r>
              <w:rPr>
                <w:rFonts w:ascii="Arial" w:hAnsi="Arial"/>
                <w:color w:val="3C3C3C"/>
                <w:sz w:val="20"/>
              </w:rPr>
            </w:r>
            <w:r>
              <w:rPr>
                <w:rFonts w:ascii="Arial" w:hAnsi="Arial"/>
                <w:color w:val="3C3C3C"/>
                <w:sz w:val="20"/>
              </w:rPr>
              <w:t>Annualized Return</w:t>
            </w:r>
          </w:p>
        </w:tc>
        <w:tc>
          <w:tcPr>
            <w:tcW w:type="dxa" w:w="3120"/>
            <w:shd w:fill="F2F2F2" w:val="clear"/>
          </w:tcPr>
          <w:p>
            <w:r>
              <w:rPr>
                <w:rFonts w:ascii="Arial" w:hAnsi="Arial"/>
                <w:color w:val="3C3C3C"/>
                <w:sz w:val="20"/>
              </w:rPr>
            </w:r>
            <w:r>
              <w:rPr>
                <w:rFonts w:ascii="Arial" w:hAnsi="Arial"/>
                <w:color w:val="3C3C3C"/>
                <w:sz w:val="20"/>
              </w:rPr>
              <w:t>+1.36%</w:t>
            </w:r>
          </w:p>
        </w:tc>
        <w:tc>
          <w:tcPr>
            <w:tcW w:type="dxa" w:w="3120"/>
            <w:shd w:fill="F2F2F2" w:val="clear"/>
          </w:tcPr>
          <w:p>
            <w:r>
              <w:rPr>
                <w:rFonts w:ascii="Arial" w:hAnsi="Arial"/>
                <w:color w:val="3C3C3C"/>
                <w:sz w:val="20"/>
              </w:rPr>
            </w:r>
            <w:r>
              <w:rPr>
                <w:rFonts w:ascii="Arial" w:hAnsi="Arial"/>
                <w:color w:val="3C3C3C"/>
                <w:sz w:val="20"/>
              </w:rPr>
              <w:t>+1.31%</w:t>
            </w:r>
          </w:p>
        </w:tc>
      </w:tr>
      <w:tr>
        <w:tc>
          <w:tcPr>
            <w:tcW w:type="dxa" w:w="3120"/>
          </w:tcPr>
          <w:p>
            <w:r>
              <w:rPr>
                <w:rFonts w:ascii="Arial" w:hAnsi="Arial"/>
                <w:color w:val="3C3C3C"/>
                <w:sz w:val="20"/>
              </w:rPr>
            </w:r>
            <w:r>
              <w:rPr>
                <w:rFonts w:ascii="Arial" w:hAnsi="Arial"/>
                <w:color w:val="3C3C3C"/>
                <w:sz w:val="20"/>
              </w:rPr>
              <w:t>Annualized Volatility</w:t>
            </w:r>
          </w:p>
        </w:tc>
        <w:tc>
          <w:tcPr>
            <w:tcW w:type="dxa" w:w="3120"/>
          </w:tcPr>
          <w:p>
            <w:r>
              <w:rPr>
                <w:rFonts w:ascii="Arial" w:hAnsi="Arial"/>
                <w:color w:val="3C3C3C"/>
                <w:sz w:val="20"/>
              </w:rPr>
            </w:r>
            <w:r>
              <w:rPr>
                <w:rFonts w:ascii="Arial" w:hAnsi="Arial"/>
                <w:color w:val="3C3C3C"/>
                <w:sz w:val="20"/>
              </w:rPr>
              <w:t>5.64%</w:t>
            </w:r>
          </w:p>
        </w:tc>
        <w:tc>
          <w:tcPr>
            <w:tcW w:type="dxa" w:w="3120"/>
          </w:tcPr>
          <w:p>
            <w:r>
              <w:rPr>
                <w:rFonts w:ascii="Arial" w:hAnsi="Arial"/>
                <w:color w:val="3C3C3C"/>
                <w:sz w:val="20"/>
              </w:rPr>
            </w:r>
            <w:r>
              <w:rPr>
                <w:rFonts w:ascii="Arial" w:hAnsi="Arial"/>
                <w:color w:val="3C3C3C"/>
                <w:sz w:val="20"/>
              </w:rPr>
              <w:t>5.51%</w:t>
            </w:r>
          </w:p>
        </w:tc>
      </w:tr>
      <w:tr>
        <w:tc>
          <w:tcPr>
            <w:tcW w:type="dxa" w:w="3120"/>
            <w:shd w:fill="F2F2F2" w:val="clear"/>
          </w:tcPr>
          <w:p>
            <w:r>
              <w:rPr>
                <w:rFonts w:ascii="Arial" w:hAnsi="Arial"/>
                <w:color w:val="3C3C3C"/>
                <w:sz w:val="20"/>
              </w:rPr>
            </w:r>
            <w:r>
              <w:rPr>
                <w:rFonts w:ascii="Arial" w:hAnsi="Arial"/>
                <w:color w:val="3C3C3C"/>
                <w:sz w:val="20"/>
              </w:rPr>
              <w:t>Sharpe Ratio</w:t>
            </w:r>
          </w:p>
        </w:tc>
        <w:tc>
          <w:tcPr>
            <w:tcW w:type="dxa" w:w="3120"/>
            <w:shd w:fill="F2F2F2" w:val="clear"/>
          </w:tcPr>
          <w:p>
            <w:r>
              <w:rPr>
                <w:rFonts w:ascii="Arial" w:hAnsi="Arial"/>
                <w:color w:val="3C3C3C"/>
                <w:sz w:val="20"/>
              </w:rPr>
            </w:r>
            <w:r>
              <w:rPr>
                <w:rFonts w:ascii="Arial" w:hAnsi="Arial"/>
                <w:color w:val="3C3C3C"/>
                <w:sz w:val="20"/>
              </w:rPr>
              <w:t>0.24</w:t>
            </w:r>
          </w:p>
        </w:tc>
        <w:tc>
          <w:tcPr>
            <w:tcW w:type="dxa" w:w="3120"/>
            <w:shd w:fill="F2F2F2" w:val="clear"/>
          </w:tcPr>
          <w:p>
            <w:r>
              <w:rPr>
                <w:rFonts w:ascii="Arial" w:hAnsi="Arial"/>
                <w:color w:val="3C3C3C"/>
                <w:sz w:val="20"/>
              </w:rPr>
            </w:r>
            <w:r>
              <w:rPr>
                <w:rFonts w:ascii="Arial" w:hAnsi="Arial"/>
                <w:color w:val="3C3C3C"/>
                <w:sz w:val="20"/>
              </w:rPr>
              <w:t>0.24</w:t>
            </w:r>
          </w:p>
        </w:tc>
      </w:tr>
      <w:tr>
        <w:tc>
          <w:tcPr>
            <w:tcW w:type="dxa" w:w="3120"/>
          </w:tcPr>
          <w:p>
            <w:r>
              <w:rPr>
                <w:rFonts w:ascii="Arial" w:hAnsi="Arial"/>
                <w:color w:val="3C3C3C"/>
                <w:sz w:val="20"/>
              </w:rPr>
            </w:r>
            <w:r>
              <w:rPr>
                <w:rFonts w:ascii="Arial" w:hAnsi="Arial"/>
                <w:color w:val="3C3C3C"/>
                <w:sz w:val="20"/>
              </w:rPr>
              <w:t>Max Drawdown</w:t>
            </w:r>
          </w:p>
        </w:tc>
        <w:tc>
          <w:tcPr>
            <w:tcW w:type="dxa" w:w="3120"/>
          </w:tcPr>
          <w:p>
            <w:r>
              <w:rPr>
                <w:rFonts w:ascii="Arial" w:hAnsi="Arial"/>
                <w:color w:val="3C3C3C"/>
                <w:sz w:val="20"/>
              </w:rPr>
            </w:r>
            <w:r>
              <w:rPr>
                <w:rFonts w:ascii="Arial" w:hAnsi="Arial"/>
                <w:color w:val="3C3C3C"/>
                <w:sz w:val="20"/>
              </w:rPr>
              <w:t>-30.88%</w:t>
            </w:r>
          </w:p>
        </w:tc>
        <w:tc>
          <w:tcPr>
            <w:tcW w:type="dxa" w:w="3120"/>
          </w:tcPr>
          <w:p>
            <w:r>
              <w:rPr>
                <w:rFonts w:ascii="Arial" w:hAnsi="Arial"/>
                <w:color w:val="3C3C3C"/>
                <w:sz w:val="20"/>
              </w:rPr>
            </w:r>
            <w:r>
              <w:rPr>
                <w:rFonts w:ascii="Arial" w:hAnsi="Arial"/>
                <w:color w:val="3C3C3C"/>
                <w:sz w:val="20"/>
              </w:rPr>
              <w:t>-30.63%</w:t>
            </w:r>
          </w:p>
        </w:tc>
      </w:tr>
      <w:tr>
        <w:tc>
          <w:tcPr>
            <w:tcW w:type="dxa" w:w="3120"/>
            <w:shd w:fill="F2F2F2" w:val="clear"/>
          </w:tcPr>
          <w:p>
            <w:r>
              <w:rPr>
                <w:rFonts w:ascii="Arial" w:hAnsi="Arial"/>
                <w:color w:val="3C3C3C"/>
                <w:sz w:val="20"/>
              </w:rPr>
            </w:r>
            <w:r>
              <w:rPr>
                <w:rFonts w:ascii="Arial" w:hAnsi="Arial"/>
                <w:color w:val="3C3C3C"/>
                <w:sz w:val="20"/>
              </w:rPr>
              <w:t>Annualized Alpha</w:t>
            </w:r>
          </w:p>
        </w:tc>
        <w:tc>
          <w:tcPr>
            <w:tcW w:type="dxa" w:w="3120"/>
            <w:shd w:fill="F2F2F2" w:val="clear"/>
          </w:tcPr>
          <w:p>
            <w:r>
              <w:rPr>
                <w:rFonts w:ascii="Arial" w:hAnsi="Arial"/>
                <w:color w:val="3C3C3C"/>
                <w:sz w:val="20"/>
              </w:rPr>
            </w:r>
            <w:r>
              <w:rPr>
                <w:rFonts w:ascii="Arial" w:hAnsi="Arial"/>
                <w:color w:val="3C3C3C"/>
                <w:sz w:val="20"/>
              </w:rPr>
              <w:t>+0.05%</w:t>
            </w:r>
          </w:p>
        </w:tc>
        <w:tc>
          <w:tcPr>
            <w:tcW w:type="dxa" w:w="3120"/>
            <w:shd w:fill="F2F2F2" w:val="clear"/>
          </w:tcPr>
          <w:p>
            <w:r>
              <w:rPr>
                <w:rFonts w:ascii="Arial" w:hAnsi="Arial"/>
                <w:color w:val="3C3C3C"/>
                <w:sz w:val="20"/>
              </w:rPr>
            </w:r>
            <w:r>
              <w:rPr>
                <w:rFonts w:ascii="Arial" w:hAnsi="Arial"/>
                <w:color w:val="3C3C3C"/>
                <w:sz w:val="20"/>
              </w:rPr>
              <w:t>—</w:t>
            </w:r>
          </w:p>
        </w:tc>
      </w:tr>
      <w:tr>
        <w:tc>
          <w:tcPr>
            <w:tcW w:type="dxa" w:w="3120"/>
          </w:tcPr>
          <w:p>
            <w:r>
              <w:rPr>
                <w:rFonts w:ascii="Arial" w:hAnsi="Arial"/>
                <w:color w:val="3C3C3C"/>
                <w:sz w:val="20"/>
              </w:rPr>
            </w:r>
            <w:r>
              <w:rPr>
                <w:rFonts w:ascii="Arial" w:hAnsi="Arial"/>
                <w:color w:val="3C3C3C"/>
                <w:sz w:val="20"/>
              </w:rPr>
              <w:t>Information Ratio</w:t>
            </w:r>
          </w:p>
        </w:tc>
        <w:tc>
          <w:tcPr>
            <w:tcW w:type="dxa" w:w="3120"/>
          </w:tcPr>
          <w:p>
            <w:r>
              <w:rPr>
                <w:rFonts w:ascii="Arial" w:hAnsi="Arial"/>
                <w:color w:val="3C3C3C"/>
                <w:sz w:val="20"/>
              </w:rPr>
            </w:r>
            <w:r>
              <w:rPr>
                <w:rFonts w:ascii="Arial" w:hAnsi="Arial"/>
                <w:color w:val="3C3C3C"/>
                <w:sz w:val="20"/>
              </w:rPr>
              <w:t>0.25</w:t>
            </w:r>
          </w:p>
        </w:tc>
        <w:tc>
          <w:tcPr>
            <w:tcW w:type="dxa" w:w="3120"/>
          </w:tcPr>
          <w:p>
            <w:r>
              <w:rPr>
                <w:rFonts w:ascii="Arial" w:hAnsi="Arial"/>
                <w:color w:val="3C3C3C"/>
                <w:sz w:val="20"/>
              </w:rPr>
            </w:r>
            <w:r>
              <w:rPr>
                <w:rFonts w:ascii="Arial" w:hAnsi="Arial"/>
                <w:color w:val="3C3C3C"/>
                <w:sz w:val="20"/>
              </w:rPr>
              <w:t>—</w:t>
            </w:r>
          </w:p>
        </w:tc>
      </w:tr>
      <w:tr>
        <w:tc>
          <w:tcPr>
            <w:tcW w:type="dxa" w:w="3120"/>
            <w:shd w:fill="F2F2F2" w:val="clear"/>
          </w:tcPr>
          <w:p>
            <w:r>
              <w:rPr>
                <w:rFonts w:ascii="Arial" w:hAnsi="Arial"/>
                <w:color w:val="3C3C3C"/>
                <w:sz w:val="20"/>
              </w:rPr>
            </w:r>
            <w:r>
              <w:rPr>
                <w:rFonts w:ascii="Arial" w:hAnsi="Arial"/>
                <w:color w:val="3C3C3C"/>
                <w:sz w:val="20"/>
              </w:rPr>
              <w:t>t-stat (Alpha)</w:t>
            </w:r>
          </w:p>
        </w:tc>
        <w:tc>
          <w:tcPr>
            <w:tcW w:type="dxa" w:w="3120"/>
            <w:shd w:fill="F2F2F2" w:val="clear"/>
          </w:tcPr>
          <w:p>
            <w:r>
              <w:rPr>
                <w:rFonts w:ascii="Arial" w:hAnsi="Arial"/>
                <w:color w:val="3C3C3C"/>
                <w:sz w:val="20"/>
              </w:rPr>
            </w:r>
            <w:r>
              <w:rPr>
                <w:rFonts w:ascii="Arial" w:hAnsi="Arial"/>
                <w:color w:val="3C3C3C"/>
                <w:sz w:val="20"/>
              </w:rPr>
              <w:t>1.53</w:t>
            </w:r>
          </w:p>
        </w:tc>
        <w:tc>
          <w:tcPr>
            <w:tcW w:type="dxa" w:w="3120"/>
            <w:shd w:fill="F2F2F2" w:val="clear"/>
          </w:tcPr>
          <w:p>
            <w:r>
              <w:rPr>
                <w:rFonts w:ascii="Arial" w:hAnsi="Arial"/>
                <w:color w:val="3C3C3C"/>
                <w:sz w:val="20"/>
              </w:rPr>
            </w:r>
            <w:r>
              <w:rPr>
                <w:rFonts w:ascii="Arial" w:hAnsi="Arial"/>
                <w:color w:val="3C3C3C"/>
                <w:sz w:val="20"/>
              </w:rPr>
              <w:t>—</w:t>
            </w:r>
          </w:p>
        </w:tc>
      </w:tr>
      <w:tr>
        <w:tc>
          <w:tcPr>
            <w:tcW w:type="dxa" w:w="3120"/>
          </w:tcPr>
          <w:p>
            <w:r>
              <w:rPr>
                <w:rFonts w:ascii="Arial" w:hAnsi="Arial"/>
                <w:color w:val="3C3C3C"/>
                <w:sz w:val="20"/>
              </w:rPr>
            </w:r>
            <w:r>
              <w:rPr>
                <w:rFonts w:ascii="Arial" w:hAnsi="Arial"/>
                <w:color w:val="3C3C3C"/>
                <w:sz w:val="20"/>
              </w:rPr>
              <w:t>Hit Rate</w:t>
            </w:r>
          </w:p>
        </w:tc>
        <w:tc>
          <w:tcPr>
            <w:tcW w:type="dxa" w:w="3120"/>
          </w:tcPr>
          <w:p>
            <w:r>
              <w:rPr>
                <w:rFonts w:ascii="Arial" w:hAnsi="Arial"/>
                <w:color w:val="3C3C3C"/>
                <w:sz w:val="20"/>
              </w:rPr>
            </w:r>
            <w:r>
              <w:rPr>
                <w:rFonts w:ascii="Arial" w:hAnsi="Arial"/>
                <w:color w:val="3C3C3C"/>
                <w:sz w:val="20"/>
              </w:rPr>
              <w:t>62.4%</w:t>
            </w:r>
          </w:p>
        </w:tc>
        <w:tc>
          <w:tcPr>
            <w:tcW w:type="dxa" w:w="3120"/>
          </w:tcPr>
          <w:p>
            <w:r>
              <w:rPr>
                <w:rFonts w:ascii="Arial" w:hAnsi="Arial"/>
                <w:color w:val="3C3C3C"/>
                <w:sz w:val="20"/>
              </w:rPr>
            </w:r>
            <w:r>
              <w:rPr>
                <w:rFonts w:ascii="Arial" w:hAnsi="Arial"/>
                <w:color w:val="3C3C3C"/>
                <w:sz w:val="20"/>
              </w:rPr>
              <w:t>—</w:t>
            </w:r>
          </w:p>
        </w:tc>
      </w:tr>
      <w:tr>
        <w:tc>
          <w:tcPr>
            <w:tcW w:type="dxa" w:w="3120"/>
            <w:shd w:fill="F2F2F2" w:val="clear"/>
          </w:tcPr>
          <w:p>
            <w:r>
              <w:rPr>
                <w:rFonts w:ascii="Arial" w:hAnsi="Arial"/>
                <w:color w:val="3C3C3C"/>
                <w:sz w:val="20"/>
              </w:rPr>
            </w:r>
            <w:r>
              <w:rPr>
                <w:rFonts w:ascii="Arial" w:hAnsi="Arial"/>
                <w:color w:val="3C3C3C"/>
                <w:sz w:val="20"/>
              </w:rPr>
              <w:t>Tracking Error</w:t>
            </w:r>
          </w:p>
        </w:tc>
        <w:tc>
          <w:tcPr>
            <w:tcW w:type="dxa" w:w="3120"/>
            <w:shd w:fill="F2F2F2" w:val="clear"/>
          </w:tcPr>
          <w:p>
            <w:r>
              <w:rPr>
                <w:rFonts w:ascii="Arial" w:hAnsi="Arial"/>
                <w:color w:val="3C3C3C"/>
                <w:sz w:val="20"/>
              </w:rPr>
            </w:r>
            <w:r>
              <w:rPr>
                <w:rFonts w:ascii="Arial" w:hAnsi="Arial"/>
                <w:color w:val="3C3C3C"/>
                <w:sz w:val="20"/>
              </w:rPr>
              <w:t>0.19%</w:t>
            </w:r>
          </w:p>
        </w:tc>
        <w:tc>
          <w:tcPr>
            <w:tcW w:type="dxa" w:w="3120"/>
            <w:shd w:fill="F2F2F2" w:val="clear"/>
          </w:tcPr>
          <w:p>
            <w:r>
              <w:rPr>
                <w:rFonts w:ascii="Arial" w:hAnsi="Arial"/>
                <w:color w:val="3C3C3C"/>
                <w:sz w:val="20"/>
              </w:rPr>
            </w:r>
            <w:r>
              <w:rPr>
                <w:rFonts w:ascii="Arial" w:hAnsi="Arial"/>
                <w:color w:val="3C3C3C"/>
                <w:sz w:val="20"/>
              </w:rPr>
              <w:t>—</w:t>
            </w:r>
          </w:p>
        </w:tc>
      </w:tr>
      <w:tr>
        <w:tc>
          <w:tcPr>
            <w:tcW w:type="dxa" w:w="3120"/>
          </w:tcPr>
          <w:p>
            <w:r>
              <w:rPr>
                <w:rFonts w:ascii="Arial" w:hAnsi="Arial"/>
                <w:color w:val="3C3C3C"/>
                <w:sz w:val="20"/>
              </w:rPr>
            </w:r>
            <w:r>
              <w:rPr>
                <w:rFonts w:ascii="Arial" w:hAnsi="Arial"/>
                <w:color w:val="3C3C3C"/>
                <w:sz w:val="20"/>
              </w:rPr>
              <w:t>Avg Monthly Turnover</w:t>
            </w:r>
          </w:p>
        </w:tc>
        <w:tc>
          <w:tcPr>
            <w:tcW w:type="dxa" w:w="3120"/>
          </w:tcPr>
          <w:p>
            <w:r>
              <w:rPr>
                <w:rFonts w:ascii="Arial" w:hAnsi="Arial"/>
                <w:color w:val="3C3C3C"/>
                <w:sz w:val="20"/>
              </w:rPr>
            </w:r>
            <w:r>
              <w:rPr>
                <w:rFonts w:ascii="Arial" w:hAnsi="Arial"/>
                <w:color w:val="3C3C3C"/>
                <w:sz w:val="20"/>
              </w:rPr>
              <w:t>0.46%</w:t>
            </w:r>
          </w:p>
        </w:tc>
        <w:tc>
          <w:tcPr>
            <w:tcW w:type="dxa" w:w="3120"/>
          </w:tcPr>
          <w:p>
            <w:r>
              <w:rPr>
                <w:rFonts w:ascii="Arial" w:hAnsi="Arial"/>
                <w:color w:val="3C3C3C"/>
                <w:sz w:val="20"/>
              </w:rPr>
            </w:r>
            <w:r>
              <w:rPr>
                <w:rFonts w:ascii="Arial" w:hAnsi="Arial"/>
                <w:color w:val="3C3C3C"/>
                <w:sz w:val="20"/>
              </w:rPr>
              <w:t>—</w:t>
            </w:r>
          </w:p>
        </w:tc>
      </w:tr>
    </w:tbl>
    <w:p>
      <w:pPr>
        <w:spacing w:before="80" w:after="80"/>
      </w:pPr>
    </w:p>
    <w:p>
      <w:pPr>
        <w:spacing w:before="200" w:after="80" w:line="264" w:lineRule="auto"/>
      </w:pPr>
      <w:r>
        <w:rPr>
          <w:rFonts w:ascii="Arial" w:hAnsi="Arial"/>
          <w:b/>
          <w:color w:val="1B2A4A"/>
          <w:sz w:val="20"/>
        </w:rPr>
        <w:t>Credit factor signals rotate across rating buckets in response to regime shifts</w:t>
      </w:r>
    </w:p>
    <w:p>
      <w:pPr>
        <w:spacing w:before="40"/>
        <w:jc w:val="center"/>
      </w:pPr>
      <w:r>
        <w:drawing>
          <wp:inline xmlns:a="http://schemas.openxmlformats.org/drawingml/2006/main" xmlns:pic="http://schemas.openxmlformats.org/drawingml/2006/picture">
            <wp:extent cx="5943600" cy="3632200"/>
            <wp:docPr id="11" name="Picture 11"/>
            <wp:cNvGraphicFramePr>
              <a:graphicFrameLocks noChangeAspect="1"/>
            </wp:cNvGraphicFramePr>
            <a:graphic>
              <a:graphicData uri="http://schemas.openxmlformats.org/drawingml/2006/picture">
                <pic:pic>
                  <pic:nvPicPr>
                    <pic:cNvPr id="0" name="fig_4399574464.png"/>
                    <pic:cNvPicPr/>
                  </pic:nvPicPr>
                  <pic:blipFill>
                    <a:blip r:embed="rId17"/>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7: Credit Factor Signals by Rating Bucket (FRED)</w:t>
      </w:r>
    </w:p>
    <w:p>
      <w:pPr>
        <w:spacing w:before="200" w:after="80" w:line="264" w:lineRule="auto"/>
      </w:pPr>
      <w:r>
        <w:rPr>
          <w:rFonts w:ascii="Arial" w:hAnsi="Arial"/>
          <w:b/>
          <w:color w:val="1B2A4A"/>
          <w:sz w:val="20"/>
        </w:rPr>
        <w:t>Allocation shifts defensively during stress and harvests BBB premium during compression</w:t>
      </w:r>
    </w:p>
    <w:p>
      <w:pPr>
        <w:spacing w:before="40"/>
        <w:jc w:val="center"/>
      </w:pPr>
      <w:r>
        <w:drawing>
          <wp:inline xmlns:a="http://schemas.openxmlformats.org/drawingml/2006/main" xmlns:pic="http://schemas.openxmlformats.org/drawingml/2006/picture">
            <wp:extent cx="5943600" cy="3632200"/>
            <wp:docPr id="12" name="Picture 12"/>
            <wp:cNvGraphicFramePr>
              <a:graphicFrameLocks noChangeAspect="1"/>
            </wp:cNvGraphicFramePr>
            <a:graphic>
              <a:graphicData uri="http://schemas.openxmlformats.org/drawingml/2006/picture">
                <pic:pic>
                  <pic:nvPicPr>
                    <pic:cNvPr id="0" name="exec_fig_29.png"/>
                    <pic:cNvPicPr/>
                  </pic:nvPicPr>
                  <pic:blipFill>
                    <a:blip r:embed="rId11"/>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8: Rating Bucket Allocation Over Time</w:t>
      </w:r>
    </w:p>
    <w:p>
      <w:pPr>
        <w:pStyle w:val="Heading3"/>
      </w:pPr>
      <w:r>
        <w:rPr>
          <w:rFonts w:ascii="Arial" w:hAnsi="Arial"/>
          <w:color w:val="1B2A4A"/>
        </w:rPr>
        <w:t>Interpretation Against the Hypothesis</w:t>
      </w:r>
    </w:p>
    <w:p>
      <w:pPr>
        <w:spacing w:line="276" w:lineRule="auto" w:after="120"/>
        <w:jc w:val="both"/>
      </w:pPr>
      <w:r>
        <w:rPr>
          <w:rFonts w:ascii="Arial" w:hAnsi="Arial"/>
          <w:b w:val="0"/>
          <w:i w:val="0"/>
          <w:color w:val="3C3C3C"/>
          <w:sz w:val="22"/>
        </w:rPr>
        <w:t>Refer to Table 5 for the full performance statistics. The key metrics to evaluate H₁:</w:t>
      </w:r>
    </w:p>
    <w:p>
      <w:pPr>
        <w:spacing w:line="276" w:lineRule="auto" w:after="120"/>
        <w:jc w:val="both"/>
      </w:pPr>
      <w:r>
        <w:rPr>
          <w:rFonts w:ascii="Arial" w:hAnsi="Arial"/>
          <w:b/>
          <w:i w:val="0"/>
          <w:color w:val="3C3C3C"/>
          <w:sz w:val="22"/>
        </w:rPr>
        <w:t>What the strategy does well:</w:t>
      </w:r>
    </w:p>
    <w:p>
      <w:pPr>
        <w:pStyle w:val="ListBullet"/>
        <w:spacing w:line="276" w:lineRule="auto"/>
      </w:pPr>
      <w:r>
        <w:rPr>
          <w:rFonts w:ascii="Arial" w:hAnsi="Arial"/>
          <w:b w:val="0"/>
          <w:i w:val="0"/>
          <w:color w:val="3C3C3C"/>
          <w:sz w:val="22"/>
        </w:rPr>
        <w:t xml:space="preserve">Captures the </w:t>
      </w:r>
      <w:r>
        <w:rPr>
          <w:rFonts w:ascii="Arial" w:hAnsi="Arial"/>
          <w:b/>
          <w:i w:val="0"/>
          <w:color w:val="3C3C3C"/>
          <w:sz w:val="22"/>
        </w:rPr>
        <w:t>BBB carry premium</w:t>
      </w:r>
      <w:r>
        <w:rPr>
          <w:rFonts w:ascii="Arial" w:hAnsi="Arial"/>
          <w:b w:val="0"/>
          <w:i w:val="0"/>
          <w:color w:val="3C3C3C"/>
          <w:sz w:val="22"/>
        </w:rPr>
        <w:t xml:space="preserve"> while rotating away during stress episodes. The weight allocation chart (Figure 8) shows the strategy reducing BBB exposure ahead of major spread-widening events.</w:t>
      </w:r>
    </w:p>
    <w:p>
      <w:pPr>
        <w:pStyle w:val="ListBullet"/>
        <w:spacing w:line="276" w:lineRule="auto"/>
      </w:pPr>
      <w:r>
        <w:rPr>
          <w:rFonts w:ascii="Arial" w:hAnsi="Arial"/>
          <w:b w:val="0"/>
          <w:i w:val="0"/>
          <w:color w:val="3C3C3C"/>
          <w:sz w:val="22"/>
        </w:rPr>
        <w:t xml:space="preserve">The </w:t>
      </w:r>
      <w:r>
        <w:rPr>
          <w:rFonts w:ascii="Arial" w:hAnsi="Arial"/>
          <w:b/>
          <w:i w:val="0"/>
          <w:color w:val="3C3C3C"/>
          <w:sz w:val="22"/>
        </w:rPr>
        <w:t>value signal</w:t>
      </w:r>
      <w:r>
        <w:rPr>
          <w:rFonts w:ascii="Arial" w:hAnsi="Arial"/>
          <w:b w:val="0"/>
          <w:i w:val="0"/>
          <w:color w:val="3C3C3C"/>
          <w:sz w:val="22"/>
        </w:rPr>
        <w:t xml:space="preserve"> correctly identifies mean-reversion opportunities after spread dislocations --- the strategy re-enters BBB after spreads have overshot.</w:t>
      </w:r>
    </w:p>
    <w:p>
      <w:pPr>
        <w:pStyle w:val="ListBullet"/>
        <w:spacing w:line="276" w:lineRule="auto"/>
      </w:pPr>
      <w:r>
        <w:rPr>
          <w:rFonts w:ascii="Arial" w:hAnsi="Arial"/>
          <w:b/>
          <w:i w:val="0"/>
          <w:color w:val="3C3C3C"/>
          <w:sz w:val="22"/>
        </w:rPr>
        <w:t>DTS factor</w:t>
      </w:r>
      <w:r>
        <w:rPr>
          <w:rFonts w:ascii="Arial" w:hAnsi="Arial"/>
          <w:b w:val="0"/>
          <w:i w:val="0"/>
          <w:color w:val="3C3C3C"/>
          <w:sz w:val="22"/>
        </w:rPr>
        <w:t xml:space="preserve"> provides risk-adjusted exposure sizing, ensuring that the portfolio's spread-duration exposure is compensated.</w:t>
      </w:r>
    </w:p>
    <w:p>
      <w:pPr>
        <w:spacing w:line="276" w:lineRule="auto" w:after="120"/>
        <w:jc w:val="both"/>
      </w:pPr>
      <w:r>
        <w:rPr>
          <w:rFonts w:ascii="Arial" w:hAnsi="Arial"/>
          <w:b/>
          <w:i w:val="0"/>
          <w:color w:val="3C3C3C"/>
          <w:sz w:val="22"/>
        </w:rPr>
        <w:t>Limitations --- stated honestly:</w:t>
      </w:r>
    </w:p>
    <w:p>
      <w:pPr>
        <w:pStyle w:val="ListBullet"/>
        <w:spacing w:line="276" w:lineRule="auto"/>
      </w:pPr>
      <w:r>
        <w:rPr>
          <w:rFonts w:ascii="Arial" w:hAnsi="Arial"/>
          <w:b w:val="0"/>
          <w:i w:val="0"/>
          <w:color w:val="3C3C3C"/>
          <w:sz w:val="22"/>
        </w:rPr>
        <w:t>With only 4 assets (rating buckets), alpha generation is structurally limited. This is a rotation strategy, not a security selection strategy.</w:t>
      </w:r>
    </w:p>
    <w:p>
      <w:pPr>
        <w:pStyle w:val="ListBullet"/>
        <w:spacing w:line="276" w:lineRule="auto"/>
      </w:pPr>
      <w:r>
        <w:rPr>
          <w:rFonts w:ascii="Arial" w:hAnsi="Arial"/>
          <w:b w:val="0"/>
          <w:i w:val="0"/>
          <w:color w:val="3C3C3C"/>
          <w:sz w:val="22"/>
        </w:rPr>
        <w:t>Spread returns are an approximation (carry + duration × ΔOAS), which introduces tracking error against actual index returns.</w:t>
      </w:r>
    </w:p>
    <w:p>
      <w:pPr>
        <w:pStyle w:val="ListBullet"/>
        <w:spacing w:line="276" w:lineRule="auto"/>
      </w:pPr>
      <w:r>
        <w:rPr>
          <w:rFonts w:ascii="Arial" w:hAnsi="Arial"/>
          <w:b w:val="0"/>
          <w:i w:val="0"/>
          <w:color w:val="3C3C3C"/>
          <w:sz w:val="22"/>
        </w:rPr>
        <w:t>Transaction costs assume institutional-level execution (5bp one-way). Retail investors would face higher friction.</w:t>
      </w:r>
    </w:p>
    <w:p>
      <w:pPr>
        <w:pStyle w:val="ListBullet"/>
        <w:spacing w:line="276" w:lineRule="auto"/>
      </w:pPr>
      <w:r>
        <w:rPr>
          <w:rFonts w:ascii="Arial" w:hAnsi="Arial"/>
          <w:b w:val="0"/>
          <w:i w:val="0"/>
          <w:color w:val="3C3C3C"/>
          <w:sz w:val="22"/>
        </w:rPr>
        <w:t>No idiosyncratic issuer selection --- this is purely a top-down rating-tier rotation.</w:t>
      </w:r>
    </w:p>
    <w:p>
      <w:pPr>
        <w:spacing w:line="276" w:lineRule="auto" w:after="120"/>
        <w:jc w:val="both"/>
      </w:pPr>
      <w:r>
        <w:rPr>
          <w:rFonts w:ascii="Arial" w:hAnsi="Arial"/>
          <w:b w:val="0"/>
          <w:i w:val="0"/>
          <w:color w:val="3C3C3C"/>
          <w:sz w:val="22"/>
        </w:rPr>
        <w:t>The factor signal time series (Figure 7) show the evolution of DTS, value, and momentum z-scores across buckets. Note how signals diverge most during regime transitions --- precisely when the strategy is most active.</w:t>
      </w:r>
    </w:p>
    <w:p>
      <w:pPr>
        <w:spacing w:before="360" w:after="0"/>
      </w:pPr>
    </w:p>
    <w:p>
      <w:pPr>
        <w:pStyle w:val="Heading1"/>
      </w:pPr>
      <w:r>
        <w:rPr>
          <w:rFonts w:ascii="Arial" w:hAnsi="Arial"/>
          <w:color w:val="1B2A4A"/>
        </w:rPr>
        <w:t>9. Robustness Checks</w:t>
      </w:r>
    </w:p>
    <w:p>
      <w:pPr>
        <w:spacing w:line="276" w:lineRule="auto" w:after="120"/>
        <w:jc w:val="both"/>
      </w:pPr>
      <w:r>
        <w:rPr>
          <w:rFonts w:ascii="Arial" w:hAnsi="Arial"/>
          <w:b w:val="0"/>
          <w:i w:val="0"/>
          <w:color w:val="3C3C3C"/>
          <w:sz w:val="22"/>
        </w:rPr>
        <w:t xml:space="preserve">A backtest tells us what </w:t>
      </w:r>
      <w:r>
        <w:rPr>
          <w:rFonts w:ascii="Arial" w:hAnsi="Arial"/>
          <w:b w:val="0"/>
          <w:i/>
          <w:color w:val="3C3C3C"/>
          <w:sz w:val="22"/>
        </w:rPr>
        <w:t>did</w:t>
      </w:r>
      <w:r>
        <w:rPr>
          <w:rFonts w:ascii="Arial" w:hAnsi="Arial"/>
          <w:b w:val="0"/>
          <w:i w:val="0"/>
          <w:color w:val="3C3C3C"/>
          <w:sz w:val="22"/>
        </w:rPr>
        <w:t xml:space="preserve"> happen. Robustness checks ask: </w:t>
      </w:r>
      <w:r>
        <w:rPr>
          <w:rFonts w:ascii="Arial" w:hAnsi="Arial"/>
          <w:b w:val="0"/>
          <w:i/>
          <w:color w:val="3C3C3C"/>
          <w:sz w:val="22"/>
        </w:rPr>
        <w:t>what could happen?</w:t>
      </w:r>
      <w:r>
        <w:rPr>
          <w:rFonts w:ascii="Arial" w:hAnsi="Arial"/>
          <w:b w:val="0"/>
          <w:i w:val="0"/>
          <w:color w:val="3C3C3C"/>
          <w:sz w:val="22"/>
        </w:rPr>
        <w:t xml:space="preserve"> We subject the strategy to two forms of out-of-sample stress: deterministic scenario analysis and stochastic simulation.</w:t>
      </w:r>
    </w:p>
    <w:p>
      <w:pPr>
        <w:pStyle w:val="Heading2"/>
      </w:pPr>
      <w:r>
        <w:rPr>
          <w:rFonts w:ascii="Arial" w:hAnsi="Arial"/>
          <w:color w:val="3D5A80"/>
        </w:rPr>
        <w:t>9.1 Stress Testing</w:t>
      </w:r>
    </w:p>
    <w:p>
      <w:pPr>
        <w:pStyle w:val="Heading3"/>
      </w:pPr>
      <w:r>
        <w:rPr>
          <w:rFonts w:ascii="Arial" w:hAnsi="Arial"/>
          <w:color w:val="1B2A4A"/>
        </w:rPr>
        <w:t>Purpose</w:t>
      </w:r>
    </w:p>
    <w:p>
      <w:pPr>
        <w:spacing w:line="276" w:lineRule="auto" w:after="120"/>
        <w:jc w:val="both"/>
      </w:pPr>
      <w:r>
        <w:rPr>
          <w:rFonts w:ascii="Arial" w:hAnsi="Arial"/>
          <w:b w:val="0"/>
          <w:i w:val="0"/>
          <w:color w:val="3C3C3C"/>
          <w:sz w:val="22"/>
        </w:rPr>
        <w:t xml:space="preserve">Stress tests answer a specific question: </w:t>
      </w:r>
      <w:r>
        <w:rPr>
          <w:rFonts w:ascii="Arial" w:hAnsi="Arial"/>
          <w:b/>
          <w:i w:val="0"/>
          <w:color w:val="3C3C3C"/>
          <w:sz w:val="22"/>
        </w:rPr>
        <w:t>"What happens to the portfolio under extreme but plausible scenarios?"</w:t>
      </w:r>
      <w:r>
        <w:rPr>
          <w:rFonts w:ascii="Arial" w:hAnsi="Arial"/>
          <w:b w:val="0"/>
          <w:i w:val="0"/>
          <w:color w:val="3C3C3C"/>
          <w:sz w:val="22"/>
        </w:rPr>
        <w:t xml:space="preserve"> These are not tests of the hypothesis --- they are tests of the portfolio's resilience.</w:t>
      </w:r>
    </w:p>
    <w:p>
      <w:pPr>
        <w:spacing w:line="276" w:lineRule="auto" w:after="120"/>
        <w:jc w:val="both"/>
      </w:pPr>
      <w:r>
        <w:rPr>
          <w:rFonts w:ascii="Arial" w:hAnsi="Arial"/>
          <w:b w:val="0"/>
          <w:i w:val="0"/>
          <w:color w:val="3C3C3C"/>
          <w:sz w:val="22"/>
        </w:rPr>
        <w:t>We apply predefined OAS shocks to the current FRED data and measure the impact on portfolio weights, carry, and price returns. The four scenarios are calibrated to historical analogs:</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560"/>
        <w:gridCol w:w="1560"/>
        <w:gridCol w:w="1560"/>
        <w:gridCol w:w="1560"/>
        <w:gridCol w:w="1560"/>
        <w:gridCol w:w="1560"/>
      </w:tblGrid>
      <w:tr>
        <w:tc>
          <w:tcPr>
            <w:tcW w:type="dxa" w:w="1560"/>
            <w:shd w:fill="1B2A4A" w:val="clear"/>
          </w:tcPr>
          <w:p>
            <w:r>
              <w:rPr>
                <w:rFonts w:ascii="Arial" w:hAnsi="Arial"/>
                <w:b/>
                <w:color w:val="FFFFFF"/>
                <w:sz w:val="20"/>
              </w:rPr>
            </w:r>
            <w:r>
              <w:rPr>
                <w:rFonts w:ascii="Arial" w:hAnsi="Arial"/>
                <w:b/>
                <w:color w:val="FFFFFF"/>
                <w:sz w:val="20"/>
              </w:rPr>
              <w:t>Scenario</w:t>
            </w:r>
          </w:p>
        </w:tc>
        <w:tc>
          <w:tcPr>
            <w:tcW w:type="dxa" w:w="1560"/>
            <w:shd w:fill="1B2A4A" w:val="clear"/>
          </w:tcPr>
          <w:p>
            <w:r>
              <w:rPr>
                <w:rFonts w:ascii="Arial" w:hAnsi="Arial"/>
                <w:b/>
                <w:color w:val="FFFFFF"/>
                <w:sz w:val="20"/>
              </w:rPr>
            </w:r>
            <w:r>
              <w:rPr>
                <w:rFonts w:ascii="Arial" w:hAnsi="Arial"/>
                <w:b/>
                <w:color w:val="FFFFFF"/>
                <w:sz w:val="20"/>
              </w:rPr>
              <w:t>AAA Shock</w:t>
            </w:r>
          </w:p>
        </w:tc>
        <w:tc>
          <w:tcPr>
            <w:tcW w:type="dxa" w:w="1560"/>
            <w:shd w:fill="1B2A4A" w:val="clear"/>
          </w:tcPr>
          <w:p>
            <w:r>
              <w:rPr>
                <w:rFonts w:ascii="Arial" w:hAnsi="Arial"/>
                <w:b/>
                <w:color w:val="FFFFFF"/>
                <w:sz w:val="20"/>
              </w:rPr>
            </w:r>
            <w:r>
              <w:rPr>
                <w:rFonts w:ascii="Arial" w:hAnsi="Arial"/>
                <w:b/>
                <w:color w:val="FFFFFF"/>
                <w:sz w:val="20"/>
              </w:rPr>
              <w:t>AA Shock</w:t>
            </w:r>
          </w:p>
        </w:tc>
        <w:tc>
          <w:tcPr>
            <w:tcW w:type="dxa" w:w="1560"/>
            <w:shd w:fill="1B2A4A" w:val="clear"/>
          </w:tcPr>
          <w:p>
            <w:r>
              <w:rPr>
                <w:rFonts w:ascii="Arial" w:hAnsi="Arial"/>
                <w:b/>
                <w:color w:val="FFFFFF"/>
                <w:sz w:val="20"/>
              </w:rPr>
            </w:r>
            <w:r>
              <w:rPr>
                <w:rFonts w:ascii="Arial" w:hAnsi="Arial"/>
                <w:b/>
                <w:color w:val="FFFFFF"/>
                <w:sz w:val="20"/>
              </w:rPr>
              <w:t>A Shock</w:t>
            </w:r>
          </w:p>
        </w:tc>
        <w:tc>
          <w:tcPr>
            <w:tcW w:type="dxa" w:w="1560"/>
            <w:shd w:fill="1B2A4A" w:val="clear"/>
          </w:tcPr>
          <w:p>
            <w:r>
              <w:rPr>
                <w:rFonts w:ascii="Arial" w:hAnsi="Arial"/>
                <w:b/>
                <w:color w:val="FFFFFF"/>
                <w:sz w:val="20"/>
              </w:rPr>
            </w:r>
            <w:r>
              <w:rPr>
                <w:rFonts w:ascii="Arial" w:hAnsi="Arial"/>
                <w:b/>
                <w:color w:val="FFFFFF"/>
                <w:sz w:val="20"/>
              </w:rPr>
              <w:t>BBB Shock</w:t>
            </w:r>
          </w:p>
        </w:tc>
        <w:tc>
          <w:tcPr>
            <w:tcW w:type="dxa" w:w="1560"/>
            <w:shd w:fill="1B2A4A" w:val="clear"/>
          </w:tcPr>
          <w:p>
            <w:r>
              <w:rPr>
                <w:rFonts w:ascii="Arial" w:hAnsi="Arial"/>
                <w:b/>
                <w:color w:val="FFFFFF"/>
                <w:sz w:val="20"/>
              </w:rPr>
            </w:r>
            <w:r>
              <w:rPr>
                <w:rFonts w:ascii="Arial" w:hAnsi="Arial"/>
                <w:b/>
                <w:color w:val="FFFFFF"/>
                <w:sz w:val="20"/>
              </w:rPr>
              <w:t>Historical Analog</w:t>
            </w:r>
          </w:p>
        </w:tc>
      </w:tr>
      <w:tr>
        <w:tc>
          <w:tcPr>
            <w:tcW w:type="dxa" w:w="1560"/>
          </w:tcPr>
          <w:p>
            <w:r>
              <w:rPr>
                <w:rFonts w:ascii="Arial" w:hAnsi="Arial"/>
                <w:color w:val="3C3C3C"/>
                <w:sz w:val="20"/>
              </w:rPr>
            </w:r>
            <w:r>
              <w:rPr>
                <w:rFonts w:ascii="Arial" w:hAnsi="Arial"/>
                <w:color w:val="3C3C3C"/>
                <w:sz w:val="20"/>
              </w:rPr>
              <w:t>Spread Widening +200bp</w:t>
            </w:r>
          </w:p>
        </w:tc>
        <w:tc>
          <w:tcPr>
            <w:tcW w:type="dxa" w:w="1560"/>
          </w:tcPr>
          <w:p>
            <w:r>
              <w:rPr>
                <w:rFonts w:ascii="Arial" w:hAnsi="Arial"/>
                <w:color w:val="3C3C3C"/>
                <w:sz w:val="20"/>
              </w:rPr>
            </w:r>
            <w:r>
              <w:rPr>
                <w:rFonts w:ascii="Arial" w:hAnsi="Arial"/>
                <w:color w:val="3C3C3C"/>
                <w:sz w:val="20"/>
              </w:rPr>
              <w:t>+200bp</w:t>
            </w:r>
          </w:p>
        </w:tc>
        <w:tc>
          <w:tcPr>
            <w:tcW w:type="dxa" w:w="1560"/>
          </w:tcPr>
          <w:p>
            <w:r>
              <w:rPr>
                <w:rFonts w:ascii="Arial" w:hAnsi="Arial"/>
                <w:color w:val="3C3C3C"/>
                <w:sz w:val="20"/>
              </w:rPr>
            </w:r>
            <w:r>
              <w:rPr>
                <w:rFonts w:ascii="Arial" w:hAnsi="Arial"/>
                <w:color w:val="3C3C3C"/>
                <w:sz w:val="20"/>
              </w:rPr>
              <w:t>+200bp</w:t>
            </w:r>
          </w:p>
        </w:tc>
        <w:tc>
          <w:tcPr>
            <w:tcW w:type="dxa" w:w="1560"/>
          </w:tcPr>
          <w:p>
            <w:r>
              <w:rPr>
                <w:rFonts w:ascii="Arial" w:hAnsi="Arial"/>
                <w:color w:val="3C3C3C"/>
                <w:sz w:val="20"/>
              </w:rPr>
            </w:r>
            <w:r>
              <w:rPr>
                <w:rFonts w:ascii="Arial" w:hAnsi="Arial"/>
                <w:color w:val="3C3C3C"/>
                <w:sz w:val="20"/>
              </w:rPr>
              <w:t>+200bp</w:t>
            </w:r>
          </w:p>
        </w:tc>
        <w:tc>
          <w:tcPr>
            <w:tcW w:type="dxa" w:w="1560"/>
          </w:tcPr>
          <w:p>
            <w:r>
              <w:rPr>
                <w:rFonts w:ascii="Arial" w:hAnsi="Arial"/>
                <w:color w:val="3C3C3C"/>
                <w:sz w:val="20"/>
              </w:rPr>
            </w:r>
            <w:r>
              <w:rPr>
                <w:rFonts w:ascii="Arial" w:hAnsi="Arial"/>
                <w:color w:val="3C3C3C"/>
                <w:sz w:val="20"/>
              </w:rPr>
              <w:t>+200bp</w:t>
            </w:r>
          </w:p>
        </w:tc>
        <w:tc>
          <w:tcPr>
            <w:tcW w:type="dxa" w:w="1560"/>
          </w:tcPr>
          <w:p>
            <w:r>
              <w:rPr>
                <w:rFonts w:ascii="Arial" w:hAnsi="Arial"/>
                <w:color w:val="3C3C3C"/>
                <w:sz w:val="20"/>
              </w:rPr>
            </w:r>
            <w:r>
              <w:rPr>
                <w:rFonts w:ascii="Arial" w:hAnsi="Arial"/>
                <w:color w:val="3C3C3C"/>
                <w:sz w:val="20"/>
              </w:rPr>
              <w:t>Generic risk-off</w:t>
            </w:r>
          </w:p>
        </w:tc>
      </w:tr>
      <w:tr>
        <w:tc>
          <w:tcPr>
            <w:tcW w:type="dxa" w:w="1560"/>
            <w:shd w:fill="F2F2F2" w:val="clear"/>
          </w:tcPr>
          <w:p>
            <w:r>
              <w:rPr>
                <w:rFonts w:ascii="Arial" w:hAnsi="Arial"/>
                <w:color w:val="3C3C3C"/>
                <w:sz w:val="20"/>
              </w:rPr>
            </w:r>
            <w:r>
              <w:rPr>
                <w:rFonts w:ascii="Arial" w:hAnsi="Arial"/>
                <w:color w:val="3C3C3C"/>
                <w:sz w:val="20"/>
              </w:rPr>
              <w:t>BBB Crisis</w:t>
            </w:r>
          </w:p>
        </w:tc>
        <w:tc>
          <w:tcPr>
            <w:tcW w:type="dxa" w:w="1560"/>
            <w:shd w:fill="F2F2F2" w:val="clear"/>
          </w:tcPr>
          <w:p>
            <w:r>
              <w:rPr>
                <w:rFonts w:ascii="Arial" w:hAnsi="Arial"/>
                <w:color w:val="3C3C3C"/>
                <w:sz w:val="20"/>
              </w:rPr>
            </w:r>
            <w:r>
              <w:rPr>
                <w:rFonts w:ascii="Arial" w:hAnsi="Arial"/>
                <w:color w:val="3C3C3C"/>
                <w:sz w:val="20"/>
              </w:rPr>
              <w:t>---</w:t>
            </w:r>
          </w:p>
        </w:tc>
        <w:tc>
          <w:tcPr>
            <w:tcW w:type="dxa" w:w="1560"/>
            <w:shd w:fill="F2F2F2" w:val="clear"/>
          </w:tcPr>
          <w:p>
            <w:r>
              <w:rPr>
                <w:rFonts w:ascii="Arial" w:hAnsi="Arial"/>
                <w:color w:val="3C3C3C"/>
                <w:sz w:val="20"/>
              </w:rPr>
            </w:r>
            <w:r>
              <w:rPr>
                <w:rFonts w:ascii="Arial" w:hAnsi="Arial"/>
                <w:color w:val="3C3C3C"/>
                <w:sz w:val="20"/>
              </w:rPr>
              <w:t>---</w:t>
            </w:r>
          </w:p>
        </w:tc>
        <w:tc>
          <w:tcPr>
            <w:tcW w:type="dxa" w:w="1560"/>
            <w:shd w:fill="F2F2F2" w:val="clear"/>
          </w:tcPr>
          <w:p>
            <w:r>
              <w:rPr>
                <w:rFonts w:ascii="Arial" w:hAnsi="Arial"/>
                <w:color w:val="3C3C3C"/>
                <w:sz w:val="20"/>
              </w:rPr>
            </w:r>
            <w:r>
              <w:rPr>
                <w:rFonts w:ascii="Arial" w:hAnsi="Arial"/>
                <w:color w:val="3C3C3C"/>
                <w:sz w:val="20"/>
              </w:rPr>
              <w:t>+50bp</w:t>
            </w:r>
          </w:p>
        </w:tc>
        <w:tc>
          <w:tcPr>
            <w:tcW w:type="dxa" w:w="1560"/>
            <w:shd w:fill="F2F2F2" w:val="clear"/>
          </w:tcPr>
          <w:p>
            <w:r>
              <w:rPr>
                <w:rFonts w:ascii="Arial" w:hAnsi="Arial"/>
                <w:color w:val="3C3C3C"/>
                <w:sz w:val="20"/>
              </w:rPr>
            </w:r>
            <w:r>
              <w:rPr>
                <w:rFonts w:ascii="Arial" w:hAnsi="Arial"/>
                <w:color w:val="3C3C3C"/>
                <w:sz w:val="20"/>
              </w:rPr>
              <w:t>+300bp</w:t>
            </w:r>
          </w:p>
        </w:tc>
        <w:tc>
          <w:tcPr>
            <w:tcW w:type="dxa" w:w="1560"/>
            <w:shd w:fill="F2F2F2" w:val="clear"/>
          </w:tcPr>
          <w:p>
            <w:r>
              <w:rPr>
                <w:rFonts w:ascii="Arial" w:hAnsi="Arial"/>
                <w:color w:val="3C3C3C"/>
                <w:sz w:val="20"/>
              </w:rPr>
            </w:r>
            <w:r>
              <w:rPr>
                <w:rFonts w:ascii="Arial" w:hAnsi="Arial"/>
                <w:color w:val="3C3C3C"/>
                <w:sz w:val="20"/>
              </w:rPr>
              <w:t>2002 WorldCom, 2018 GE</w:t>
            </w:r>
          </w:p>
        </w:tc>
      </w:tr>
      <w:tr>
        <w:tc>
          <w:tcPr>
            <w:tcW w:type="dxa" w:w="1560"/>
          </w:tcPr>
          <w:p>
            <w:r>
              <w:rPr>
                <w:rFonts w:ascii="Arial" w:hAnsi="Arial"/>
                <w:color w:val="3C3C3C"/>
                <w:sz w:val="20"/>
              </w:rPr>
            </w:r>
            <w:r>
              <w:rPr>
                <w:rFonts w:ascii="Arial" w:hAnsi="Arial"/>
                <w:color w:val="3C3C3C"/>
                <w:sz w:val="20"/>
              </w:rPr>
              <w:t>Fed Hike Shock</w:t>
            </w:r>
          </w:p>
        </w:tc>
        <w:tc>
          <w:tcPr>
            <w:tcW w:type="dxa" w:w="1560"/>
          </w:tcPr>
          <w:p>
            <w:r>
              <w:rPr>
                <w:rFonts w:ascii="Arial" w:hAnsi="Arial"/>
                <w:color w:val="3C3C3C"/>
                <w:sz w:val="20"/>
              </w:rPr>
            </w:r>
            <w:r>
              <w:rPr>
                <w:rFonts w:ascii="Arial" w:hAnsi="Arial"/>
                <w:color w:val="3C3C3C"/>
                <w:sz w:val="20"/>
              </w:rPr>
              <w:t>+100bp</w:t>
            </w:r>
          </w:p>
        </w:tc>
        <w:tc>
          <w:tcPr>
            <w:tcW w:type="dxa" w:w="1560"/>
          </w:tcPr>
          <w:p>
            <w:r>
              <w:rPr>
                <w:rFonts w:ascii="Arial" w:hAnsi="Arial"/>
                <w:color w:val="3C3C3C"/>
                <w:sz w:val="20"/>
              </w:rPr>
            </w:r>
            <w:r>
              <w:rPr>
                <w:rFonts w:ascii="Arial" w:hAnsi="Arial"/>
                <w:color w:val="3C3C3C"/>
                <w:sz w:val="20"/>
              </w:rPr>
              <w:t>+100bp</w:t>
            </w:r>
          </w:p>
        </w:tc>
        <w:tc>
          <w:tcPr>
            <w:tcW w:type="dxa" w:w="1560"/>
          </w:tcPr>
          <w:p>
            <w:r>
              <w:rPr>
                <w:rFonts w:ascii="Arial" w:hAnsi="Arial"/>
                <w:color w:val="3C3C3C"/>
                <w:sz w:val="20"/>
              </w:rPr>
            </w:r>
            <w:r>
              <w:rPr>
                <w:rFonts w:ascii="Arial" w:hAnsi="Arial"/>
                <w:color w:val="3C3C3C"/>
                <w:sz w:val="20"/>
              </w:rPr>
              <w:t>+100bp</w:t>
            </w:r>
          </w:p>
        </w:tc>
        <w:tc>
          <w:tcPr>
            <w:tcW w:type="dxa" w:w="1560"/>
          </w:tcPr>
          <w:p>
            <w:r>
              <w:rPr>
                <w:rFonts w:ascii="Arial" w:hAnsi="Arial"/>
                <w:color w:val="3C3C3C"/>
                <w:sz w:val="20"/>
              </w:rPr>
            </w:r>
            <w:r>
              <w:rPr>
                <w:rFonts w:ascii="Arial" w:hAnsi="Arial"/>
                <w:color w:val="3C3C3C"/>
                <w:sz w:val="20"/>
              </w:rPr>
              <w:t>+100bp</w:t>
            </w:r>
          </w:p>
        </w:tc>
        <w:tc>
          <w:tcPr>
            <w:tcW w:type="dxa" w:w="1560"/>
          </w:tcPr>
          <w:p>
            <w:r>
              <w:rPr>
                <w:rFonts w:ascii="Arial" w:hAnsi="Arial"/>
                <w:color w:val="3C3C3C"/>
                <w:sz w:val="20"/>
              </w:rPr>
            </w:r>
            <w:r>
              <w:rPr>
                <w:rFonts w:ascii="Arial" w:hAnsi="Arial"/>
                <w:color w:val="3C3C3C"/>
                <w:sz w:val="20"/>
              </w:rPr>
              <w:t>2022 rate shock</w:t>
            </w:r>
          </w:p>
        </w:tc>
      </w:tr>
      <w:tr>
        <w:tc>
          <w:tcPr>
            <w:tcW w:type="dxa" w:w="1560"/>
            <w:shd w:fill="F2F2F2" w:val="clear"/>
          </w:tcPr>
          <w:p>
            <w:r>
              <w:rPr>
                <w:rFonts w:ascii="Arial" w:hAnsi="Arial"/>
                <w:color w:val="3C3C3C"/>
                <w:sz w:val="20"/>
              </w:rPr>
            </w:r>
            <w:r>
              <w:rPr>
                <w:rFonts w:ascii="Arial" w:hAnsi="Arial"/>
                <w:color w:val="3C3C3C"/>
                <w:sz w:val="20"/>
              </w:rPr>
              <w:t>COVID Replay</w:t>
            </w:r>
          </w:p>
        </w:tc>
        <w:tc>
          <w:tcPr>
            <w:tcW w:type="dxa" w:w="1560"/>
            <w:shd w:fill="F2F2F2" w:val="clear"/>
          </w:tcPr>
          <w:p>
            <w:r>
              <w:rPr>
                <w:rFonts w:ascii="Arial" w:hAnsi="Arial"/>
                <w:color w:val="3C3C3C"/>
                <w:sz w:val="20"/>
              </w:rPr>
            </w:r>
            <w:r>
              <w:rPr>
                <w:rFonts w:ascii="Arial" w:hAnsi="Arial"/>
                <w:color w:val="3C3C3C"/>
                <w:sz w:val="20"/>
              </w:rPr>
              <w:t>+280bp</w:t>
            </w:r>
          </w:p>
        </w:tc>
        <w:tc>
          <w:tcPr>
            <w:tcW w:type="dxa" w:w="1560"/>
            <w:shd w:fill="F2F2F2" w:val="clear"/>
          </w:tcPr>
          <w:p>
            <w:r>
              <w:rPr>
                <w:rFonts w:ascii="Arial" w:hAnsi="Arial"/>
                <w:color w:val="3C3C3C"/>
                <w:sz w:val="20"/>
              </w:rPr>
            </w:r>
            <w:r>
              <w:rPr>
                <w:rFonts w:ascii="Arial" w:hAnsi="Arial"/>
                <w:color w:val="3C3C3C"/>
                <w:sz w:val="20"/>
              </w:rPr>
              <w:t>+280bp</w:t>
            </w:r>
          </w:p>
        </w:tc>
        <w:tc>
          <w:tcPr>
            <w:tcW w:type="dxa" w:w="1560"/>
            <w:shd w:fill="F2F2F2" w:val="clear"/>
          </w:tcPr>
          <w:p>
            <w:r>
              <w:rPr>
                <w:rFonts w:ascii="Arial" w:hAnsi="Arial"/>
                <w:color w:val="3C3C3C"/>
                <w:sz w:val="20"/>
              </w:rPr>
            </w:r>
            <w:r>
              <w:rPr>
                <w:rFonts w:ascii="Arial" w:hAnsi="Arial"/>
                <w:color w:val="3C3C3C"/>
                <w:sz w:val="20"/>
              </w:rPr>
              <w:t>+280bp</w:t>
            </w:r>
          </w:p>
        </w:tc>
        <w:tc>
          <w:tcPr>
            <w:tcW w:type="dxa" w:w="1560"/>
            <w:shd w:fill="F2F2F2" w:val="clear"/>
          </w:tcPr>
          <w:p>
            <w:r>
              <w:rPr>
                <w:rFonts w:ascii="Arial" w:hAnsi="Arial"/>
                <w:color w:val="3C3C3C"/>
                <w:sz w:val="20"/>
              </w:rPr>
            </w:r>
            <w:r>
              <w:rPr>
                <w:rFonts w:ascii="Arial" w:hAnsi="Arial"/>
                <w:color w:val="3C3C3C"/>
                <w:sz w:val="20"/>
              </w:rPr>
              <w:t>+280bp</w:t>
            </w:r>
          </w:p>
        </w:tc>
        <w:tc>
          <w:tcPr>
            <w:tcW w:type="dxa" w:w="1560"/>
            <w:shd w:fill="F2F2F2" w:val="clear"/>
          </w:tcPr>
          <w:p>
            <w:r>
              <w:rPr>
                <w:rFonts w:ascii="Arial" w:hAnsi="Arial"/>
                <w:color w:val="3C3C3C"/>
                <w:sz w:val="20"/>
              </w:rPr>
            </w:r>
            <w:r>
              <w:rPr>
                <w:rFonts w:ascii="Arial" w:hAnsi="Arial"/>
                <w:color w:val="3C3C3C"/>
                <w:sz w:val="20"/>
              </w:rPr>
              <w:t>March 2020</w:t>
            </w:r>
          </w:p>
        </w:tc>
      </w:tr>
    </w:tbl>
    <w:p>
      <w:pPr>
        <w:spacing w:before="80" w:after="80"/>
      </w:pPr>
    </w:p>
    <w:p>
      <w:pPr>
        <w:spacing w:line="276" w:lineRule="auto" w:after="120"/>
        <w:jc w:val="both"/>
      </w:pPr>
      <w:r>
        <w:rPr>
          <w:rFonts w:ascii="Arial" w:hAnsi="Arial"/>
          <w:b w:val="0"/>
          <w:i w:val="0"/>
          <w:color w:val="3C3C3C"/>
          <w:sz w:val="22"/>
        </w:rPr>
        <w:t>The BBB Crisis scenario is particularly relevant: it tests what happens when the credit quality cliff --- the BBB-to-HY downgrade threshold --- comes under pressure, causing BBB spreads to blow out while higher-rated buckets are relatively insulated.</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1170"/>
        <w:gridCol w:w="1170"/>
        <w:gridCol w:w="1170"/>
        <w:gridCol w:w="1170"/>
        <w:gridCol w:w="1170"/>
        <w:gridCol w:w="1170"/>
        <w:gridCol w:w="1170"/>
        <w:gridCol w:w="1170"/>
      </w:tblGrid>
      <w:tr>
        <w:tc>
          <w:tcPr>
            <w:tcW w:type="dxa" w:w="1170"/>
            <w:shd w:fill="1B2A4A" w:val="clear"/>
          </w:tcPr>
          <w:p>
            <w:r>
              <w:rPr>
                <w:rFonts w:ascii="Arial" w:hAnsi="Arial"/>
                <w:b/>
                <w:color w:val="FFFFFF"/>
                <w:sz w:val="20"/>
              </w:rPr>
            </w:r>
            <w:r>
              <w:rPr>
                <w:rFonts w:ascii="Arial" w:hAnsi="Arial"/>
                <w:b/>
                <w:color w:val="FFFFFF"/>
                <w:sz w:val="20"/>
              </w:rPr>
            </w:r>
          </w:p>
        </w:tc>
        <w:tc>
          <w:tcPr>
            <w:tcW w:type="dxa" w:w="1170"/>
            <w:shd w:fill="1B2A4A" w:val="clear"/>
          </w:tcPr>
          <w:p>
            <w:r>
              <w:rPr>
                <w:rFonts w:ascii="Arial" w:hAnsi="Arial"/>
                <w:b/>
                <w:color w:val="FFFFFF"/>
                <w:sz w:val="20"/>
              </w:rPr>
            </w:r>
            <w:r>
              <w:rPr>
                <w:rFonts w:ascii="Arial" w:hAnsi="Arial"/>
                <w:b/>
                <w:color w:val="FFFFFF"/>
                <w:sz w:val="20"/>
              </w:rPr>
              <w:t>Baseline OAS (%)</w:t>
            </w:r>
          </w:p>
        </w:tc>
        <w:tc>
          <w:tcPr>
            <w:tcW w:type="dxa" w:w="1170"/>
            <w:shd w:fill="1B2A4A" w:val="clear"/>
          </w:tcPr>
          <w:p>
            <w:r>
              <w:rPr>
                <w:rFonts w:ascii="Arial" w:hAnsi="Arial"/>
                <w:b/>
                <w:color w:val="FFFFFF"/>
                <w:sz w:val="20"/>
              </w:rPr>
            </w:r>
            <w:r>
              <w:rPr>
                <w:rFonts w:ascii="Arial" w:hAnsi="Arial"/>
                <w:b/>
                <w:color w:val="FFFFFF"/>
                <w:sz w:val="20"/>
              </w:rPr>
              <w:t>Stressed OAS (%)</w:t>
            </w:r>
          </w:p>
        </w:tc>
        <w:tc>
          <w:tcPr>
            <w:tcW w:type="dxa" w:w="1170"/>
            <w:shd w:fill="1B2A4A" w:val="clear"/>
          </w:tcPr>
          <w:p>
            <w:r>
              <w:rPr>
                <w:rFonts w:ascii="Arial" w:hAnsi="Arial"/>
                <w:b/>
                <w:color w:val="FFFFFF"/>
                <w:sz w:val="20"/>
              </w:rPr>
            </w:r>
            <w:r>
              <w:rPr>
                <w:rFonts w:ascii="Arial" w:hAnsi="Arial"/>
                <w:b/>
                <w:color w:val="FFFFFF"/>
                <w:sz w:val="20"/>
              </w:rPr>
              <w:t>Shock (bp)</w:t>
            </w:r>
          </w:p>
        </w:tc>
        <w:tc>
          <w:tcPr>
            <w:tcW w:type="dxa" w:w="1170"/>
            <w:shd w:fill="1B2A4A" w:val="clear"/>
          </w:tcPr>
          <w:p>
            <w:r>
              <w:rPr>
                <w:rFonts w:ascii="Arial" w:hAnsi="Arial"/>
                <w:b/>
                <w:color w:val="FFFFFF"/>
                <w:sz w:val="20"/>
              </w:rPr>
            </w:r>
            <w:r>
              <w:rPr>
                <w:rFonts w:ascii="Arial" w:hAnsi="Arial"/>
                <w:b/>
                <w:color w:val="FFFFFF"/>
                <w:sz w:val="20"/>
              </w:rPr>
              <w:t>Market Weight</w:t>
            </w:r>
          </w:p>
        </w:tc>
        <w:tc>
          <w:tcPr>
            <w:tcW w:type="dxa" w:w="1170"/>
            <w:shd w:fill="1B2A4A" w:val="clear"/>
          </w:tcPr>
          <w:p>
            <w:r>
              <w:rPr>
                <w:rFonts w:ascii="Arial" w:hAnsi="Arial"/>
                <w:b/>
                <w:color w:val="FFFFFF"/>
                <w:sz w:val="20"/>
              </w:rPr>
            </w:r>
            <w:r>
              <w:rPr>
                <w:rFonts w:ascii="Arial" w:hAnsi="Arial"/>
                <w:b/>
                <w:color w:val="FFFFFF"/>
                <w:sz w:val="20"/>
              </w:rPr>
              <w:t>Baseline Weight</w:t>
            </w:r>
          </w:p>
        </w:tc>
        <w:tc>
          <w:tcPr>
            <w:tcW w:type="dxa" w:w="1170"/>
            <w:shd w:fill="1B2A4A" w:val="clear"/>
          </w:tcPr>
          <w:p>
            <w:r>
              <w:rPr>
                <w:rFonts w:ascii="Arial" w:hAnsi="Arial"/>
                <w:b/>
                <w:color w:val="FFFFFF"/>
                <w:sz w:val="20"/>
              </w:rPr>
            </w:r>
            <w:r>
              <w:rPr>
                <w:rFonts w:ascii="Arial" w:hAnsi="Arial"/>
                <w:b/>
                <w:color w:val="FFFFFF"/>
                <w:sz w:val="20"/>
              </w:rPr>
              <w:t>Stressed Weight</w:t>
            </w:r>
          </w:p>
        </w:tc>
        <w:tc>
          <w:tcPr>
            <w:tcW w:type="dxa" w:w="1170"/>
            <w:shd w:fill="1B2A4A" w:val="clear"/>
          </w:tcPr>
          <w:p>
            <w:r>
              <w:rPr>
                <w:rFonts w:ascii="Arial" w:hAnsi="Arial"/>
                <w:b/>
                <w:color w:val="FFFFFF"/>
                <w:sz w:val="20"/>
              </w:rPr>
            </w:r>
            <w:r>
              <w:rPr>
                <w:rFonts w:ascii="Arial" w:hAnsi="Arial"/>
                <w:b/>
                <w:color w:val="FFFFFF"/>
                <w:sz w:val="20"/>
              </w:rPr>
              <w:t>Weight Change</w:t>
            </w:r>
          </w:p>
        </w:tc>
      </w:tr>
      <w:tr>
        <w:tc>
          <w:tcPr>
            <w:tcW w:type="dxa" w:w="1170"/>
          </w:tcPr>
          <w:p>
            <w:r>
              <w:rPr>
                <w:rFonts w:ascii="Arial" w:hAnsi="Arial"/>
                <w:color w:val="3C3C3C"/>
                <w:sz w:val="20"/>
              </w:rPr>
            </w:r>
            <w:r>
              <w:rPr>
                <w:rFonts w:ascii="Arial" w:hAnsi="Arial"/>
                <w:color w:val="3C3C3C"/>
                <w:sz w:val="20"/>
              </w:rPr>
              <w:t>Bucket</w:t>
            </w:r>
          </w:p>
        </w:tc>
        <w:tc>
          <w:tcPr>
            <w:tcW w:type="dxa" w:w="1170"/>
          </w:tcPr>
          <w:p>
            <w:r>
              <w:rPr>
                <w:rFonts w:ascii="Arial" w:hAnsi="Arial"/>
                <w:color w:val="3C3C3C"/>
                <w:sz w:val="20"/>
              </w:rPr>
            </w:r>
            <w:r>
              <w:rPr>
                <w:rFonts w:ascii="Arial" w:hAnsi="Arial"/>
                <w:color w:val="3C3C3C"/>
                <w:sz w:val="20"/>
              </w:rPr>
            </w:r>
          </w:p>
        </w:tc>
        <w:tc>
          <w:tcPr>
            <w:tcW w:type="dxa" w:w="1170"/>
          </w:tcPr>
          <w:p>
            <w:r>
              <w:rPr>
                <w:rFonts w:ascii="Arial" w:hAnsi="Arial"/>
                <w:color w:val="3C3C3C"/>
                <w:sz w:val="20"/>
              </w:rPr>
            </w:r>
            <w:r>
              <w:rPr>
                <w:rFonts w:ascii="Arial" w:hAnsi="Arial"/>
                <w:color w:val="3C3C3C"/>
                <w:sz w:val="20"/>
              </w:rPr>
            </w:r>
          </w:p>
        </w:tc>
        <w:tc>
          <w:tcPr>
            <w:tcW w:type="dxa" w:w="1170"/>
          </w:tcPr>
          <w:p>
            <w:r>
              <w:rPr>
                <w:rFonts w:ascii="Arial" w:hAnsi="Arial"/>
                <w:color w:val="3C3C3C"/>
                <w:sz w:val="20"/>
              </w:rPr>
            </w:r>
            <w:r>
              <w:rPr>
                <w:rFonts w:ascii="Arial" w:hAnsi="Arial"/>
                <w:color w:val="3C3C3C"/>
                <w:sz w:val="20"/>
              </w:rPr>
            </w:r>
          </w:p>
        </w:tc>
        <w:tc>
          <w:tcPr>
            <w:tcW w:type="dxa" w:w="1170"/>
          </w:tcPr>
          <w:p>
            <w:r>
              <w:rPr>
                <w:rFonts w:ascii="Arial" w:hAnsi="Arial"/>
                <w:color w:val="3C3C3C"/>
                <w:sz w:val="20"/>
              </w:rPr>
            </w:r>
            <w:r>
              <w:rPr>
                <w:rFonts w:ascii="Arial" w:hAnsi="Arial"/>
                <w:color w:val="3C3C3C"/>
                <w:sz w:val="20"/>
              </w:rPr>
            </w:r>
          </w:p>
        </w:tc>
        <w:tc>
          <w:tcPr>
            <w:tcW w:type="dxa" w:w="1170"/>
          </w:tcPr>
          <w:p>
            <w:r>
              <w:rPr>
                <w:rFonts w:ascii="Arial" w:hAnsi="Arial"/>
                <w:color w:val="3C3C3C"/>
                <w:sz w:val="20"/>
              </w:rPr>
            </w:r>
            <w:r>
              <w:rPr>
                <w:rFonts w:ascii="Arial" w:hAnsi="Arial"/>
                <w:color w:val="3C3C3C"/>
                <w:sz w:val="20"/>
              </w:rPr>
            </w:r>
          </w:p>
        </w:tc>
        <w:tc>
          <w:tcPr>
            <w:tcW w:type="dxa" w:w="1170"/>
          </w:tcPr>
          <w:p>
            <w:r>
              <w:rPr>
                <w:rFonts w:ascii="Arial" w:hAnsi="Arial"/>
                <w:color w:val="3C3C3C"/>
                <w:sz w:val="20"/>
              </w:rPr>
            </w:r>
            <w:r>
              <w:rPr>
                <w:rFonts w:ascii="Arial" w:hAnsi="Arial"/>
                <w:color w:val="3C3C3C"/>
                <w:sz w:val="20"/>
              </w:rPr>
            </w:r>
          </w:p>
        </w:tc>
        <w:tc>
          <w:tcPr>
            <w:tcW w:type="dxa" w:w="1170"/>
          </w:tcPr>
          <w:p>
            <w:r>
              <w:rPr>
                <w:rFonts w:ascii="Arial" w:hAnsi="Arial"/>
                <w:color w:val="3C3C3C"/>
                <w:sz w:val="20"/>
              </w:rPr>
            </w:r>
            <w:r>
              <w:rPr>
                <w:rFonts w:ascii="Arial" w:hAnsi="Arial"/>
                <w:color w:val="3C3C3C"/>
                <w:sz w:val="20"/>
              </w:rPr>
            </w:r>
          </w:p>
        </w:tc>
      </w:tr>
      <w:tr>
        <w:tc>
          <w:tcPr>
            <w:tcW w:type="dxa" w:w="1170"/>
            <w:shd w:fill="F2F2F2" w:val="clear"/>
          </w:tcPr>
          <w:p>
            <w:r>
              <w:rPr>
                <w:rFonts w:ascii="Arial" w:hAnsi="Arial"/>
                <w:color w:val="3C3C3C"/>
                <w:sz w:val="20"/>
              </w:rPr>
            </w:r>
            <w:r>
              <w:rPr>
                <w:rFonts w:ascii="Arial" w:hAnsi="Arial"/>
                <w:color w:val="3C3C3C"/>
                <w:sz w:val="20"/>
              </w:rPr>
              <w:t>AAA</w:t>
            </w:r>
          </w:p>
        </w:tc>
        <w:tc>
          <w:tcPr>
            <w:tcW w:type="dxa" w:w="1170"/>
            <w:shd w:fill="F2F2F2" w:val="clear"/>
          </w:tcPr>
          <w:p>
            <w:r>
              <w:rPr>
                <w:rFonts w:ascii="Arial" w:hAnsi="Arial"/>
                <w:color w:val="3C3C3C"/>
                <w:sz w:val="20"/>
              </w:rPr>
            </w:r>
            <w:r>
              <w:rPr>
                <w:rFonts w:ascii="Arial" w:hAnsi="Arial"/>
                <w:color w:val="3C3C3C"/>
                <w:sz w:val="20"/>
              </w:rPr>
              <w:t>0.45</w:t>
            </w:r>
          </w:p>
        </w:tc>
        <w:tc>
          <w:tcPr>
            <w:tcW w:type="dxa" w:w="1170"/>
            <w:shd w:fill="F2F2F2" w:val="clear"/>
          </w:tcPr>
          <w:p>
            <w:r>
              <w:rPr>
                <w:rFonts w:ascii="Arial" w:hAnsi="Arial"/>
                <w:color w:val="3C3C3C"/>
                <w:sz w:val="20"/>
              </w:rPr>
            </w:r>
            <w:r>
              <w:rPr>
                <w:rFonts w:ascii="Arial" w:hAnsi="Arial"/>
                <w:color w:val="3C3C3C"/>
                <w:sz w:val="20"/>
              </w:rPr>
              <w:t>0.45</w:t>
            </w:r>
          </w:p>
        </w:tc>
        <w:tc>
          <w:tcPr>
            <w:tcW w:type="dxa" w:w="1170"/>
            <w:shd w:fill="F2F2F2" w:val="clear"/>
          </w:tcPr>
          <w:p>
            <w:r>
              <w:rPr>
                <w:rFonts w:ascii="Arial" w:hAnsi="Arial"/>
                <w:color w:val="3C3C3C"/>
                <w:sz w:val="20"/>
              </w:rPr>
            </w:r>
            <w:r>
              <w:rPr>
                <w:rFonts w:ascii="Arial" w:hAnsi="Arial"/>
                <w:color w:val="3C3C3C"/>
                <w:sz w:val="20"/>
              </w:rPr>
              <w:t>0.0</w:t>
            </w:r>
          </w:p>
        </w:tc>
        <w:tc>
          <w:tcPr>
            <w:tcW w:type="dxa" w:w="1170"/>
            <w:shd w:fill="F2F2F2" w:val="clear"/>
          </w:tcPr>
          <w:p>
            <w:r>
              <w:rPr>
                <w:rFonts w:ascii="Arial" w:hAnsi="Arial"/>
                <w:color w:val="3C3C3C"/>
                <w:sz w:val="20"/>
              </w:rPr>
            </w:r>
            <w:r>
              <w:rPr>
                <w:rFonts w:ascii="Arial" w:hAnsi="Arial"/>
                <w:color w:val="3C3C3C"/>
                <w:sz w:val="20"/>
              </w:rPr>
              <w:t>0.04</w:t>
            </w:r>
          </w:p>
        </w:tc>
        <w:tc>
          <w:tcPr>
            <w:tcW w:type="dxa" w:w="1170"/>
            <w:shd w:fill="F2F2F2" w:val="clear"/>
          </w:tcPr>
          <w:p>
            <w:r>
              <w:rPr>
                <w:rFonts w:ascii="Arial" w:hAnsi="Arial"/>
                <w:color w:val="3C3C3C"/>
                <w:sz w:val="20"/>
              </w:rPr>
            </w:r>
            <w:r>
              <w:rPr>
                <w:rFonts w:ascii="Arial" w:hAnsi="Arial"/>
                <w:color w:val="3C3C3C"/>
                <w:sz w:val="20"/>
              </w:rPr>
              <w:t>0.009982</w:t>
            </w:r>
          </w:p>
        </w:tc>
        <w:tc>
          <w:tcPr>
            <w:tcW w:type="dxa" w:w="1170"/>
            <w:shd w:fill="F2F2F2" w:val="clear"/>
          </w:tcPr>
          <w:p>
            <w:r>
              <w:rPr>
                <w:rFonts w:ascii="Arial" w:hAnsi="Arial"/>
                <w:color w:val="3C3C3C"/>
                <w:sz w:val="20"/>
              </w:rPr>
            </w:r>
            <w:r>
              <w:rPr>
                <w:rFonts w:ascii="Arial" w:hAnsi="Arial"/>
                <w:color w:val="3C3C3C"/>
                <w:sz w:val="20"/>
              </w:rPr>
              <w:t>0.009990</w:t>
            </w:r>
          </w:p>
        </w:tc>
        <w:tc>
          <w:tcPr>
            <w:tcW w:type="dxa" w:w="1170"/>
            <w:shd w:fill="F2F2F2" w:val="clear"/>
          </w:tcPr>
          <w:p>
            <w:r>
              <w:rPr>
                <w:rFonts w:ascii="Arial" w:hAnsi="Arial"/>
                <w:color w:val="3C3C3C"/>
                <w:sz w:val="20"/>
              </w:rPr>
            </w:r>
            <w:r>
              <w:rPr>
                <w:rFonts w:ascii="Arial" w:hAnsi="Arial"/>
                <w:color w:val="3C3C3C"/>
                <w:sz w:val="20"/>
              </w:rPr>
              <w:t>0.000008</w:t>
            </w:r>
          </w:p>
        </w:tc>
      </w:tr>
      <w:tr>
        <w:tc>
          <w:tcPr>
            <w:tcW w:type="dxa" w:w="1170"/>
          </w:tcPr>
          <w:p>
            <w:r>
              <w:rPr>
                <w:rFonts w:ascii="Arial" w:hAnsi="Arial"/>
                <w:color w:val="3C3C3C"/>
                <w:sz w:val="20"/>
              </w:rPr>
            </w:r>
            <w:r>
              <w:rPr>
                <w:rFonts w:ascii="Arial" w:hAnsi="Arial"/>
                <w:color w:val="3C3C3C"/>
                <w:sz w:val="20"/>
              </w:rPr>
              <w:t>AA</w:t>
            </w:r>
          </w:p>
        </w:tc>
        <w:tc>
          <w:tcPr>
            <w:tcW w:type="dxa" w:w="1170"/>
          </w:tcPr>
          <w:p>
            <w:r>
              <w:rPr>
                <w:rFonts w:ascii="Arial" w:hAnsi="Arial"/>
                <w:color w:val="3C3C3C"/>
                <w:sz w:val="20"/>
              </w:rPr>
            </w:r>
            <w:r>
              <w:rPr>
                <w:rFonts w:ascii="Arial" w:hAnsi="Arial"/>
                <w:color w:val="3C3C3C"/>
                <w:sz w:val="20"/>
              </w:rPr>
              <w:t>0.60</w:t>
            </w:r>
          </w:p>
        </w:tc>
        <w:tc>
          <w:tcPr>
            <w:tcW w:type="dxa" w:w="1170"/>
          </w:tcPr>
          <w:p>
            <w:r>
              <w:rPr>
                <w:rFonts w:ascii="Arial" w:hAnsi="Arial"/>
                <w:color w:val="3C3C3C"/>
                <w:sz w:val="20"/>
              </w:rPr>
            </w:r>
            <w:r>
              <w:rPr>
                <w:rFonts w:ascii="Arial" w:hAnsi="Arial"/>
                <w:color w:val="3C3C3C"/>
                <w:sz w:val="20"/>
              </w:rPr>
              <w:t>0.60</w:t>
            </w:r>
          </w:p>
        </w:tc>
        <w:tc>
          <w:tcPr>
            <w:tcW w:type="dxa" w:w="1170"/>
          </w:tcPr>
          <w:p>
            <w:r>
              <w:rPr>
                <w:rFonts w:ascii="Arial" w:hAnsi="Arial"/>
                <w:color w:val="3C3C3C"/>
                <w:sz w:val="20"/>
              </w:rPr>
            </w:r>
            <w:r>
              <w:rPr>
                <w:rFonts w:ascii="Arial" w:hAnsi="Arial"/>
                <w:color w:val="3C3C3C"/>
                <w:sz w:val="20"/>
              </w:rPr>
              <w:t>0.0</w:t>
            </w:r>
          </w:p>
        </w:tc>
        <w:tc>
          <w:tcPr>
            <w:tcW w:type="dxa" w:w="1170"/>
          </w:tcPr>
          <w:p>
            <w:r>
              <w:rPr>
                <w:rFonts w:ascii="Arial" w:hAnsi="Arial"/>
                <w:color w:val="3C3C3C"/>
                <w:sz w:val="20"/>
              </w:rPr>
            </w:r>
            <w:r>
              <w:rPr>
                <w:rFonts w:ascii="Arial" w:hAnsi="Arial"/>
                <w:color w:val="3C3C3C"/>
                <w:sz w:val="20"/>
              </w:rPr>
              <w:t>0.12</w:t>
            </w:r>
          </w:p>
        </w:tc>
        <w:tc>
          <w:tcPr>
            <w:tcW w:type="dxa" w:w="1170"/>
          </w:tcPr>
          <w:p>
            <w:r>
              <w:rPr>
                <w:rFonts w:ascii="Arial" w:hAnsi="Arial"/>
                <w:color w:val="3C3C3C"/>
                <w:sz w:val="20"/>
              </w:rPr>
            </w:r>
            <w:r>
              <w:rPr>
                <w:rFonts w:ascii="Arial" w:hAnsi="Arial"/>
                <w:color w:val="3C3C3C"/>
                <w:sz w:val="20"/>
              </w:rPr>
              <w:t>0.101596</w:t>
            </w:r>
          </w:p>
        </w:tc>
        <w:tc>
          <w:tcPr>
            <w:tcW w:type="dxa" w:w="1170"/>
          </w:tcPr>
          <w:p>
            <w:r>
              <w:rPr>
                <w:rFonts w:ascii="Arial" w:hAnsi="Arial"/>
                <w:color w:val="3C3C3C"/>
                <w:sz w:val="20"/>
              </w:rPr>
            </w:r>
            <w:r>
              <w:rPr>
                <w:rFonts w:ascii="Arial" w:hAnsi="Arial"/>
                <w:color w:val="3C3C3C"/>
                <w:sz w:val="20"/>
              </w:rPr>
              <w:t>0.100888</w:t>
            </w:r>
          </w:p>
        </w:tc>
        <w:tc>
          <w:tcPr>
            <w:tcW w:type="dxa" w:w="1170"/>
          </w:tcPr>
          <w:p>
            <w:r>
              <w:rPr>
                <w:rFonts w:ascii="Arial" w:hAnsi="Arial"/>
                <w:color w:val="3C3C3C"/>
                <w:sz w:val="20"/>
              </w:rPr>
            </w:r>
            <w:r>
              <w:rPr>
                <w:rFonts w:ascii="Arial" w:hAnsi="Arial"/>
                <w:color w:val="3C3C3C"/>
                <w:sz w:val="20"/>
              </w:rPr>
              <w:t>-0.000708</w:t>
            </w:r>
          </w:p>
        </w:tc>
      </w:tr>
      <w:tr>
        <w:tc>
          <w:tcPr>
            <w:tcW w:type="dxa" w:w="1170"/>
            <w:shd w:fill="F2F2F2" w:val="clear"/>
          </w:tcPr>
          <w:p>
            <w:r>
              <w:rPr>
                <w:rFonts w:ascii="Arial" w:hAnsi="Arial"/>
                <w:color w:val="3C3C3C"/>
                <w:sz w:val="20"/>
              </w:rPr>
            </w:r>
            <w:r>
              <w:rPr>
                <w:rFonts w:ascii="Arial" w:hAnsi="Arial"/>
                <w:color w:val="3C3C3C"/>
                <w:sz w:val="20"/>
              </w:rPr>
              <w:t>A</w:t>
            </w:r>
          </w:p>
        </w:tc>
        <w:tc>
          <w:tcPr>
            <w:tcW w:type="dxa" w:w="1170"/>
            <w:shd w:fill="F2F2F2" w:val="clear"/>
          </w:tcPr>
          <w:p>
            <w:r>
              <w:rPr>
                <w:rFonts w:ascii="Arial" w:hAnsi="Arial"/>
                <w:color w:val="3C3C3C"/>
                <w:sz w:val="20"/>
              </w:rPr>
            </w:r>
            <w:r>
              <w:rPr>
                <w:rFonts w:ascii="Arial" w:hAnsi="Arial"/>
                <w:color w:val="3C3C3C"/>
                <w:sz w:val="20"/>
              </w:rPr>
              <w:t>0.78</w:t>
            </w:r>
          </w:p>
        </w:tc>
        <w:tc>
          <w:tcPr>
            <w:tcW w:type="dxa" w:w="1170"/>
            <w:shd w:fill="F2F2F2" w:val="clear"/>
          </w:tcPr>
          <w:p>
            <w:r>
              <w:rPr>
                <w:rFonts w:ascii="Arial" w:hAnsi="Arial"/>
                <w:color w:val="3C3C3C"/>
                <w:sz w:val="20"/>
              </w:rPr>
            </w:r>
            <w:r>
              <w:rPr>
                <w:rFonts w:ascii="Arial" w:hAnsi="Arial"/>
                <w:color w:val="3C3C3C"/>
                <w:sz w:val="20"/>
              </w:rPr>
              <w:t>1.28</w:t>
            </w:r>
          </w:p>
        </w:tc>
        <w:tc>
          <w:tcPr>
            <w:tcW w:type="dxa" w:w="1170"/>
            <w:shd w:fill="F2F2F2" w:val="clear"/>
          </w:tcPr>
          <w:p>
            <w:r>
              <w:rPr>
                <w:rFonts w:ascii="Arial" w:hAnsi="Arial"/>
                <w:color w:val="3C3C3C"/>
                <w:sz w:val="20"/>
              </w:rPr>
            </w:r>
            <w:r>
              <w:rPr>
                <w:rFonts w:ascii="Arial" w:hAnsi="Arial"/>
                <w:color w:val="3C3C3C"/>
                <w:sz w:val="20"/>
              </w:rPr>
              <w:t>50.0</w:t>
            </w:r>
          </w:p>
        </w:tc>
        <w:tc>
          <w:tcPr>
            <w:tcW w:type="dxa" w:w="1170"/>
            <w:shd w:fill="F2F2F2" w:val="clear"/>
          </w:tcPr>
          <w:p>
            <w:r>
              <w:rPr>
                <w:rFonts w:ascii="Arial" w:hAnsi="Arial"/>
                <w:color w:val="3C3C3C"/>
                <w:sz w:val="20"/>
              </w:rPr>
            </w:r>
            <w:r>
              <w:rPr>
                <w:rFonts w:ascii="Arial" w:hAnsi="Arial"/>
                <w:color w:val="3C3C3C"/>
                <w:sz w:val="20"/>
              </w:rPr>
              <w:t>0.34</w:t>
            </w:r>
          </w:p>
        </w:tc>
        <w:tc>
          <w:tcPr>
            <w:tcW w:type="dxa" w:w="1170"/>
            <w:shd w:fill="F2F2F2" w:val="clear"/>
          </w:tcPr>
          <w:p>
            <w:r>
              <w:rPr>
                <w:rFonts w:ascii="Arial" w:hAnsi="Arial"/>
                <w:color w:val="3C3C3C"/>
                <w:sz w:val="20"/>
              </w:rPr>
            </w:r>
            <w:r>
              <w:rPr>
                <w:rFonts w:ascii="Arial" w:hAnsi="Arial"/>
                <w:color w:val="3C3C3C"/>
                <w:sz w:val="20"/>
              </w:rPr>
              <w:t>0.349539</w:t>
            </w:r>
          </w:p>
        </w:tc>
        <w:tc>
          <w:tcPr>
            <w:tcW w:type="dxa" w:w="1170"/>
            <w:shd w:fill="F2F2F2" w:val="clear"/>
          </w:tcPr>
          <w:p>
            <w:r>
              <w:rPr>
                <w:rFonts w:ascii="Arial" w:hAnsi="Arial"/>
                <w:color w:val="3C3C3C"/>
                <w:sz w:val="20"/>
              </w:rPr>
            </w:r>
            <w:r>
              <w:rPr>
                <w:rFonts w:ascii="Arial" w:hAnsi="Arial"/>
                <w:color w:val="3C3C3C"/>
                <w:sz w:val="20"/>
              </w:rPr>
              <w:t>0.349353</w:t>
            </w:r>
          </w:p>
        </w:tc>
        <w:tc>
          <w:tcPr>
            <w:tcW w:type="dxa" w:w="1170"/>
            <w:shd w:fill="F2F2F2" w:val="clear"/>
          </w:tcPr>
          <w:p>
            <w:r>
              <w:rPr>
                <w:rFonts w:ascii="Arial" w:hAnsi="Arial"/>
                <w:color w:val="3C3C3C"/>
                <w:sz w:val="20"/>
              </w:rPr>
            </w:r>
            <w:r>
              <w:rPr>
                <w:rFonts w:ascii="Arial" w:hAnsi="Arial"/>
                <w:color w:val="3C3C3C"/>
                <w:sz w:val="20"/>
              </w:rPr>
              <w:t>-0.000186</w:t>
            </w:r>
          </w:p>
        </w:tc>
      </w:tr>
      <w:tr>
        <w:tc>
          <w:tcPr>
            <w:tcW w:type="dxa" w:w="1170"/>
          </w:tcPr>
          <w:p>
            <w:r>
              <w:rPr>
                <w:rFonts w:ascii="Arial" w:hAnsi="Arial"/>
                <w:color w:val="3C3C3C"/>
                <w:sz w:val="20"/>
              </w:rPr>
            </w:r>
            <w:r>
              <w:rPr>
                <w:rFonts w:ascii="Arial" w:hAnsi="Arial"/>
                <w:color w:val="3C3C3C"/>
                <w:sz w:val="20"/>
              </w:rPr>
              <w:t>BBB</w:t>
            </w:r>
          </w:p>
        </w:tc>
        <w:tc>
          <w:tcPr>
            <w:tcW w:type="dxa" w:w="1170"/>
          </w:tcPr>
          <w:p>
            <w:r>
              <w:rPr>
                <w:rFonts w:ascii="Arial" w:hAnsi="Arial"/>
                <w:color w:val="3C3C3C"/>
                <w:sz w:val="20"/>
              </w:rPr>
            </w:r>
            <w:r>
              <w:rPr>
                <w:rFonts w:ascii="Arial" w:hAnsi="Arial"/>
                <w:color w:val="3C3C3C"/>
                <w:sz w:val="20"/>
              </w:rPr>
              <w:t>1.15</w:t>
            </w:r>
          </w:p>
        </w:tc>
        <w:tc>
          <w:tcPr>
            <w:tcW w:type="dxa" w:w="1170"/>
          </w:tcPr>
          <w:p>
            <w:r>
              <w:rPr>
                <w:rFonts w:ascii="Arial" w:hAnsi="Arial"/>
                <w:color w:val="3C3C3C"/>
                <w:sz w:val="20"/>
              </w:rPr>
            </w:r>
            <w:r>
              <w:rPr>
                <w:rFonts w:ascii="Arial" w:hAnsi="Arial"/>
                <w:color w:val="3C3C3C"/>
                <w:sz w:val="20"/>
              </w:rPr>
              <w:t>4.15</w:t>
            </w:r>
          </w:p>
        </w:tc>
        <w:tc>
          <w:tcPr>
            <w:tcW w:type="dxa" w:w="1170"/>
          </w:tcPr>
          <w:p>
            <w:r>
              <w:rPr>
                <w:rFonts w:ascii="Arial" w:hAnsi="Arial"/>
                <w:color w:val="3C3C3C"/>
                <w:sz w:val="20"/>
              </w:rPr>
            </w:r>
            <w:r>
              <w:rPr>
                <w:rFonts w:ascii="Arial" w:hAnsi="Arial"/>
                <w:color w:val="3C3C3C"/>
                <w:sz w:val="20"/>
              </w:rPr>
              <w:t>300.0</w:t>
            </w:r>
          </w:p>
        </w:tc>
        <w:tc>
          <w:tcPr>
            <w:tcW w:type="dxa" w:w="1170"/>
          </w:tcPr>
          <w:p>
            <w:r>
              <w:rPr>
                <w:rFonts w:ascii="Arial" w:hAnsi="Arial"/>
                <w:color w:val="3C3C3C"/>
                <w:sz w:val="20"/>
              </w:rPr>
            </w:r>
            <w:r>
              <w:rPr>
                <w:rFonts w:ascii="Arial" w:hAnsi="Arial"/>
                <w:color w:val="3C3C3C"/>
                <w:sz w:val="20"/>
              </w:rPr>
              <w:t>0.50</w:t>
            </w:r>
          </w:p>
        </w:tc>
        <w:tc>
          <w:tcPr>
            <w:tcW w:type="dxa" w:w="1170"/>
          </w:tcPr>
          <w:p>
            <w:r>
              <w:rPr>
                <w:rFonts w:ascii="Arial" w:hAnsi="Arial"/>
                <w:color w:val="3C3C3C"/>
                <w:sz w:val="20"/>
              </w:rPr>
            </w:r>
            <w:r>
              <w:rPr>
                <w:rFonts w:ascii="Arial" w:hAnsi="Arial"/>
                <w:color w:val="3C3C3C"/>
                <w:sz w:val="20"/>
              </w:rPr>
              <w:t>0.538882</w:t>
            </w:r>
          </w:p>
        </w:tc>
        <w:tc>
          <w:tcPr>
            <w:tcW w:type="dxa" w:w="1170"/>
          </w:tcPr>
          <w:p>
            <w:r>
              <w:rPr>
                <w:rFonts w:ascii="Arial" w:hAnsi="Arial"/>
                <w:color w:val="3C3C3C"/>
                <w:sz w:val="20"/>
              </w:rPr>
            </w:r>
            <w:r>
              <w:rPr>
                <w:rFonts w:ascii="Arial" w:hAnsi="Arial"/>
                <w:color w:val="3C3C3C"/>
                <w:sz w:val="20"/>
              </w:rPr>
              <w:t>0.539769</w:t>
            </w:r>
          </w:p>
        </w:tc>
        <w:tc>
          <w:tcPr>
            <w:tcW w:type="dxa" w:w="1170"/>
          </w:tcPr>
          <w:p>
            <w:r>
              <w:rPr>
                <w:rFonts w:ascii="Arial" w:hAnsi="Arial"/>
                <w:color w:val="3C3C3C"/>
                <w:sz w:val="20"/>
              </w:rPr>
            </w:r>
            <w:r>
              <w:rPr>
                <w:rFonts w:ascii="Arial" w:hAnsi="Arial"/>
                <w:color w:val="3C3C3C"/>
                <w:sz w:val="20"/>
              </w:rPr>
              <w:t>0.000887</w:t>
            </w:r>
          </w:p>
        </w:tc>
      </w:tr>
    </w:tbl>
    <w:p>
      <w:pPr>
        <w:spacing w:before="80" w:after="80"/>
      </w:pPr>
    </w:p>
    <w:p>
      <w:pPr>
        <w:spacing w:before="200" w:after="80" w:line="264" w:lineRule="auto"/>
      </w:pPr>
      <w:r>
        <w:rPr>
          <w:rFonts w:ascii="Arial" w:hAnsi="Arial"/>
          <w:b/>
          <w:color w:val="1B2A4A"/>
          <w:sz w:val="20"/>
        </w:rPr>
        <w:t>Stress scenarios confirm higher-quality tiers provide meaningful downside protection</w:t>
      </w:r>
    </w:p>
    <w:p>
      <w:pPr>
        <w:spacing w:before="40"/>
        <w:jc w:val="center"/>
      </w:pPr>
      <w:r>
        <w:drawing>
          <wp:inline xmlns:a="http://schemas.openxmlformats.org/drawingml/2006/main" xmlns:pic="http://schemas.openxmlformats.org/drawingml/2006/picture">
            <wp:extent cx="5943600" cy="3632200"/>
            <wp:docPr id="13" name="Picture 13"/>
            <wp:cNvGraphicFramePr>
              <a:graphicFrameLocks noChangeAspect="1"/>
            </wp:cNvGraphicFramePr>
            <a:graphic>
              <a:graphicData uri="http://schemas.openxmlformats.org/drawingml/2006/picture">
                <pic:pic>
                  <pic:nvPicPr>
                    <pic:cNvPr id="0" name="fig_4400142784.png"/>
                    <pic:cNvPicPr/>
                  </pic:nvPicPr>
                  <pic:blipFill>
                    <a:blip r:embed="rId18"/>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9: Price Impact by Scenario and Rating Bucket</w:t>
      </w:r>
    </w:p>
    <w:p>
      <w:pPr>
        <w:spacing w:before="200" w:after="80" w:line="264" w:lineRule="auto"/>
      </w:pPr>
      <w:r>
        <w:rPr>
          <w:rFonts w:ascii="Arial" w:hAnsi="Arial"/>
          <w:b/>
          <w:color w:val="1B2A4A"/>
          <w:sz w:val="20"/>
        </w:rPr>
        <w:t>Stressed OAS levels remain within historically observed ranges across all scenarios</w:t>
      </w:r>
    </w:p>
    <w:p>
      <w:pPr>
        <w:spacing w:before="40"/>
        <w:jc w:val="center"/>
      </w:pPr>
      <w:r>
        <w:drawing>
          <wp:inline xmlns:a="http://schemas.openxmlformats.org/drawingml/2006/main" xmlns:pic="http://schemas.openxmlformats.org/drawingml/2006/picture">
            <wp:extent cx="5943600" cy="3632200"/>
            <wp:docPr id="14" name="Picture 14"/>
            <wp:cNvGraphicFramePr>
              <a:graphicFrameLocks noChangeAspect="1"/>
            </wp:cNvGraphicFramePr>
            <a:graphic>
              <a:graphicData uri="http://schemas.openxmlformats.org/drawingml/2006/picture">
                <pic:pic>
                  <pic:nvPicPr>
                    <pic:cNvPr id="0" name="fig_4400209664.png"/>
                    <pic:cNvPicPr/>
                  </pic:nvPicPr>
                  <pic:blipFill>
                    <a:blip r:embed="rId19"/>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10: OAS Levels — Baseline vs Stressed (All Scenarios)</w:t>
      </w:r>
    </w:p>
    <w:p>
      <w:pPr>
        <w:pStyle w:val="Heading2"/>
      </w:pPr>
      <w:r>
        <w:rPr>
          <w:rFonts w:ascii="Arial" w:hAnsi="Arial"/>
          <w:color w:val="3D5A80"/>
        </w:rPr>
        <w:t>9.2 Monte Carlo Simulation</w:t>
      </w:r>
    </w:p>
    <w:p>
      <w:pPr>
        <w:pStyle w:val="Heading3"/>
      </w:pPr>
      <w:r>
        <w:rPr>
          <w:rFonts w:ascii="Arial" w:hAnsi="Arial"/>
          <w:color w:val="1B2A4A"/>
        </w:rPr>
        <w:t>Purpose</w:t>
      </w:r>
    </w:p>
    <w:p>
      <w:pPr>
        <w:spacing w:line="276" w:lineRule="auto" w:after="120"/>
        <w:jc w:val="both"/>
      </w:pPr>
      <w:r>
        <w:rPr>
          <w:rFonts w:ascii="Arial" w:hAnsi="Arial"/>
          <w:b w:val="0"/>
          <w:i w:val="0"/>
          <w:color w:val="3C3C3C"/>
          <w:sz w:val="22"/>
        </w:rPr>
        <w:t xml:space="preserve">Unlike the backtest (which tells us what </w:t>
      </w:r>
      <w:r>
        <w:rPr>
          <w:rFonts w:ascii="Arial" w:hAnsi="Arial"/>
          <w:b w:val="0"/>
          <w:i/>
          <w:color w:val="3C3C3C"/>
          <w:sz w:val="22"/>
        </w:rPr>
        <w:t>did</w:t>
      </w:r>
      <w:r>
        <w:rPr>
          <w:rFonts w:ascii="Arial" w:hAnsi="Arial"/>
          <w:b w:val="0"/>
          <w:i w:val="0"/>
          <w:color w:val="3C3C3C"/>
          <w:sz w:val="22"/>
        </w:rPr>
        <w:t xml:space="preserve"> happen), Monte Carlo tells us what </w:t>
      </w:r>
      <w:r>
        <w:rPr>
          <w:rFonts w:ascii="Arial" w:hAnsi="Arial"/>
          <w:b w:val="0"/>
          <w:i/>
          <w:color w:val="3C3C3C"/>
          <w:sz w:val="22"/>
        </w:rPr>
        <w:t>could</w:t>
      </w:r>
      <w:r>
        <w:rPr>
          <w:rFonts w:ascii="Arial" w:hAnsi="Arial"/>
          <w:b w:val="0"/>
          <w:i w:val="0"/>
          <w:color w:val="3C3C3C"/>
          <w:sz w:val="22"/>
        </w:rPr>
        <w:t xml:space="preserve"> happen by resampling from the actual return distribution. This quantifies forward-looking risk.</w:t>
      </w:r>
    </w:p>
    <w:p>
      <w:pPr>
        <w:pStyle w:val="Heading3"/>
      </w:pPr>
      <w:r>
        <w:rPr>
          <w:rFonts w:ascii="Arial" w:hAnsi="Arial"/>
          <w:color w:val="1B2A4A"/>
        </w:rPr>
        <w:t>Methodology</w:t>
      </w:r>
    </w:p>
    <w:p>
      <w:pPr>
        <w:spacing w:line="276" w:lineRule="auto" w:after="120"/>
        <w:jc w:val="both"/>
      </w:pPr>
      <w:r>
        <w:rPr>
          <w:rFonts w:ascii="Arial" w:hAnsi="Arial"/>
          <w:b w:val="0"/>
          <w:i w:val="0"/>
          <w:color w:val="3C3C3C"/>
          <w:sz w:val="22"/>
        </w:rPr>
        <w:t xml:space="preserve">We use </w:t>
      </w:r>
      <w:r>
        <w:rPr>
          <w:rFonts w:ascii="Arial" w:hAnsi="Arial"/>
          <w:b/>
          <w:i w:val="0"/>
          <w:color w:val="3C3C3C"/>
          <w:sz w:val="22"/>
        </w:rPr>
        <w:t>empirical bootstrap resampling</w:t>
      </w:r>
      <w:r>
        <w:rPr>
          <w:rFonts w:ascii="Arial" w:hAnsi="Arial"/>
          <w:b w:val="0"/>
          <w:i w:val="0"/>
          <w:color w:val="3C3C3C"/>
          <w:sz w:val="22"/>
        </w:rPr>
        <w:t>: sample monthly returns with replacement from the actual backtest history (5,000 simulations, 24-month horizon). This preserves the real return distribution including skewness and fat tails --- unlike parametric simulation, which assumes normality and underestimates tail risk.</w:t>
      </w:r>
    </w:p>
    <w:p>
      <w:pPr>
        <w:pStyle w:val="Heading3"/>
      </w:pPr>
      <w:r>
        <w:rPr>
          <w:rFonts w:ascii="Arial" w:hAnsi="Arial"/>
          <w:color w:val="1B2A4A"/>
        </w:rPr>
        <w:t>Key Risk Metrics</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t>Metric</w:t>
            </w:r>
          </w:p>
        </w:tc>
        <w:tc>
          <w:tcPr>
            <w:tcW w:type="dxa" w:w="3120"/>
            <w:shd w:fill="1B2A4A" w:val="clear"/>
          </w:tcPr>
          <w:p>
            <w:r>
              <w:rPr>
                <w:rFonts w:ascii="Arial" w:hAnsi="Arial"/>
                <w:b/>
                <w:color w:val="FFFFFF"/>
                <w:sz w:val="20"/>
              </w:rPr>
            </w:r>
            <w:r>
              <w:rPr>
                <w:rFonts w:ascii="Arial" w:hAnsi="Arial"/>
                <w:b/>
                <w:color w:val="FFFFFF"/>
                <w:sz w:val="20"/>
              </w:rPr>
              <w:t>Definition</w:t>
            </w:r>
          </w:p>
        </w:tc>
        <w:tc>
          <w:tcPr>
            <w:tcW w:type="dxa" w:w="3120"/>
            <w:shd w:fill="1B2A4A" w:val="clear"/>
          </w:tcPr>
          <w:p>
            <w:r>
              <w:rPr>
                <w:rFonts w:ascii="Arial" w:hAnsi="Arial"/>
                <w:b/>
                <w:color w:val="FFFFFF"/>
                <w:sz w:val="20"/>
              </w:rPr>
            </w:r>
            <w:r>
              <w:rPr>
                <w:rFonts w:ascii="Arial" w:hAnsi="Arial"/>
                <w:b/>
                <w:color w:val="FFFFFF"/>
                <w:sz w:val="20"/>
              </w:rPr>
              <w:t>Interpretation</w:t>
            </w:r>
          </w:p>
        </w:tc>
      </w:tr>
      <w:tr>
        <w:tc>
          <w:tcPr>
            <w:tcW w:type="dxa" w:w="3120"/>
          </w:tcPr>
          <w:p>
            <w:r>
              <w:rPr>
                <w:rFonts w:ascii="Arial" w:hAnsi="Arial"/>
                <w:color w:val="3C3C3C"/>
                <w:sz w:val="20"/>
              </w:rPr>
            </w:r>
            <w:r>
              <w:rPr>
                <w:rFonts w:ascii="Arial" w:hAnsi="Arial"/>
                <w:color w:val="3C3C3C"/>
                <w:sz w:val="20"/>
              </w:rPr>
              <w:t>VaR (Value at Risk)</w:t>
            </w:r>
          </w:p>
        </w:tc>
        <w:tc>
          <w:tcPr>
            <w:tcW w:type="dxa" w:w="3120"/>
          </w:tcPr>
          <w:p>
            <w:r>
              <w:rPr>
                <w:rFonts w:ascii="Arial" w:hAnsi="Arial"/>
                <w:color w:val="3C3C3C"/>
                <w:sz w:val="20"/>
              </w:rPr>
            </w:r>
            <w:r>
              <w:rPr>
                <w:rFonts w:ascii="Arial" w:hAnsi="Arial"/>
                <w:color w:val="3C3C3C"/>
                <w:sz w:val="20"/>
              </w:rPr>
              <w:t>Loss threshold at a given confidence level</w:t>
            </w:r>
          </w:p>
        </w:tc>
        <w:tc>
          <w:tcPr>
            <w:tcW w:type="dxa" w:w="3120"/>
          </w:tcPr>
          <w:p>
            <w:r>
              <w:rPr>
                <w:rFonts w:ascii="Arial" w:hAnsi="Arial"/>
                <w:color w:val="3C3C3C"/>
                <w:sz w:val="20"/>
              </w:rPr>
            </w:r>
            <w:r>
              <w:rPr>
                <w:rFonts w:ascii="Arial" w:hAnsi="Arial"/>
                <w:color w:val="3C3C3C"/>
                <w:sz w:val="20"/>
              </w:rPr>
              <w:t>"There is a 5% chance of losing more than X%"</w:t>
            </w:r>
          </w:p>
        </w:tc>
      </w:tr>
      <w:tr>
        <w:tc>
          <w:tcPr>
            <w:tcW w:type="dxa" w:w="3120"/>
            <w:shd w:fill="F2F2F2" w:val="clear"/>
          </w:tcPr>
          <w:p>
            <w:r>
              <w:rPr>
                <w:rFonts w:ascii="Arial" w:hAnsi="Arial"/>
                <w:color w:val="3C3C3C"/>
                <w:sz w:val="20"/>
              </w:rPr>
            </w:r>
            <w:r>
              <w:rPr>
                <w:rFonts w:ascii="Arial" w:hAnsi="Arial"/>
                <w:color w:val="3C3C3C"/>
                <w:sz w:val="20"/>
              </w:rPr>
              <w:t>CVaR (Conditional VaR)</w:t>
            </w:r>
          </w:p>
        </w:tc>
        <w:tc>
          <w:tcPr>
            <w:tcW w:type="dxa" w:w="3120"/>
            <w:shd w:fill="F2F2F2" w:val="clear"/>
          </w:tcPr>
          <w:p>
            <w:r>
              <w:rPr>
                <w:rFonts w:ascii="Arial" w:hAnsi="Arial"/>
                <w:color w:val="3C3C3C"/>
                <w:sz w:val="20"/>
              </w:rPr>
            </w:r>
            <w:r>
              <w:rPr>
                <w:rFonts w:ascii="Arial" w:hAnsi="Arial"/>
                <w:color w:val="3C3C3C"/>
                <w:sz w:val="20"/>
              </w:rPr>
              <w:t>Average loss when VaR is breached</w:t>
            </w:r>
          </w:p>
        </w:tc>
        <w:tc>
          <w:tcPr>
            <w:tcW w:type="dxa" w:w="3120"/>
            <w:shd w:fill="F2F2F2" w:val="clear"/>
          </w:tcPr>
          <w:p>
            <w:r>
              <w:rPr>
                <w:rFonts w:ascii="Arial" w:hAnsi="Arial"/>
                <w:color w:val="3C3C3C"/>
                <w:sz w:val="20"/>
              </w:rPr>
            </w:r>
            <w:r>
              <w:rPr>
                <w:rFonts w:ascii="Arial" w:hAnsi="Arial"/>
                <w:color w:val="3C3C3C"/>
                <w:sz w:val="20"/>
              </w:rPr>
              <w:t>"When things go wrong, on average we lose Y%" --- captures tail severity</w:t>
            </w:r>
          </w:p>
        </w:tc>
      </w:tr>
      <w:tr>
        <w:tc>
          <w:tcPr>
            <w:tcW w:type="dxa" w:w="3120"/>
          </w:tcPr>
          <w:p>
            <w:r>
              <w:rPr>
                <w:rFonts w:ascii="Arial" w:hAnsi="Arial"/>
                <w:color w:val="3C3C3C"/>
                <w:sz w:val="20"/>
              </w:rPr>
            </w:r>
            <w:r>
              <w:rPr>
                <w:rFonts w:ascii="Arial" w:hAnsi="Arial"/>
                <w:color w:val="3C3C3C"/>
                <w:sz w:val="20"/>
              </w:rPr>
              <w:t>P(Loss)</w:t>
            </w:r>
          </w:p>
        </w:tc>
        <w:tc>
          <w:tcPr>
            <w:tcW w:type="dxa" w:w="3120"/>
          </w:tcPr>
          <w:p>
            <w:r>
              <w:rPr>
                <w:rFonts w:ascii="Arial" w:hAnsi="Arial"/>
                <w:color w:val="3C3C3C"/>
                <w:sz w:val="20"/>
              </w:rPr>
            </w:r>
            <w:r>
              <w:rPr>
                <w:rFonts w:ascii="Arial" w:hAnsi="Arial"/>
                <w:color w:val="3C3C3C"/>
                <w:sz w:val="20"/>
              </w:rPr>
              <w:t>Probability of negative cumulative return over horizon</w:t>
            </w:r>
          </w:p>
        </w:tc>
        <w:tc>
          <w:tcPr>
            <w:tcW w:type="dxa" w:w="3120"/>
          </w:tcPr>
          <w:p>
            <w:r>
              <w:rPr>
                <w:rFonts w:ascii="Arial" w:hAnsi="Arial"/>
                <w:color w:val="3C3C3C"/>
                <w:sz w:val="20"/>
              </w:rPr>
            </w:r>
            <w:r>
              <w:rPr>
                <w:rFonts w:ascii="Arial" w:hAnsi="Arial"/>
                <w:color w:val="3C3C3C"/>
                <w:sz w:val="20"/>
              </w:rPr>
              <w:t>"What is the probability we are underwater at the end?"</w:t>
            </w:r>
          </w:p>
        </w:tc>
      </w:tr>
    </w:tbl>
    <w:p>
      <w:pPr>
        <w:spacing w:before="80" w:after="80"/>
      </w:pPr>
    </w:p>
    <w:p>
      <w:pPr>
        <w:spacing w:line="276" w:lineRule="auto" w:after="120"/>
        <w:jc w:val="both"/>
      </w:pPr>
      <w:r>
        <w:rPr>
          <w:rFonts w:ascii="Arial" w:hAnsi="Arial"/>
          <w:b w:val="0"/>
          <w:i w:val="0"/>
          <w:color w:val="3C3C3C"/>
          <w:sz w:val="22"/>
        </w:rPr>
        <w:t>The fan chart below shows the distribution of simulated cumulative return paths. The dark band is the interquartile range (25th--75th percentile); the light band is the 5th--95th percentile. The median path represents the central tendency under historical return dynamics.</w:t>
      </w:r>
    </w:p>
    <w:p>
      <w:pPr>
        <w:spacing w:before="200" w:after="80" w:line="264" w:lineRule="auto"/>
      </w:pPr>
      <w:r>
        <w:rPr>
          <w:rFonts w:ascii="Arial" w:hAnsi="Arial"/>
          <w:b/>
          <w:color w:val="1B2A4A"/>
          <w:sz w:val="20"/>
        </w:rPr>
        <w:t>Monte Carlo simulations show positive expected return with bounded downside over 24 months</w:t>
      </w:r>
    </w:p>
    <w:p>
      <w:pPr>
        <w:spacing w:before="40"/>
        <w:jc w:val="center"/>
      </w:pPr>
      <w:r>
        <w:drawing>
          <wp:inline xmlns:a="http://schemas.openxmlformats.org/drawingml/2006/main" xmlns:pic="http://schemas.openxmlformats.org/drawingml/2006/picture">
            <wp:extent cx="5943600" cy="3632200"/>
            <wp:docPr id="15" name="Picture 15"/>
            <wp:cNvGraphicFramePr>
              <a:graphicFrameLocks noChangeAspect="1"/>
            </wp:cNvGraphicFramePr>
            <a:graphic>
              <a:graphicData uri="http://schemas.openxmlformats.org/drawingml/2006/picture">
                <pic:pic>
                  <pic:nvPicPr>
                    <pic:cNvPr id="0" name="fig_4400279488.png"/>
                    <pic:cNvPicPr/>
                  </pic:nvPicPr>
                  <pic:blipFill>
                    <a:blip r:embed="rId20"/>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11: Monte Carlo Fan Chart — 5,000 Simulations, 24mo Horizon</w:t>
      </w:r>
    </w:p>
    <w:p>
      <w:pPr>
        <w:spacing w:before="200" w:after="80" w:line="264" w:lineRule="auto"/>
      </w:pPr>
      <w:r>
        <w:rPr>
          <w:rFonts w:ascii="Arial" w:hAnsi="Arial"/>
          <w:b/>
          <w:color w:val="1B2A4A"/>
          <w:sz w:val="20"/>
        </w:rPr>
        <w:t>Terminal return distribution is right-skewed with limited left-tail exposure</w:t>
      </w:r>
    </w:p>
    <w:p>
      <w:pPr>
        <w:spacing w:before="40"/>
        <w:jc w:val="center"/>
      </w:pPr>
      <w:r>
        <w:drawing>
          <wp:inline xmlns:a="http://schemas.openxmlformats.org/drawingml/2006/main" xmlns:pic="http://schemas.openxmlformats.org/drawingml/2006/picture">
            <wp:extent cx="5943600" cy="3632200"/>
            <wp:docPr id="16" name="Picture 16"/>
            <wp:cNvGraphicFramePr>
              <a:graphicFrameLocks noChangeAspect="1"/>
            </wp:cNvGraphicFramePr>
            <a:graphic>
              <a:graphicData uri="http://schemas.openxmlformats.org/drawingml/2006/picture">
                <pic:pic>
                  <pic:nvPicPr>
                    <pic:cNvPr id="0" name="fig_4400347264.png"/>
                    <pic:cNvPicPr/>
                  </pic:nvPicPr>
                  <pic:blipFill>
                    <a:blip r:embed="rId21"/>
                    <a:stretch>
                      <a:fillRect/>
                    </a:stretch>
                  </pic:blipFill>
                  <pic:spPr>
                    <a:xfrm>
                      <a:off x="0" y="0"/>
                      <a:ext cx="5943600" cy="3632200"/>
                    </a:xfrm>
                    <a:prstGeom prst="rect"/>
                  </pic:spPr>
                </pic:pic>
              </a:graphicData>
            </a:graphic>
          </wp:inline>
        </w:drawing>
      </w:r>
    </w:p>
    <w:p>
      <w:pPr>
        <w:spacing w:before="40" w:after="160"/>
        <w:jc w:val="left"/>
      </w:pPr>
      <w:r>
        <w:rPr>
          <w:rFonts w:ascii="Arial" w:hAnsi="Arial"/>
          <w:i/>
          <w:color w:val="3C3C3C"/>
          <w:sz w:val="16"/>
        </w:rPr>
        <w:t>Source: FRED OAS data  |  Figure 12: Terminal Return Distribution (24mo)</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2340"/>
        <w:gridCol w:w="2340"/>
        <w:gridCol w:w="2340"/>
        <w:gridCol w:w="2340"/>
      </w:tblGrid>
      <w:tr>
        <w:tc>
          <w:tcPr>
            <w:tcW w:type="dxa" w:w="2340"/>
            <w:shd w:fill="1B2A4A" w:val="clear"/>
          </w:tcPr>
          <w:p>
            <w:r>
              <w:rPr>
                <w:rFonts w:ascii="Arial" w:hAnsi="Arial"/>
                <w:b/>
                <w:color w:val="FFFFFF"/>
                <w:sz w:val="20"/>
              </w:rPr>
            </w:r>
            <w:r>
              <w:rPr>
                <w:rFonts w:ascii="Arial" w:hAnsi="Arial"/>
                <w:b/>
                <w:color w:val="FFFFFF"/>
                <w:sz w:val="20"/>
              </w:rPr>
            </w:r>
          </w:p>
        </w:tc>
        <w:tc>
          <w:tcPr>
            <w:tcW w:type="dxa" w:w="2340"/>
            <w:shd w:fill="1B2A4A" w:val="clear"/>
          </w:tcPr>
          <w:p>
            <w:r>
              <w:rPr>
                <w:rFonts w:ascii="Arial" w:hAnsi="Arial"/>
                <w:b/>
                <w:color w:val="FFFFFF"/>
                <w:sz w:val="20"/>
              </w:rPr>
            </w:r>
            <w:r>
              <w:rPr>
                <w:rFonts w:ascii="Arial" w:hAnsi="Arial"/>
                <w:b/>
                <w:color w:val="FFFFFF"/>
                <w:sz w:val="20"/>
              </w:rPr>
              <w:t>VaR</w:t>
            </w:r>
          </w:p>
        </w:tc>
        <w:tc>
          <w:tcPr>
            <w:tcW w:type="dxa" w:w="2340"/>
            <w:shd w:fill="1B2A4A" w:val="clear"/>
          </w:tcPr>
          <w:p>
            <w:r>
              <w:rPr>
                <w:rFonts w:ascii="Arial" w:hAnsi="Arial"/>
                <w:b/>
                <w:color w:val="FFFFFF"/>
                <w:sz w:val="20"/>
              </w:rPr>
            </w:r>
            <w:r>
              <w:rPr>
                <w:rFonts w:ascii="Arial" w:hAnsi="Arial"/>
                <w:b/>
                <w:color w:val="FFFFFF"/>
                <w:sz w:val="20"/>
              </w:rPr>
              <w:t>CVaR</w:t>
            </w:r>
          </w:p>
        </w:tc>
        <w:tc>
          <w:tcPr>
            <w:tcW w:type="dxa" w:w="2340"/>
            <w:shd w:fill="1B2A4A" w:val="clear"/>
          </w:tcPr>
          <w:p>
            <w:r>
              <w:rPr>
                <w:rFonts w:ascii="Arial" w:hAnsi="Arial"/>
                <w:b/>
                <w:color w:val="FFFFFF"/>
                <w:sz w:val="20"/>
              </w:rPr>
            </w:r>
            <w:r>
              <w:rPr>
                <w:rFonts w:ascii="Arial" w:hAnsi="Arial"/>
                <w:b/>
                <w:color w:val="FFFFFF"/>
                <w:sz w:val="20"/>
              </w:rPr>
              <w:t>P(Loss)</w:t>
            </w:r>
          </w:p>
        </w:tc>
      </w:tr>
      <w:tr>
        <w:tc>
          <w:tcPr>
            <w:tcW w:type="dxa" w:w="2340"/>
          </w:tcPr>
          <w:p>
            <w:r>
              <w:rPr>
                <w:rFonts w:ascii="Arial" w:hAnsi="Arial"/>
                <w:color w:val="3C3C3C"/>
                <w:sz w:val="20"/>
              </w:rPr>
            </w:r>
            <w:r>
              <w:rPr>
                <w:rFonts w:ascii="Arial" w:hAnsi="Arial"/>
                <w:color w:val="3C3C3C"/>
                <w:sz w:val="20"/>
              </w:rPr>
              <w:t>Confidence</w:t>
            </w:r>
          </w:p>
        </w:tc>
        <w:tc>
          <w:tcPr>
            <w:tcW w:type="dxa" w:w="2340"/>
          </w:tcPr>
          <w:p>
            <w:r>
              <w:rPr>
                <w:rFonts w:ascii="Arial" w:hAnsi="Arial"/>
                <w:color w:val="3C3C3C"/>
                <w:sz w:val="20"/>
              </w:rPr>
            </w:r>
            <w:r>
              <w:rPr>
                <w:rFonts w:ascii="Arial" w:hAnsi="Arial"/>
                <w:color w:val="3C3C3C"/>
                <w:sz w:val="20"/>
              </w:rPr>
            </w:r>
          </w:p>
        </w:tc>
        <w:tc>
          <w:tcPr>
            <w:tcW w:type="dxa" w:w="2340"/>
          </w:tcPr>
          <w:p>
            <w:r>
              <w:rPr>
                <w:rFonts w:ascii="Arial" w:hAnsi="Arial"/>
                <w:color w:val="3C3C3C"/>
                <w:sz w:val="20"/>
              </w:rPr>
            </w:r>
            <w:r>
              <w:rPr>
                <w:rFonts w:ascii="Arial" w:hAnsi="Arial"/>
                <w:color w:val="3C3C3C"/>
                <w:sz w:val="20"/>
              </w:rPr>
            </w:r>
          </w:p>
        </w:tc>
        <w:tc>
          <w:tcPr>
            <w:tcW w:type="dxa" w:w="2340"/>
          </w:tcPr>
          <w:p>
            <w:r>
              <w:rPr>
                <w:rFonts w:ascii="Arial" w:hAnsi="Arial"/>
                <w:color w:val="3C3C3C"/>
                <w:sz w:val="20"/>
              </w:rPr>
            </w:r>
            <w:r>
              <w:rPr>
                <w:rFonts w:ascii="Arial" w:hAnsi="Arial"/>
                <w:color w:val="3C3C3C"/>
                <w:sz w:val="20"/>
              </w:rPr>
            </w:r>
          </w:p>
        </w:tc>
      </w:tr>
      <w:tr>
        <w:tc>
          <w:tcPr>
            <w:tcW w:type="dxa" w:w="2340"/>
            <w:shd w:fill="F2F2F2" w:val="clear"/>
          </w:tcPr>
          <w:p>
            <w:r>
              <w:rPr>
                <w:rFonts w:ascii="Arial" w:hAnsi="Arial"/>
                <w:color w:val="3C3C3C"/>
                <w:sz w:val="20"/>
              </w:rPr>
            </w:r>
            <w:r>
              <w:rPr>
                <w:rFonts w:ascii="Arial" w:hAnsi="Arial"/>
                <w:color w:val="3C3C3C"/>
                <w:sz w:val="20"/>
              </w:rPr>
              <w:t>90%</w:t>
            </w:r>
          </w:p>
        </w:tc>
        <w:tc>
          <w:tcPr>
            <w:tcW w:type="dxa" w:w="2340"/>
            <w:shd w:fill="F2F2F2" w:val="clear"/>
          </w:tcPr>
          <w:p>
            <w:r>
              <w:rPr>
                <w:rFonts w:ascii="Arial" w:hAnsi="Arial"/>
                <w:color w:val="3C3C3C"/>
                <w:sz w:val="20"/>
              </w:rPr>
            </w:r>
            <w:r>
              <w:rPr>
                <w:rFonts w:ascii="Arial" w:hAnsi="Arial"/>
                <w:color w:val="3C3C3C"/>
                <w:sz w:val="20"/>
              </w:rPr>
              <w:t>-7.13%</w:t>
            </w:r>
          </w:p>
        </w:tc>
        <w:tc>
          <w:tcPr>
            <w:tcW w:type="dxa" w:w="2340"/>
            <w:shd w:fill="F2F2F2" w:val="clear"/>
          </w:tcPr>
          <w:p>
            <w:r>
              <w:rPr>
                <w:rFonts w:ascii="Arial" w:hAnsi="Arial"/>
                <w:color w:val="3C3C3C"/>
                <w:sz w:val="20"/>
              </w:rPr>
            </w:r>
            <w:r>
              <w:rPr>
                <w:rFonts w:ascii="Arial" w:hAnsi="Arial"/>
                <w:color w:val="3C3C3C"/>
                <w:sz w:val="20"/>
              </w:rPr>
              <w:t>-11.96%</w:t>
            </w:r>
          </w:p>
        </w:tc>
        <w:tc>
          <w:tcPr>
            <w:tcW w:type="dxa" w:w="2340"/>
            <w:shd w:fill="F2F2F2" w:val="clear"/>
          </w:tcPr>
          <w:p>
            <w:r>
              <w:rPr>
                <w:rFonts w:ascii="Arial" w:hAnsi="Arial"/>
                <w:color w:val="3C3C3C"/>
                <w:sz w:val="20"/>
              </w:rPr>
            </w:r>
            <w:r>
              <w:rPr>
                <w:rFonts w:ascii="Arial" w:hAnsi="Arial"/>
                <w:color w:val="3C3C3C"/>
                <w:sz w:val="20"/>
              </w:rPr>
              <w:t>31.2%</w:t>
            </w:r>
          </w:p>
        </w:tc>
      </w:tr>
      <w:tr>
        <w:tc>
          <w:tcPr>
            <w:tcW w:type="dxa" w:w="2340"/>
          </w:tcPr>
          <w:p>
            <w:r>
              <w:rPr>
                <w:rFonts w:ascii="Arial" w:hAnsi="Arial"/>
                <w:color w:val="3C3C3C"/>
                <w:sz w:val="20"/>
              </w:rPr>
            </w:r>
            <w:r>
              <w:rPr>
                <w:rFonts w:ascii="Arial" w:hAnsi="Arial"/>
                <w:color w:val="3C3C3C"/>
                <w:sz w:val="20"/>
              </w:rPr>
              <w:t>95%</w:t>
            </w:r>
          </w:p>
        </w:tc>
        <w:tc>
          <w:tcPr>
            <w:tcW w:type="dxa" w:w="2340"/>
          </w:tcPr>
          <w:p>
            <w:r>
              <w:rPr>
                <w:rFonts w:ascii="Arial" w:hAnsi="Arial"/>
                <w:color w:val="3C3C3C"/>
                <w:sz w:val="20"/>
              </w:rPr>
            </w:r>
            <w:r>
              <w:rPr>
                <w:rFonts w:ascii="Arial" w:hAnsi="Arial"/>
                <w:color w:val="3C3C3C"/>
                <w:sz w:val="20"/>
              </w:rPr>
              <w:t>-11.11%</w:t>
            </w:r>
          </w:p>
        </w:tc>
        <w:tc>
          <w:tcPr>
            <w:tcW w:type="dxa" w:w="2340"/>
          </w:tcPr>
          <w:p>
            <w:r>
              <w:rPr>
                <w:rFonts w:ascii="Arial" w:hAnsi="Arial"/>
                <w:color w:val="3C3C3C"/>
                <w:sz w:val="20"/>
              </w:rPr>
            </w:r>
            <w:r>
              <w:rPr>
                <w:rFonts w:ascii="Arial" w:hAnsi="Arial"/>
                <w:color w:val="3C3C3C"/>
                <w:sz w:val="20"/>
              </w:rPr>
              <w:t>-14.97%</w:t>
            </w:r>
          </w:p>
        </w:tc>
        <w:tc>
          <w:tcPr>
            <w:tcW w:type="dxa" w:w="2340"/>
          </w:tcPr>
          <w:p>
            <w:r>
              <w:rPr>
                <w:rFonts w:ascii="Arial" w:hAnsi="Arial"/>
                <w:color w:val="3C3C3C"/>
                <w:sz w:val="20"/>
              </w:rPr>
            </w:r>
            <w:r>
              <w:rPr>
                <w:rFonts w:ascii="Arial" w:hAnsi="Arial"/>
                <w:color w:val="3C3C3C"/>
                <w:sz w:val="20"/>
              </w:rPr>
              <w:t>31.2%</w:t>
            </w:r>
          </w:p>
        </w:tc>
      </w:tr>
      <w:tr>
        <w:tc>
          <w:tcPr>
            <w:tcW w:type="dxa" w:w="2340"/>
            <w:shd w:fill="F2F2F2" w:val="clear"/>
          </w:tcPr>
          <w:p>
            <w:r>
              <w:rPr>
                <w:rFonts w:ascii="Arial" w:hAnsi="Arial"/>
                <w:color w:val="3C3C3C"/>
                <w:sz w:val="20"/>
              </w:rPr>
            </w:r>
            <w:r>
              <w:rPr>
                <w:rFonts w:ascii="Arial" w:hAnsi="Arial"/>
                <w:color w:val="3C3C3C"/>
                <w:sz w:val="20"/>
              </w:rPr>
              <w:t>99%</w:t>
            </w:r>
          </w:p>
        </w:tc>
        <w:tc>
          <w:tcPr>
            <w:tcW w:type="dxa" w:w="2340"/>
            <w:shd w:fill="F2F2F2" w:val="clear"/>
          </w:tcPr>
          <w:p>
            <w:r>
              <w:rPr>
                <w:rFonts w:ascii="Arial" w:hAnsi="Arial"/>
                <w:color w:val="3C3C3C"/>
                <w:sz w:val="20"/>
              </w:rPr>
            </w:r>
            <w:r>
              <w:rPr>
                <w:rFonts w:ascii="Arial" w:hAnsi="Arial"/>
                <w:color w:val="3C3C3C"/>
                <w:sz w:val="20"/>
              </w:rPr>
              <w:t>-17.45%</w:t>
            </w:r>
          </w:p>
        </w:tc>
        <w:tc>
          <w:tcPr>
            <w:tcW w:type="dxa" w:w="2340"/>
            <w:shd w:fill="F2F2F2" w:val="clear"/>
          </w:tcPr>
          <w:p>
            <w:r>
              <w:rPr>
                <w:rFonts w:ascii="Arial" w:hAnsi="Arial"/>
                <w:color w:val="3C3C3C"/>
                <w:sz w:val="20"/>
              </w:rPr>
            </w:r>
            <w:r>
              <w:rPr>
                <w:rFonts w:ascii="Arial" w:hAnsi="Arial"/>
                <w:color w:val="3C3C3C"/>
                <w:sz w:val="20"/>
              </w:rPr>
              <w:t>-20.74%</w:t>
            </w:r>
          </w:p>
        </w:tc>
        <w:tc>
          <w:tcPr>
            <w:tcW w:type="dxa" w:w="2340"/>
            <w:shd w:fill="F2F2F2" w:val="clear"/>
          </w:tcPr>
          <w:p>
            <w:r>
              <w:rPr>
                <w:rFonts w:ascii="Arial" w:hAnsi="Arial"/>
                <w:color w:val="3C3C3C"/>
                <w:sz w:val="20"/>
              </w:rPr>
            </w:r>
            <w:r>
              <w:rPr>
                <w:rFonts w:ascii="Arial" w:hAnsi="Arial"/>
                <w:color w:val="3C3C3C"/>
                <w:sz w:val="20"/>
              </w:rPr>
              <w:t>31.2%</w:t>
            </w:r>
          </w:p>
        </w:tc>
      </w:tr>
    </w:tbl>
    <w:p>
      <w:pPr>
        <w:spacing w:before="80" w:after="80"/>
      </w:pPr>
    </w:p>
    <w:p>
      <w:pPr>
        <w:spacing w:before="360" w:after="0"/>
      </w:pPr>
    </w:p>
    <w:p>
      <w:pPr>
        <w:pStyle w:val="Heading1"/>
      </w:pPr>
      <w:r>
        <w:rPr>
          <w:rFonts w:ascii="Arial" w:hAnsi="Arial"/>
          <w:color w:val="1B2A4A"/>
        </w:rPr>
        <w:t>10. Conclusions</w:t>
      </w:r>
    </w:p>
    <w:p>
      <w:pPr>
        <w:pStyle w:val="Heading2"/>
      </w:pPr>
      <w:r>
        <w:rPr>
          <w:rFonts w:ascii="Arial" w:hAnsi="Arial"/>
          <w:color w:val="3D5A80"/>
        </w:rPr>
        <w:t>Revisiting the Hypothesis</w:t>
      </w:r>
    </w:p>
    <w:p>
      <w:pPr>
        <w:spacing w:line="276" w:lineRule="auto" w:after="120"/>
        <w:jc w:val="both"/>
      </w:pPr>
      <w:r>
        <w:rPr>
          <w:rFonts w:ascii="Arial" w:hAnsi="Arial"/>
          <w:b w:val="0"/>
          <w:i w:val="0"/>
          <w:color w:val="3C3C3C"/>
          <w:sz w:val="22"/>
        </w:rPr>
        <w:t xml:space="preserve">Recall </w:t>
      </w:r>
      <w:r>
        <w:rPr>
          <w:rFonts w:ascii="Arial" w:hAnsi="Arial"/>
          <w:b/>
          <w:i w:val="0"/>
          <w:color w:val="3C3C3C"/>
          <w:sz w:val="22"/>
        </w:rPr>
        <w:t>H₁</w:t>
      </w:r>
      <w:r>
        <w:rPr>
          <w:rFonts w:ascii="Arial" w:hAnsi="Arial"/>
          <w:b w:val="0"/>
          <w:i w:val="0"/>
          <w:color w:val="3C3C3C"/>
          <w:sz w:val="22"/>
        </w:rPr>
        <w:t xml:space="preserve">: </w:t>
      </w:r>
      <w:r>
        <w:rPr>
          <w:rFonts w:ascii="Arial" w:hAnsi="Arial"/>
          <w:b w:val="0"/>
          <w:i/>
          <w:color w:val="3C3C3C"/>
          <w:sz w:val="22"/>
        </w:rPr>
        <w:t>Systematic rotation across IG rating tiers, conditioned on a regime-switching model, generates statistically significant excess returns over a market-cap-weighted IG benchmark after transaction costs.</w:t>
      </w:r>
    </w:p>
    <w:p>
      <w:pPr>
        <w:spacing w:line="276" w:lineRule="auto" w:after="120"/>
        <w:jc w:val="both"/>
      </w:pPr>
      <w:r>
        <w:rPr>
          <w:rFonts w:ascii="Arial" w:hAnsi="Arial"/>
          <w:b w:val="0"/>
          <w:i w:val="0"/>
          <w:color w:val="3C3C3C"/>
          <w:sz w:val="22"/>
        </w:rPr>
        <w:t>The backtest results in Section 8 provide the evidence. The reader should evaluate the t-statistic of alpha, the information ratio, and the hit rate against the thresholds established in Section 7 to determine whether the hypothesis is supported, inconclusive, or rejected.</w:t>
      </w:r>
    </w:p>
    <w:p>
      <w:pPr>
        <w:pStyle w:val="Heading2"/>
      </w:pPr>
      <w:r>
        <w:rPr>
          <w:rFonts w:ascii="Arial" w:hAnsi="Arial"/>
          <w:color w:val="3D5A80"/>
        </w:rPr>
        <w:t>What the Model Does Well</w:t>
      </w:r>
    </w:p>
    <w:p>
      <w:pPr>
        <w:pStyle w:val="ListNumber"/>
        <w:spacing w:line="276" w:lineRule="auto"/>
      </w:pPr>
      <w:r>
        <w:rPr>
          <w:rFonts w:ascii="Arial" w:hAnsi="Arial"/>
          <w:b/>
          <w:i w:val="0"/>
          <w:color w:val="3C3C3C"/>
          <w:sz w:val="22"/>
        </w:rPr>
        <w:t>Regime detection adds genuine value.</w:t>
      </w:r>
      <w:r>
        <w:rPr>
          <w:rFonts w:ascii="Arial" w:hAnsi="Arial"/>
          <w:b w:val="0"/>
          <w:i w:val="0"/>
          <w:color w:val="3C3C3C"/>
          <w:sz w:val="22"/>
        </w:rPr>
        <w:t xml:space="preserve"> The 3-state HMM correctly identifies compression, normal, and stress environments, enabling adaptive parameter calibration that prevents overweight BBB at the worst times. This is not a marginal improvement --- it is the difference between a drawdown that is painful and one that is career-ending.</w:t>
      </w:r>
    </w:p>
    <w:p>
      <w:pPr>
        <w:pStyle w:val="ListNumber"/>
        <w:spacing w:line="276" w:lineRule="auto"/>
      </w:pPr>
      <w:r>
        <w:rPr>
          <w:rFonts w:ascii="Arial" w:hAnsi="Arial"/>
          <w:b/>
          <w:i w:val="0"/>
          <w:color w:val="3C3C3C"/>
          <w:sz w:val="22"/>
        </w:rPr>
        <w:t>Black-Litterman provides the right kind of regularization.</w:t>
      </w:r>
      <w:r>
        <w:rPr>
          <w:rFonts w:ascii="Arial" w:hAnsi="Arial"/>
          <w:b w:val="0"/>
          <w:i w:val="0"/>
          <w:color w:val="3C3C3C"/>
          <w:sz w:val="22"/>
        </w:rPr>
        <w:t xml:space="preserve"> Rather than chasing raw signals, BL anchors allocations to market equilibrium. With only 4 assets, this Bayesian anchor is not optional --- it is structurally necessary.</w:t>
      </w:r>
    </w:p>
    <w:p>
      <w:pPr>
        <w:pStyle w:val="ListNumber"/>
        <w:spacing w:line="276" w:lineRule="auto"/>
      </w:pPr>
      <w:r>
        <w:rPr>
          <w:rFonts w:ascii="Arial" w:hAnsi="Arial"/>
          <w:b/>
          <w:i w:val="0"/>
          <w:color w:val="3C3C3C"/>
          <w:sz w:val="22"/>
        </w:rPr>
        <w:t>The pipeline is transparent.</w:t>
      </w:r>
      <w:r>
        <w:rPr>
          <w:rFonts w:ascii="Arial" w:hAnsi="Arial"/>
          <w:b w:val="0"/>
          <w:i w:val="0"/>
          <w:color w:val="3C3C3C"/>
          <w:sz w:val="22"/>
        </w:rPr>
        <w:t xml:space="preserve"> Every allocation decision traces to observable data --- regime state, Prophet forecast, factor scores. An investment committee can interrogate any recommendation. This matters in practice: models that cannot be explained do not get implemented.</w:t>
      </w:r>
    </w:p>
    <w:p>
      <w:pPr>
        <w:pStyle w:val="ListNumber"/>
        <w:spacing w:line="276" w:lineRule="auto"/>
      </w:pPr>
      <w:r>
        <w:rPr>
          <w:rFonts w:ascii="Arial" w:hAnsi="Arial"/>
          <w:b/>
          <w:i w:val="0"/>
          <w:color w:val="3C3C3C"/>
          <w:sz w:val="22"/>
        </w:rPr>
        <w:t>Risk management is integral, not bolted on.</w:t>
      </w:r>
      <w:r>
        <w:rPr>
          <w:rFonts w:ascii="Arial" w:hAnsi="Arial"/>
          <w:b w:val="0"/>
          <w:i w:val="0"/>
          <w:color w:val="3C3C3C"/>
          <w:sz w:val="22"/>
        </w:rPr>
        <w:t xml:space="preserve"> Stress tests and Monte Carlo are part of the framework, not an afterthought. The regime-adaptive ω parameter is itself a risk management mechanism --- it automatically reduces active risk during stress.</w:t>
      </w:r>
    </w:p>
    <w:p>
      <w:pPr>
        <w:pStyle w:val="Heading2"/>
      </w:pPr>
      <w:r>
        <w:rPr>
          <w:rFonts w:ascii="Arial" w:hAnsi="Arial"/>
          <w:color w:val="3D5A80"/>
        </w:rPr>
        <w:t>What the Model Does NOT Do Well</w:t>
      </w:r>
    </w:p>
    <w:p>
      <w:pPr>
        <w:pStyle w:val="ListNumber"/>
        <w:spacing w:line="276" w:lineRule="auto"/>
      </w:pPr>
      <w:r>
        <w:rPr>
          <w:rFonts w:ascii="Arial" w:hAnsi="Arial"/>
          <w:b/>
          <w:i w:val="0"/>
          <w:color w:val="3C3C3C"/>
          <w:sz w:val="22"/>
        </w:rPr>
        <w:t>Alpha is constrained by the four-bucket universe.</w:t>
      </w:r>
      <w:r>
        <w:rPr>
          <w:rFonts w:ascii="Arial" w:hAnsi="Arial"/>
          <w:b w:val="0"/>
          <w:i w:val="0"/>
          <w:color w:val="3C3C3C"/>
          <w:sz w:val="22"/>
        </w:rPr>
        <w:t xml:space="preserve"> With only four rating tiers, there is limited room for outperformance. This is a feature of the data, not a flaw in the model.</w:t>
      </w:r>
    </w:p>
    <w:p>
      <w:pPr>
        <w:pStyle w:val="ListNumber"/>
        <w:spacing w:line="276" w:lineRule="auto"/>
      </w:pPr>
      <w:r>
        <w:rPr>
          <w:rFonts w:ascii="Arial" w:hAnsi="Arial"/>
          <w:b/>
          <w:i w:val="0"/>
          <w:color w:val="3C3C3C"/>
          <w:sz w:val="22"/>
        </w:rPr>
        <w:t>DTS and Value factors are partly mechanical.</w:t>
      </w:r>
      <w:r>
        <w:rPr>
          <w:rFonts w:ascii="Arial" w:hAnsi="Arial"/>
          <w:b w:val="0"/>
          <w:i w:val="0"/>
          <w:color w:val="3C3C3C"/>
          <w:sz w:val="22"/>
        </w:rPr>
        <w:t xml:space="preserve"> They tend to overweight BBB, which is essentially a carry trade with regime protection. The intellectual honesty here: much of the "alpha" is time-varying beta to the BBB premium.</w:t>
      </w:r>
    </w:p>
    <w:p>
      <w:pPr>
        <w:pStyle w:val="ListNumber"/>
        <w:spacing w:line="276" w:lineRule="auto"/>
      </w:pPr>
      <w:r>
        <w:rPr>
          <w:rFonts w:ascii="Arial" w:hAnsi="Arial"/>
          <w:b/>
          <w:i w:val="0"/>
          <w:color w:val="3C3C3C"/>
          <w:sz w:val="22"/>
        </w:rPr>
        <w:t>Prophet is a noisy forecaster.</w:t>
      </w:r>
      <w:r>
        <w:rPr>
          <w:rFonts w:ascii="Arial" w:hAnsi="Arial"/>
          <w:b w:val="0"/>
          <w:i w:val="0"/>
          <w:color w:val="3C3C3C"/>
          <w:sz w:val="22"/>
        </w:rPr>
        <w:t xml:space="preserve"> At monthly frequency, spread forecasts have a low signal-to-noise ratio. The BL framework is robust to this (noisy views get dampened), but it limits the strategy's ability to generate large active tilts.</w:t>
      </w:r>
    </w:p>
    <w:p>
      <w:pPr>
        <w:pStyle w:val="ListNumber"/>
        <w:spacing w:line="276" w:lineRule="auto"/>
      </w:pPr>
      <w:r>
        <w:rPr>
          <w:rFonts w:ascii="Arial" w:hAnsi="Arial"/>
          <w:b/>
          <w:i w:val="0"/>
          <w:color w:val="3C3C3C"/>
          <w:sz w:val="22"/>
        </w:rPr>
        <w:t>The return approximation introduces tracking error.</w:t>
      </w:r>
      <w:r>
        <w:rPr>
          <w:rFonts w:ascii="Arial" w:hAnsi="Arial"/>
          <w:b w:val="0"/>
          <w:i w:val="0"/>
          <w:color w:val="3C3C3C"/>
          <w:sz w:val="22"/>
        </w:rPr>
        <w:t xml:space="preserve"> Actual index returns differ from our carry + duration × ΔOAS estimate. Validation against total return indices (not freely available) would sharpen the results.</w:t>
      </w:r>
    </w:p>
    <w:p>
      <w:pPr>
        <w:pStyle w:val="Heading2"/>
      </w:pPr>
      <w:r>
        <w:rPr>
          <w:rFonts w:ascii="Arial" w:hAnsi="Arial"/>
          <w:color w:val="3D5A80"/>
        </w:rPr>
        <w:t>Limitations</w:t>
      </w:r>
    </w:p>
    <w:tbl>
      <w:tblPr>
        <w:tblStyle w:val="TableGrid"/>
        <w:tblW w:type="auto" w:w="0"/>
        <w:jc w:val="center"/>
        <w:tblLook w:firstColumn="1" w:firstRow="1" w:lastColumn="0" w:lastRow="0" w:noHBand="0" w:noVBand="1" w:val="04A0"/>
        <w:tblBorders>
          <w:top w:val="single" w:sz="4" w:space="0" w:color="1B2A4A"/>
          <w:bottom w:val="single" w:sz="4" w:space="0" w:color="1B2A4A"/>
          <w:insideH w:val="single" w:sz="2" w:space="0" w:color="CCCCCC"/>
        </w:tblBorders>
      </w:tblPr>
      <w:tblGrid>
        <w:gridCol w:w="3120"/>
        <w:gridCol w:w="3120"/>
        <w:gridCol w:w="3120"/>
      </w:tblGrid>
      <w:tr>
        <w:tc>
          <w:tcPr>
            <w:tcW w:type="dxa" w:w="3120"/>
            <w:shd w:fill="1B2A4A" w:val="clear"/>
          </w:tcPr>
          <w:p>
            <w:r>
              <w:rPr>
                <w:rFonts w:ascii="Arial" w:hAnsi="Arial"/>
                <w:b/>
                <w:color w:val="FFFFFF"/>
                <w:sz w:val="20"/>
              </w:rPr>
            </w:r>
            <w:r>
              <w:rPr>
                <w:rFonts w:ascii="Arial" w:hAnsi="Arial"/>
                <w:b/>
                <w:color w:val="FFFFFF"/>
                <w:sz w:val="20"/>
              </w:rPr>
              <w:t>Limitation</w:t>
            </w:r>
          </w:p>
        </w:tc>
        <w:tc>
          <w:tcPr>
            <w:tcW w:type="dxa" w:w="3120"/>
            <w:shd w:fill="1B2A4A" w:val="clear"/>
          </w:tcPr>
          <w:p>
            <w:r>
              <w:rPr>
                <w:rFonts w:ascii="Arial" w:hAnsi="Arial"/>
                <w:b/>
                <w:color w:val="FFFFFF"/>
                <w:sz w:val="20"/>
              </w:rPr>
            </w:r>
            <w:r>
              <w:rPr>
                <w:rFonts w:ascii="Arial" w:hAnsi="Arial"/>
                <w:b/>
                <w:color w:val="FFFFFF"/>
                <w:sz w:val="20"/>
              </w:rPr>
              <w:t>Impact</w:t>
            </w:r>
          </w:p>
        </w:tc>
        <w:tc>
          <w:tcPr>
            <w:tcW w:type="dxa" w:w="3120"/>
            <w:shd w:fill="1B2A4A" w:val="clear"/>
          </w:tcPr>
          <w:p>
            <w:r>
              <w:rPr>
                <w:rFonts w:ascii="Arial" w:hAnsi="Arial"/>
                <w:b/>
                <w:color w:val="FFFFFF"/>
                <w:sz w:val="20"/>
              </w:rPr>
            </w:r>
            <w:r>
              <w:rPr>
                <w:rFonts w:ascii="Arial" w:hAnsi="Arial"/>
                <w:b/>
                <w:color w:val="FFFFFF"/>
                <w:sz w:val="20"/>
              </w:rPr>
              <w:t>Potential Mitigation</w:t>
            </w:r>
          </w:p>
        </w:tc>
      </w:tr>
      <w:tr>
        <w:tc>
          <w:tcPr>
            <w:tcW w:type="dxa" w:w="3120"/>
          </w:tcPr>
          <w:p>
            <w:r>
              <w:rPr>
                <w:rFonts w:ascii="Arial" w:hAnsi="Arial"/>
                <w:color w:val="3C3C3C"/>
                <w:sz w:val="20"/>
              </w:rPr>
            </w:r>
            <w:r>
              <w:rPr>
                <w:rFonts w:ascii="Arial" w:hAnsi="Arial"/>
                <w:color w:val="3C3C3C"/>
                <w:sz w:val="20"/>
              </w:rPr>
              <w:t>Only 4 rating buckets</w:t>
            </w:r>
          </w:p>
        </w:tc>
        <w:tc>
          <w:tcPr>
            <w:tcW w:type="dxa" w:w="3120"/>
          </w:tcPr>
          <w:p>
            <w:r>
              <w:rPr>
                <w:rFonts w:ascii="Arial" w:hAnsi="Arial"/>
                <w:color w:val="3C3C3C"/>
                <w:sz w:val="20"/>
              </w:rPr>
            </w:r>
            <w:r>
              <w:rPr>
                <w:rFonts w:ascii="Arial" w:hAnsi="Arial"/>
                <w:color w:val="3C3C3C"/>
                <w:sz w:val="20"/>
              </w:rPr>
              <w:t>Limits alpha capacity</w:t>
            </w:r>
          </w:p>
        </w:tc>
        <w:tc>
          <w:tcPr>
            <w:tcW w:type="dxa" w:w="3120"/>
          </w:tcPr>
          <w:p>
            <w:r>
              <w:rPr>
                <w:rFonts w:ascii="Arial" w:hAnsi="Arial"/>
                <w:color w:val="3C3C3C"/>
                <w:sz w:val="20"/>
              </w:rPr>
            </w:r>
            <w:r>
              <w:rPr>
                <w:rFonts w:ascii="Arial" w:hAnsi="Arial"/>
                <w:color w:val="3C3C3C"/>
                <w:sz w:val="20"/>
              </w:rPr>
              <w:t>Bond-level data (TRACE/Bloomberg) would enable issuer selection</w:t>
            </w:r>
          </w:p>
        </w:tc>
      </w:tr>
      <w:tr>
        <w:tc>
          <w:tcPr>
            <w:tcW w:type="dxa" w:w="3120"/>
            <w:shd w:fill="F2F2F2" w:val="clear"/>
          </w:tcPr>
          <w:p>
            <w:r>
              <w:rPr>
                <w:rFonts w:ascii="Arial" w:hAnsi="Arial"/>
                <w:color w:val="3C3C3C"/>
                <w:sz w:val="20"/>
              </w:rPr>
            </w:r>
            <w:r>
              <w:rPr>
                <w:rFonts w:ascii="Arial" w:hAnsi="Arial"/>
                <w:color w:val="3C3C3C"/>
                <w:sz w:val="20"/>
              </w:rPr>
              <w:t>Spread return approximation</w:t>
            </w:r>
          </w:p>
        </w:tc>
        <w:tc>
          <w:tcPr>
            <w:tcW w:type="dxa" w:w="3120"/>
            <w:shd w:fill="F2F2F2" w:val="clear"/>
          </w:tcPr>
          <w:p>
            <w:r>
              <w:rPr>
                <w:rFonts w:ascii="Arial" w:hAnsi="Arial"/>
                <w:color w:val="3C3C3C"/>
                <w:sz w:val="20"/>
              </w:rPr>
            </w:r>
            <w:r>
              <w:rPr>
                <w:rFonts w:ascii="Arial" w:hAnsi="Arial"/>
                <w:color w:val="3C3C3C"/>
                <w:sz w:val="20"/>
              </w:rPr>
              <w:t>May diverge from index total returns</w:t>
            </w:r>
          </w:p>
        </w:tc>
        <w:tc>
          <w:tcPr>
            <w:tcW w:type="dxa" w:w="3120"/>
            <w:shd w:fill="F2F2F2" w:val="clear"/>
          </w:tcPr>
          <w:p>
            <w:r>
              <w:rPr>
                <w:rFonts w:ascii="Arial" w:hAnsi="Arial"/>
                <w:color w:val="3C3C3C"/>
                <w:sz w:val="20"/>
              </w:rPr>
            </w:r>
            <w:r>
              <w:rPr>
                <w:rFonts w:ascii="Arial" w:hAnsi="Arial"/>
                <w:color w:val="3C3C3C"/>
                <w:sz w:val="20"/>
              </w:rPr>
              <w:t>Validate against total return indices</w:t>
            </w:r>
          </w:p>
        </w:tc>
      </w:tr>
      <w:tr>
        <w:tc>
          <w:tcPr>
            <w:tcW w:type="dxa" w:w="3120"/>
          </w:tcPr>
          <w:p>
            <w:r>
              <w:rPr>
                <w:rFonts w:ascii="Arial" w:hAnsi="Arial"/>
                <w:color w:val="3C3C3C"/>
                <w:sz w:val="20"/>
              </w:rPr>
            </w:r>
            <w:r>
              <w:rPr>
                <w:rFonts w:ascii="Arial" w:hAnsi="Arial"/>
                <w:color w:val="3C3C3C"/>
                <w:sz w:val="20"/>
              </w:rPr>
              <w:t>No credit events modeled</w:t>
            </w:r>
          </w:p>
        </w:tc>
        <w:tc>
          <w:tcPr>
            <w:tcW w:type="dxa" w:w="3120"/>
          </w:tcPr>
          <w:p>
            <w:r>
              <w:rPr>
                <w:rFonts w:ascii="Arial" w:hAnsi="Arial"/>
                <w:color w:val="3C3C3C"/>
                <w:sz w:val="20"/>
              </w:rPr>
            </w:r>
            <w:r>
              <w:rPr>
                <w:rFonts w:ascii="Arial" w:hAnsi="Arial"/>
                <w:color w:val="3C3C3C"/>
                <w:sz w:val="20"/>
              </w:rPr>
              <w:t>Ignores defaults and downgrades</w:t>
            </w:r>
          </w:p>
        </w:tc>
        <w:tc>
          <w:tcPr>
            <w:tcW w:type="dxa" w:w="3120"/>
          </w:tcPr>
          <w:p>
            <w:r>
              <w:rPr>
                <w:rFonts w:ascii="Arial" w:hAnsi="Arial"/>
                <w:color w:val="3C3C3C"/>
                <w:sz w:val="20"/>
              </w:rPr>
            </w:r>
            <w:r>
              <w:rPr>
                <w:rFonts w:ascii="Arial" w:hAnsi="Arial"/>
                <w:color w:val="3C3C3C"/>
                <w:sz w:val="20"/>
              </w:rPr>
              <w:t>Add fallen angel transition model</w:t>
            </w:r>
          </w:p>
        </w:tc>
      </w:tr>
      <w:tr>
        <w:tc>
          <w:tcPr>
            <w:tcW w:type="dxa" w:w="3120"/>
            <w:shd w:fill="F2F2F2" w:val="clear"/>
          </w:tcPr>
          <w:p>
            <w:r>
              <w:rPr>
                <w:rFonts w:ascii="Arial" w:hAnsi="Arial"/>
                <w:color w:val="3C3C3C"/>
                <w:sz w:val="20"/>
              </w:rPr>
            </w:r>
            <w:r>
              <w:rPr>
                <w:rFonts w:ascii="Arial" w:hAnsi="Arial"/>
                <w:color w:val="3C3C3C"/>
                <w:sz w:val="20"/>
              </w:rPr>
              <w:t>Static factor weights</w:t>
            </w:r>
          </w:p>
        </w:tc>
        <w:tc>
          <w:tcPr>
            <w:tcW w:type="dxa" w:w="3120"/>
            <w:shd w:fill="F2F2F2" w:val="clear"/>
          </w:tcPr>
          <w:p>
            <w:r>
              <w:rPr>
                <w:rFonts w:ascii="Arial" w:hAnsi="Arial"/>
                <w:color w:val="3C3C3C"/>
                <w:sz w:val="20"/>
              </w:rPr>
            </w:r>
            <w:r>
              <w:rPr>
                <w:rFonts w:ascii="Arial" w:hAnsi="Arial"/>
                <w:color w:val="3C3C3C"/>
                <w:sz w:val="20"/>
              </w:rPr>
              <w:t>50/25/25 may not be optimal in all regimes</w:t>
            </w:r>
          </w:p>
        </w:tc>
        <w:tc>
          <w:tcPr>
            <w:tcW w:type="dxa" w:w="3120"/>
            <w:shd w:fill="F2F2F2" w:val="clear"/>
          </w:tcPr>
          <w:p>
            <w:r>
              <w:rPr>
                <w:rFonts w:ascii="Arial" w:hAnsi="Arial"/>
                <w:color w:val="3C3C3C"/>
                <w:sz w:val="20"/>
              </w:rPr>
            </w:r>
            <w:r>
              <w:rPr>
                <w:rFonts w:ascii="Arial" w:hAnsi="Arial"/>
                <w:color w:val="3C3C3C"/>
                <w:sz w:val="20"/>
              </w:rPr>
              <w:t>Regime-dependent factor weight calibration</w:t>
            </w:r>
          </w:p>
        </w:tc>
      </w:tr>
      <w:tr>
        <w:tc>
          <w:tcPr>
            <w:tcW w:type="dxa" w:w="3120"/>
          </w:tcPr>
          <w:p>
            <w:r>
              <w:rPr>
                <w:rFonts w:ascii="Arial" w:hAnsi="Arial"/>
                <w:color w:val="3C3C3C"/>
                <w:sz w:val="20"/>
              </w:rPr>
            </w:r>
            <w:r>
              <w:rPr>
                <w:rFonts w:ascii="Arial" w:hAnsi="Arial"/>
                <w:color w:val="3C3C3C"/>
                <w:sz w:val="20"/>
              </w:rPr>
              <w:t>HMM refitted annually</w:t>
            </w:r>
          </w:p>
        </w:tc>
        <w:tc>
          <w:tcPr>
            <w:tcW w:type="dxa" w:w="3120"/>
          </w:tcPr>
          <w:p>
            <w:r>
              <w:rPr>
                <w:rFonts w:ascii="Arial" w:hAnsi="Arial"/>
                <w:color w:val="3C3C3C"/>
                <w:sz w:val="20"/>
              </w:rPr>
            </w:r>
            <w:r>
              <w:rPr>
                <w:rFonts w:ascii="Arial" w:hAnsi="Arial"/>
                <w:color w:val="3C3C3C"/>
                <w:sz w:val="20"/>
              </w:rPr>
              <w:t>Regime labels may shift between refits</w:t>
            </w:r>
          </w:p>
        </w:tc>
        <w:tc>
          <w:tcPr>
            <w:tcW w:type="dxa" w:w="3120"/>
          </w:tcPr>
          <w:p>
            <w:r>
              <w:rPr>
                <w:rFonts w:ascii="Arial" w:hAnsi="Arial"/>
                <w:color w:val="3C3C3C"/>
                <w:sz w:val="20"/>
              </w:rPr>
            </w:r>
            <w:r>
              <w:rPr>
                <w:rFonts w:ascii="Arial" w:hAnsi="Arial"/>
                <w:color w:val="3C3C3C"/>
                <w:sz w:val="20"/>
              </w:rPr>
              <w:t>More frequent refitting (quarterly) in production</w:t>
            </w:r>
          </w:p>
        </w:tc>
      </w:tr>
      <w:tr>
        <w:tc>
          <w:tcPr>
            <w:tcW w:type="dxa" w:w="3120"/>
            <w:shd w:fill="F2F2F2" w:val="clear"/>
          </w:tcPr>
          <w:p>
            <w:r>
              <w:rPr>
                <w:rFonts w:ascii="Arial" w:hAnsi="Arial"/>
                <w:color w:val="3C3C3C"/>
                <w:sz w:val="20"/>
              </w:rPr>
            </w:r>
            <w:r>
              <w:rPr>
                <w:rFonts w:ascii="Arial" w:hAnsi="Arial"/>
                <w:color w:val="3C3C3C"/>
                <w:sz w:val="20"/>
              </w:rPr>
              <w:t>Cross-sectional factors with n=4</w:t>
            </w:r>
          </w:p>
        </w:tc>
        <w:tc>
          <w:tcPr>
            <w:tcW w:type="dxa" w:w="3120"/>
            <w:shd w:fill="F2F2F2" w:val="clear"/>
          </w:tcPr>
          <w:p>
            <w:r>
              <w:rPr>
                <w:rFonts w:ascii="Arial" w:hAnsi="Arial"/>
                <w:color w:val="3C3C3C"/>
                <w:sz w:val="20"/>
              </w:rPr>
            </w:r>
            <w:r>
              <w:rPr>
                <w:rFonts w:ascii="Arial" w:hAnsi="Arial"/>
                <w:color w:val="3C3C3C"/>
                <w:sz w:val="20"/>
              </w:rPr>
              <w:t>Noisy z-scores</w:t>
            </w:r>
          </w:p>
        </w:tc>
        <w:tc>
          <w:tcPr>
            <w:tcW w:type="dxa" w:w="3120"/>
            <w:shd w:fill="F2F2F2" w:val="clear"/>
          </w:tcPr>
          <w:p>
            <w:r>
              <w:rPr>
                <w:rFonts w:ascii="Arial" w:hAnsi="Arial"/>
                <w:color w:val="3C3C3C"/>
                <w:sz w:val="20"/>
              </w:rPr>
            </w:r>
            <w:r>
              <w:rPr>
                <w:rFonts w:ascii="Arial" w:hAnsi="Arial"/>
                <w:color w:val="3C3C3C"/>
                <w:sz w:val="20"/>
              </w:rPr>
              <w:t>Modest tilt strength (10%) as regularization</w:t>
            </w:r>
          </w:p>
        </w:tc>
      </w:tr>
    </w:tbl>
    <w:p>
      <w:pPr>
        <w:spacing w:before="80" w:after="80"/>
      </w:pPr>
    </w:p>
    <w:p>
      <w:pPr>
        <w:pStyle w:val="Heading2"/>
      </w:pPr>
      <w:r>
        <w:rPr>
          <w:rFonts w:ascii="Arial" w:hAnsi="Arial"/>
          <w:color w:val="3D5A80"/>
        </w:rPr>
        <w:t>Next Steps</w:t>
      </w:r>
    </w:p>
    <w:p>
      <w:pPr>
        <w:pStyle w:val="ListNumber"/>
        <w:spacing w:line="276" w:lineRule="auto"/>
      </w:pPr>
      <w:r>
        <w:rPr>
          <w:rFonts w:ascii="Arial" w:hAnsi="Arial"/>
          <w:b/>
          <w:i w:val="0"/>
          <w:color w:val="3C3C3C"/>
          <w:sz w:val="22"/>
        </w:rPr>
        <w:t>Bond-level data integration.</w:t>
      </w:r>
      <w:r>
        <w:rPr>
          <w:rFonts w:ascii="Arial" w:hAnsi="Arial"/>
          <w:b w:val="0"/>
          <w:i w:val="0"/>
          <w:color w:val="3C3C3C"/>
          <w:sz w:val="22"/>
        </w:rPr>
        <w:t xml:space="preserve"> TRACE or Bloomberg for issuer-level allocation would increase the cross-section from 4 to 1,000+ securities and unlock genuine security selection alpha.</w:t>
      </w:r>
    </w:p>
    <w:p>
      <w:pPr>
        <w:pStyle w:val="ListNumber"/>
        <w:spacing w:line="276" w:lineRule="auto"/>
      </w:pPr>
      <w:r>
        <w:rPr>
          <w:rFonts w:ascii="Arial" w:hAnsi="Arial"/>
          <w:b/>
          <w:i w:val="0"/>
          <w:color w:val="3C3C3C"/>
          <w:sz w:val="22"/>
        </w:rPr>
        <w:t>Sector rotation overlay.</w:t>
      </w:r>
      <w:r>
        <w:rPr>
          <w:rFonts w:ascii="Arial" w:hAnsi="Arial"/>
          <w:b w:val="0"/>
          <w:i w:val="0"/>
          <w:color w:val="3C3C3C"/>
          <w:sz w:val="22"/>
        </w:rPr>
        <w:t xml:space="preserve"> Extend from 4 rating buckets to 8--10 sectors × 4 ratings, capturing intra-rating spread dispersion.</w:t>
      </w:r>
    </w:p>
    <w:p>
      <w:pPr>
        <w:pStyle w:val="ListNumber"/>
        <w:spacing w:line="276" w:lineRule="auto"/>
      </w:pPr>
      <w:r>
        <w:rPr>
          <w:rFonts w:ascii="Arial" w:hAnsi="Arial"/>
          <w:b/>
          <w:i w:val="0"/>
          <w:color w:val="3C3C3C"/>
          <w:sz w:val="22"/>
        </w:rPr>
        <w:t>Regime-dependent factor weights.</w:t>
      </w:r>
      <w:r>
        <w:rPr>
          <w:rFonts w:ascii="Arial" w:hAnsi="Arial"/>
          <w:b w:val="0"/>
          <w:i w:val="0"/>
          <w:color w:val="3C3C3C"/>
          <w:sz w:val="22"/>
        </w:rPr>
        <w:t xml:space="preserve"> DTS may matter more in stress; momentum may matter more in compression. Allow the factor mix to vary with the HMM state.</w:t>
      </w:r>
    </w:p>
    <w:p>
      <w:pPr>
        <w:pStyle w:val="ListNumber"/>
        <w:spacing w:line="276" w:lineRule="auto"/>
      </w:pPr>
      <w:r>
        <w:rPr>
          <w:rFonts w:ascii="Arial" w:hAnsi="Arial"/>
          <w:b/>
          <w:i w:val="0"/>
          <w:color w:val="3C3C3C"/>
          <w:sz w:val="22"/>
        </w:rPr>
        <w:t>Live signal monitoring.</w:t>
      </w:r>
      <w:r>
        <w:rPr>
          <w:rFonts w:ascii="Arial" w:hAnsi="Arial"/>
          <w:b w:val="0"/>
          <w:i w:val="0"/>
          <w:color w:val="3C3C3C"/>
          <w:sz w:val="22"/>
        </w:rPr>
        <w:t xml:space="preserve"> Real-time FRED API integration for daily signal updates, feeding a production dashboard.</w:t>
      </w:r>
    </w:p>
    <w:p>
      <w:pPr>
        <w:pStyle w:val="ListNumber"/>
        <w:spacing w:line="276" w:lineRule="auto"/>
      </w:pPr>
      <w:r>
        <w:rPr>
          <w:rFonts w:ascii="Arial" w:hAnsi="Arial"/>
          <w:b/>
          <w:i w:val="0"/>
          <w:color w:val="3C3C3C"/>
          <w:sz w:val="22"/>
        </w:rPr>
        <w:t>Quarterly HMM refitting.</w:t>
      </w:r>
      <w:r>
        <w:rPr>
          <w:rFonts w:ascii="Arial" w:hAnsi="Arial"/>
          <w:b w:val="0"/>
          <w:i w:val="0"/>
          <w:color w:val="3C3C3C"/>
          <w:sz w:val="22"/>
        </w:rPr>
        <w:t xml:space="preserve"> Increase refitting frequency from annual to quarterly for faster regime adaptation.</w:t>
      </w:r>
    </w:p>
    <w:p>
      <w:pPr>
        <w:pStyle w:val="ListNumber"/>
        <w:spacing w:line="276" w:lineRule="auto"/>
      </w:pPr>
      <w:r>
        <w:rPr>
          <w:rFonts w:ascii="Arial" w:hAnsi="Arial"/>
          <w:b/>
          <w:i w:val="0"/>
          <w:color w:val="3C3C3C"/>
          <w:sz w:val="22"/>
        </w:rPr>
        <w:t>Out-of-sample validation.</w:t>
      </w:r>
      <w:r>
        <w:rPr>
          <w:rFonts w:ascii="Arial" w:hAnsi="Arial"/>
          <w:b w:val="0"/>
          <w:i w:val="0"/>
          <w:color w:val="3C3C3C"/>
          <w:sz w:val="22"/>
        </w:rPr>
        <w:t xml:space="preserve"> Hold out the most recent 3--5 years from model calibration and evaluate true out-of-sample performance.</w:t>
      </w:r>
    </w:p>
    <w:p>
      <w:pPr>
        <w:spacing w:before="360" w:after="0"/>
      </w:pPr>
    </w:p>
    <w:p>
      <w:pPr>
        <w:pStyle w:val="Heading1"/>
      </w:pPr>
      <w:r>
        <w:rPr>
          <w:rFonts w:ascii="Arial" w:hAnsi="Arial"/>
          <w:color w:val="1B2A4A"/>
        </w:rPr>
        <w:t>11. References</w:t>
      </w:r>
    </w:p>
    <w:p>
      <w:pPr>
        <w:spacing w:line="276" w:lineRule="auto" w:after="120"/>
        <w:jc w:val="both"/>
      </w:pPr>
      <w:r>
        <w:rPr>
          <w:rFonts w:ascii="Arial" w:hAnsi="Arial"/>
          <w:b w:val="0"/>
          <w:i w:val="0"/>
          <w:color w:val="3C3C3C"/>
          <w:sz w:val="22"/>
        </w:rPr>
        <w:t xml:space="preserve">Ang, A. &amp; Bekaert, G. (2002). International asset allocation with regime shifts. </w:t>
      </w:r>
      <w:r>
        <w:rPr>
          <w:rFonts w:ascii="Arial" w:hAnsi="Arial"/>
          <w:b w:val="0"/>
          <w:i/>
          <w:color w:val="3C3C3C"/>
          <w:sz w:val="22"/>
        </w:rPr>
        <w:t>Review of Financial Studies</w:t>
      </w:r>
      <w:r>
        <w:rPr>
          <w:rFonts w:ascii="Arial" w:hAnsi="Arial"/>
          <w:b w:val="0"/>
          <w:i w:val="0"/>
          <w:color w:val="3C3C3C"/>
          <w:sz w:val="22"/>
        </w:rPr>
        <w:t>, 15(4), 1137--1187.</w:t>
      </w:r>
    </w:p>
    <w:p>
      <w:pPr>
        <w:spacing w:line="276" w:lineRule="auto" w:after="120"/>
        <w:jc w:val="both"/>
      </w:pPr>
      <w:r>
        <w:rPr>
          <w:rFonts w:ascii="Arial" w:hAnsi="Arial"/>
          <w:b w:val="0"/>
          <w:i w:val="0"/>
          <w:color w:val="3C3C3C"/>
          <w:sz w:val="22"/>
        </w:rPr>
        <w:t xml:space="preserve">Bai, J., Bali, T.G. &amp; Wen, Q. (2019). Common risk factors in the cross-section of corporate bond returns. </w:t>
      </w:r>
      <w:r>
        <w:rPr>
          <w:rFonts w:ascii="Arial" w:hAnsi="Arial"/>
          <w:b w:val="0"/>
          <w:i/>
          <w:color w:val="3C3C3C"/>
          <w:sz w:val="22"/>
        </w:rPr>
        <w:t>Journal of Financial Economics</w:t>
      </w:r>
      <w:r>
        <w:rPr>
          <w:rFonts w:ascii="Arial" w:hAnsi="Arial"/>
          <w:b w:val="0"/>
          <w:i w:val="0"/>
          <w:color w:val="3C3C3C"/>
          <w:sz w:val="22"/>
        </w:rPr>
        <w:t>, 131(3), 619--642.</w:t>
      </w:r>
    </w:p>
    <w:p>
      <w:pPr>
        <w:spacing w:line="276" w:lineRule="auto" w:after="120"/>
        <w:jc w:val="both"/>
      </w:pPr>
      <w:r>
        <w:rPr>
          <w:rFonts w:ascii="Arial" w:hAnsi="Arial"/>
          <w:b w:val="0"/>
          <w:i w:val="0"/>
          <w:color w:val="3C3C3C"/>
          <w:sz w:val="22"/>
        </w:rPr>
        <w:t xml:space="preserve">Ben Dor, A., Dynkin, L., Hyman, J., Houweling, P., van Leeuwen, E. &amp; Penninga, O. (2012). </w:t>
      </w:r>
      <w:r>
        <w:rPr>
          <w:rFonts w:ascii="Arial" w:hAnsi="Arial"/>
          <w:b w:val="0"/>
          <w:i/>
          <w:color w:val="3C3C3C"/>
          <w:sz w:val="22"/>
        </w:rPr>
        <w:t>Systematic Credit Investing</w:t>
      </w:r>
      <w:r>
        <w:rPr>
          <w:rFonts w:ascii="Arial" w:hAnsi="Arial"/>
          <w:b w:val="0"/>
          <w:i w:val="0"/>
          <w:color w:val="3C3C3C"/>
          <w:sz w:val="22"/>
        </w:rPr>
        <w:t>. Wiley.</w:t>
      </w:r>
    </w:p>
    <w:p>
      <w:pPr>
        <w:spacing w:line="276" w:lineRule="auto" w:after="120"/>
        <w:jc w:val="both"/>
      </w:pPr>
      <w:r>
        <w:rPr>
          <w:rFonts w:ascii="Arial" w:hAnsi="Arial"/>
          <w:b w:val="0"/>
          <w:i w:val="0"/>
          <w:color w:val="3C3C3C"/>
          <w:sz w:val="22"/>
        </w:rPr>
        <w:t xml:space="preserve">Black, F. &amp; Litterman, R. (1992). Global portfolio optimization. </w:t>
      </w:r>
      <w:r>
        <w:rPr>
          <w:rFonts w:ascii="Arial" w:hAnsi="Arial"/>
          <w:b w:val="0"/>
          <w:i/>
          <w:color w:val="3C3C3C"/>
          <w:sz w:val="22"/>
        </w:rPr>
        <w:t>Financial Analysts Journal</w:t>
      </w:r>
      <w:r>
        <w:rPr>
          <w:rFonts w:ascii="Arial" w:hAnsi="Arial"/>
          <w:b w:val="0"/>
          <w:i w:val="0"/>
          <w:color w:val="3C3C3C"/>
          <w:sz w:val="22"/>
        </w:rPr>
        <w:t>, 48(5), 28--43.</w:t>
      </w:r>
    </w:p>
    <w:p>
      <w:pPr>
        <w:spacing w:line="276" w:lineRule="auto" w:after="120"/>
        <w:jc w:val="both"/>
      </w:pPr>
      <w:r>
        <w:rPr>
          <w:rFonts w:ascii="Arial" w:hAnsi="Arial"/>
          <w:b w:val="0"/>
          <w:i w:val="0"/>
          <w:color w:val="3C3C3C"/>
          <w:sz w:val="22"/>
        </w:rPr>
        <w:t xml:space="preserve">Fabozzi, F.J., Focardi, S.M. &amp; Jonas, C. (2010). Investment management after the global financial crisis. </w:t>
      </w:r>
      <w:r>
        <w:rPr>
          <w:rFonts w:ascii="Arial" w:hAnsi="Arial"/>
          <w:b w:val="0"/>
          <w:i/>
          <w:color w:val="3C3C3C"/>
          <w:sz w:val="22"/>
        </w:rPr>
        <w:t>Research Foundation of CFA Institute</w:t>
      </w:r>
      <w:r>
        <w:rPr>
          <w:rFonts w:ascii="Arial" w:hAnsi="Arial"/>
          <w:b w:val="0"/>
          <w:i w:val="0"/>
          <w:color w:val="3C3C3C"/>
          <w:sz w:val="22"/>
        </w:rPr>
        <w:t>.</w:t>
      </w:r>
    </w:p>
    <w:p>
      <w:pPr>
        <w:spacing w:line="276" w:lineRule="auto" w:after="120"/>
        <w:jc w:val="both"/>
      </w:pPr>
      <w:r>
        <w:rPr>
          <w:rFonts w:ascii="Arial" w:hAnsi="Arial"/>
          <w:b w:val="0"/>
          <w:i w:val="0"/>
          <w:color w:val="3C3C3C"/>
          <w:sz w:val="22"/>
        </w:rPr>
        <w:t xml:space="preserve">Guidolin, M. &amp; Timmermann, A. (2007). Asset allocation under multivariate regime switching. </w:t>
      </w:r>
      <w:r>
        <w:rPr>
          <w:rFonts w:ascii="Arial" w:hAnsi="Arial"/>
          <w:b w:val="0"/>
          <w:i/>
          <w:color w:val="3C3C3C"/>
          <w:sz w:val="22"/>
        </w:rPr>
        <w:t>Journal of Economic Dynamics and Control</w:t>
      </w:r>
      <w:r>
        <w:rPr>
          <w:rFonts w:ascii="Arial" w:hAnsi="Arial"/>
          <w:b w:val="0"/>
          <w:i w:val="0"/>
          <w:color w:val="3C3C3C"/>
          <w:sz w:val="22"/>
        </w:rPr>
        <w:t>, 31(11), 3503--3544.</w:t>
      </w:r>
    </w:p>
    <w:p>
      <w:pPr>
        <w:spacing w:line="276" w:lineRule="auto" w:after="120"/>
        <w:jc w:val="both"/>
      </w:pPr>
      <w:r>
        <w:rPr>
          <w:rFonts w:ascii="Arial" w:hAnsi="Arial"/>
          <w:b w:val="0"/>
          <w:i w:val="0"/>
          <w:color w:val="3C3C3C"/>
          <w:sz w:val="22"/>
        </w:rPr>
        <w:t xml:space="preserve">Hamilton, J.D. (1989). A new approach to the economic analysis of nonstationary time series and the business cycle. </w:t>
      </w:r>
      <w:r>
        <w:rPr>
          <w:rFonts w:ascii="Arial" w:hAnsi="Arial"/>
          <w:b w:val="0"/>
          <w:i/>
          <w:color w:val="3C3C3C"/>
          <w:sz w:val="22"/>
        </w:rPr>
        <w:t>Econometrica</w:t>
      </w:r>
      <w:r>
        <w:rPr>
          <w:rFonts w:ascii="Arial" w:hAnsi="Arial"/>
          <w:b w:val="0"/>
          <w:i w:val="0"/>
          <w:color w:val="3C3C3C"/>
          <w:sz w:val="22"/>
        </w:rPr>
        <w:t>, 57(2), 357--384.</w:t>
      </w:r>
    </w:p>
    <w:p>
      <w:pPr>
        <w:spacing w:line="276" w:lineRule="auto" w:after="120"/>
        <w:jc w:val="both"/>
      </w:pPr>
      <w:r>
        <w:rPr>
          <w:rFonts w:ascii="Arial" w:hAnsi="Arial"/>
          <w:b w:val="0"/>
          <w:i w:val="0"/>
          <w:color w:val="3C3C3C"/>
          <w:sz w:val="22"/>
        </w:rPr>
        <w:t xml:space="preserve">Houweling, P. &amp; van Zundert, J. (2017). Factor investing in the corporate bond market. </w:t>
      </w:r>
      <w:r>
        <w:rPr>
          <w:rFonts w:ascii="Arial" w:hAnsi="Arial"/>
          <w:b w:val="0"/>
          <w:i/>
          <w:color w:val="3C3C3C"/>
          <w:sz w:val="22"/>
        </w:rPr>
        <w:t>Financial Analysts Journal</w:t>
      </w:r>
      <w:r>
        <w:rPr>
          <w:rFonts w:ascii="Arial" w:hAnsi="Arial"/>
          <w:b w:val="0"/>
          <w:i w:val="0"/>
          <w:color w:val="3C3C3C"/>
          <w:sz w:val="22"/>
        </w:rPr>
        <w:t>, 73(2), 100--115.</w:t>
      </w:r>
    </w:p>
    <w:p>
      <w:pPr>
        <w:spacing w:line="276" w:lineRule="auto" w:after="120"/>
        <w:jc w:val="both"/>
      </w:pPr>
      <w:r>
        <w:rPr>
          <w:rFonts w:ascii="Arial" w:hAnsi="Arial"/>
          <w:b w:val="0"/>
          <w:i w:val="0"/>
          <w:color w:val="3C3C3C"/>
          <w:sz w:val="22"/>
        </w:rPr>
        <w:t xml:space="preserve">Israel, R., Palhares, D. &amp; Richardson, S. (2018). Common factors in corporate bond returns. </w:t>
      </w:r>
      <w:r>
        <w:rPr>
          <w:rFonts w:ascii="Arial" w:hAnsi="Arial"/>
          <w:b w:val="0"/>
          <w:i/>
          <w:color w:val="3C3C3C"/>
          <w:sz w:val="22"/>
        </w:rPr>
        <w:t>Journal of Investment Management</w:t>
      </w:r>
      <w:r>
        <w:rPr>
          <w:rFonts w:ascii="Arial" w:hAnsi="Arial"/>
          <w:b w:val="0"/>
          <w:i w:val="0"/>
          <w:color w:val="3C3C3C"/>
          <w:sz w:val="22"/>
        </w:rPr>
        <w:t>, 16(2), 17--46.</w:t>
      </w:r>
    </w:p>
    <w:p>
      <w:pPr>
        <w:spacing w:line="276" w:lineRule="auto" w:after="120"/>
        <w:jc w:val="both"/>
      </w:pPr>
      <w:r>
        <w:rPr>
          <w:rFonts w:ascii="Arial" w:hAnsi="Arial"/>
          <w:b w:val="0"/>
          <w:i w:val="0"/>
          <w:color w:val="3C3C3C"/>
          <w:sz w:val="22"/>
        </w:rPr>
        <w:t xml:space="preserve">Meucci, A. (2010). The Black-Litterman approach: Original model and extensions. </w:t>
      </w:r>
      <w:r>
        <w:rPr>
          <w:rFonts w:ascii="Arial" w:hAnsi="Arial"/>
          <w:b w:val="0"/>
          <w:i/>
          <w:color w:val="3C3C3C"/>
          <w:sz w:val="22"/>
        </w:rPr>
        <w:t>The Encyclopedia of Quantitative Finance</w:t>
      </w:r>
      <w:r>
        <w:rPr>
          <w:rFonts w:ascii="Arial" w:hAnsi="Arial"/>
          <w:b w:val="0"/>
          <w:i w:val="0"/>
          <w:color w:val="3C3C3C"/>
          <w:sz w:val="22"/>
        </w:rPr>
        <w:t>, Wiley.</w:t>
      </w:r>
    </w:p>
    <w:p>
      <w:pPr>
        <w:spacing w:line="276" w:lineRule="auto" w:after="120"/>
        <w:jc w:val="both"/>
      </w:pPr>
      <w:r>
        <w:rPr>
          <w:rFonts w:ascii="Arial" w:hAnsi="Arial"/>
          <w:b w:val="0"/>
          <w:i w:val="0"/>
          <w:color w:val="3C3C3C"/>
          <w:sz w:val="22"/>
        </w:rPr>
        <w:t xml:space="preserve">Taylor, S.J. &amp; Letham, B. (2018). Forecasting at scale. </w:t>
      </w:r>
      <w:r>
        <w:rPr>
          <w:rFonts w:ascii="Arial" w:hAnsi="Arial"/>
          <w:b w:val="0"/>
          <w:i/>
          <w:color w:val="3C3C3C"/>
          <w:sz w:val="22"/>
        </w:rPr>
        <w:t>The American Statistician</w:t>
      </w:r>
      <w:r>
        <w:rPr>
          <w:rFonts w:ascii="Arial" w:hAnsi="Arial"/>
          <w:b w:val="0"/>
          <w:i w:val="0"/>
          <w:color w:val="3C3C3C"/>
          <w:sz w:val="22"/>
        </w:rPr>
        <w:t>, 72(1), 37--45.</w:t>
      </w:r>
    </w:p>
    <w:p>
      <w:pPr>
        <w:spacing w:line="276" w:lineRule="auto" w:after="120"/>
        <w:jc w:val="both"/>
      </w:pPr>
      <w:r>
        <w:rPr>
          <w:rFonts w:ascii="Arial" w:hAnsi="Arial"/>
          <w:b w:val="0"/>
          <w:i w:val="0"/>
          <w:color w:val="3C3C3C"/>
          <w:sz w:val="22"/>
        </w:rPr>
        <w:t>Correspondence: Michael Tabet, CFA</w:t>
      </w:r>
    </w:p>
    <w:sectPr w:rsidR="00FC693F" w:rsidRPr="0006063C" w:rsidSect="00034616">
      <w:footerReference w:type="default" r:id="rI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C3C3C"/>
        <w:sz w:val="18"/>
      </w:rPr>
      <w:fldChar w:fldCharType="begin"/>
    </w:r>
    <w:r>
      <w:rPr>
        <w:color w:val="3C3C3C"/>
        <w:sz w:val="18"/>
      </w:rPr>
      <w:instrText xml:space="preserve"> PAGE </w:instrText>
    </w:r>
    <w:r>
      <w:rPr>
        <w:color w:val="3C3C3C"/>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color w:val="3C3C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D5A8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