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5E"/>
          <w:sz w:val="56"/>
          <w:szCs w:val="56"/>
        </w:rPr>
        <w:t xml:space="preserve">Regime Model</w:t>
      </w:r>
    </w:p>
    <w:p>
      <w:pPr>
        <w:spacing w:after="120"/>
        <w:jc w:val="center"/>
      </w:pPr>
      <w:r>
        <w:rPr>
          <w:rFonts w:ascii="Arial" w:cs="Arial" w:eastAsia="Arial" w:hAnsi="Arial"/>
          <w:color w:val="2E75B6"/>
          <w:sz w:val="32"/>
          <w:szCs w:val="32"/>
        </w:rPr>
        <w:t xml:space="preserve">Labeling Distribution &amp; Model Performance Report</w:t>
      </w:r>
    </w:p>
    <w:p>
      <w:pPr>
        <w:pBdr>
          <w:bottom w:val="single" w:color="2E75B6" w:sz="6" w:space="8"/>
        </w:pBdr>
        <w:spacing w:after="600"/>
        <w:jc w:val="center"/>
      </w:pPr>
      <w:r>
        <w:rPr>
          <w:rFonts w:ascii="Arial" w:cs="Arial" w:eastAsia="Arial" w:hAnsi="Arial"/>
          <w:color w:val="666666"/>
          <w:sz w:val="24"/>
          <w:szCs w:val="24"/>
        </w:rPr>
        <w:t xml:space="preserve">ES (E-mini S&amp;P 500) — 5-Minute Bars</w:t>
      </w:r>
    </w:p>
    <w:p>
      <w:pPr>
        <w:spacing w:after="100"/>
        <w:jc w:val="center"/>
      </w:pPr>
      <w:r>
        <w:rPr>
          <w:rFonts w:ascii="Arial" w:cs="Arial" w:eastAsia="Arial" w:hAnsi="Arial"/>
          <w:color w:val="444444"/>
          <w:sz w:val="24"/>
          <w:szCs w:val="24"/>
        </w:rPr>
        <w:t xml:space="preserve">Data Period: January 2020 – December 2022</w:t>
      </w:r>
    </w:p>
    <w:p>
      <w:pPr>
        <w:spacing w:after="100"/>
        <w:jc w:val="center"/>
      </w:pPr>
      <w:r>
        <w:rPr>
          <w:rFonts w:ascii="Arial" w:cs="Arial" w:eastAsia="Arial" w:hAnsi="Arial"/>
          <w:color w:val="444444"/>
          <w:sz w:val="24"/>
          <w:szCs w:val="24"/>
        </w:rPr>
        <w:t xml:space="preserve">Total Observations: 212,389 bars</w:t>
      </w:r>
    </w:p>
    <w:p>
      <w:pPr>
        <w:jc w:val="center"/>
      </w:pPr>
      <w:r>
        <w:rPr>
          <w:rFonts w:ascii="Arial" w:cs="Arial" w:eastAsia="Arial" w:hAnsi="Arial"/>
          <w:color w:val="888888"/>
          <w:sz w:val="22"/>
          <w:szCs w:val="22"/>
        </w:rPr>
        <w:t xml:space="preserve">Generated: April 2026</w:t>
      </w:r>
    </w:p>
    <w:p>
      <w:r>
        <w:br w:type="page"/>
      </w:r>
    </w:p>
    <w:p>
      <w:pPr>
        <w:pStyle w:val="Heading1"/>
        <w:spacing w:after="200" w:before="360"/>
      </w:pPr>
      <w:r>
        <w:rPr>
          <w:rFonts w:ascii="Arial" w:cs="Arial" w:eastAsia="Arial" w:hAnsi="Arial"/>
          <w:b/>
          <w:bCs/>
          <w:color w:val="1A3C5E"/>
          <w:sz w:val="32"/>
          <w:szCs w:val="32"/>
        </w:rPr>
        <w:t xml:space="preserve">1. Data Overview</w:t>
      </w:r>
    </w:p>
    <w:p>
      <w:pPr>
        <w:spacing w:after="120"/>
      </w:pPr>
      <w:r>
        <w:rPr>
          <w:rFonts w:ascii="Arial" w:cs="Arial" w:eastAsia="Arial" w:hAnsi="Arial"/>
          <w:sz w:val="22"/>
          <w:szCs w:val="22"/>
        </w:rPr>
        <w:t xml:space="preserve">The regime model is trained on ES (E-mini S&amp;P 500 futures) 5-minute bars spanning three calendar years. The dataset is split chronologically for model training and evaluation.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Instrument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ES (E-mini S&amp;P 500)</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Bar Frequency</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5-minute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Start Date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2020-01-01 23:00</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End Date</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2022-12-30 21:55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Total Bars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212,389</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Train Split (60%)</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127,374 bars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Validation Split (20%)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42,458 bars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Test Split (20%)</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42,458 bars</w:t>
            </w:r>
          </w:p>
        </w:tc>
      </w:tr>
    </w:tbl>
    <w:p>
      <w:r>
        <w:br w:type="page"/>
      </w:r>
    </w:p>
    <w:p>
      <w:pPr>
        <w:pStyle w:val="Heading1"/>
        <w:spacing w:after="200" w:before="360"/>
      </w:pPr>
      <w:r>
        <w:rPr>
          <w:rFonts w:ascii="Arial" w:cs="Arial" w:eastAsia="Arial" w:hAnsi="Arial"/>
          <w:b/>
          <w:bCs/>
          <w:color w:val="1A3C5E"/>
          <w:sz w:val="32"/>
          <w:szCs w:val="32"/>
        </w:rPr>
        <w:t xml:space="preserve">2. Labeling Methodology</w:t>
      </w:r>
    </w:p>
    <w:p>
      <w:pPr>
        <w:spacing w:after="120"/>
      </w:pPr>
      <w:r>
        <w:rPr>
          <w:rFonts w:ascii="Arial" w:cs="Arial" w:eastAsia="Arial" w:hAnsi="Arial"/>
          <w:sz w:val="22"/>
          <w:szCs w:val="22"/>
        </w:rPr>
        <w:t xml:space="preserve">Labels are generated offline using a forward-looking window of H = 40 bars. For each bar t, future price behavior over [t, t+H] is summarized by two metrics: directional efficiency and normalized displacement.</w:t>
      </w:r>
    </w:p>
    <w:p>
      <w:pPr>
        <w:pStyle w:val="Heading2"/>
        <w:spacing w:after="160" w:before="240"/>
      </w:pPr>
      <w:r>
        <w:rPr>
          <w:rFonts w:ascii="Arial" w:cs="Arial" w:eastAsia="Arial" w:hAnsi="Arial"/>
          <w:b/>
          <w:bCs/>
          <w:color w:val="2E75B6"/>
          <w:sz w:val="26"/>
          <w:szCs w:val="26"/>
        </w:rPr>
        <w:t xml:space="preserve">2.1 Labeling Metrics</w:t>
      </w:r>
    </w:p>
    <w:p>
      <w:pPr>
        <w:spacing w:after="120"/>
      </w:pPr>
      <w:r>
        <w:rPr>
          <w:rFonts w:ascii="Arial" w:cs="Arial" w:eastAsia="Arial" w:hAnsi="Arial"/>
          <w:sz w:val="22"/>
          <w:szCs w:val="22"/>
        </w:rPr>
        <w:t xml:space="preserve">Directional Efficiency measures how directly price moves from start to end relative to the total path traversed:</w:t>
      </w:r>
    </w:p>
    <w:p>
      <w:pPr>
        <w:spacing w:after="80" w:before="80"/>
        <w:ind w:left="720"/>
      </w:pPr>
      <w:r>
        <w:rPr>
          <w:rFonts w:ascii="Consolas" w:cs="Consolas" w:eastAsia="Consolas" w:hAnsi="Consolas"/>
          <w:color w:val="333333"/>
          <w:sz w:val="20"/>
          <w:szCs w:val="20"/>
        </w:rPr>
        <w:t xml:space="preserve">Eff(t,H) = |P(t+H) - P(t)| / (PathLen(t,H) + ε)</w:t>
      </w:r>
    </w:p>
    <w:p>
      <w:pPr>
        <w:spacing w:after="80"/>
      </w:pPr>
    </w:p>
    <w:p>
      <w:pPr>
        <w:spacing w:after="120"/>
      </w:pPr>
      <w:r>
        <w:rPr>
          <w:rFonts w:ascii="Arial" w:cs="Arial" w:eastAsia="Arial" w:hAnsi="Arial"/>
          <w:sz w:val="22"/>
          <w:szCs w:val="22"/>
        </w:rPr>
        <w:t xml:space="preserve">where PathLen is the sum of absolute bar-to-bar price changes:</w:t>
      </w:r>
    </w:p>
    <w:p>
      <w:pPr>
        <w:spacing w:after="80" w:before="80"/>
        <w:ind w:left="720"/>
      </w:pPr>
      <w:r>
        <w:rPr>
          <w:rFonts w:ascii="Consolas" w:cs="Consolas" w:eastAsia="Consolas" w:hAnsi="Consolas"/>
          <w:color w:val="333333"/>
          <w:sz w:val="20"/>
          <w:szCs w:val="20"/>
        </w:rPr>
        <w:t xml:space="preserve">PathLen(t,H) = Σ(i=1..H) |P(t+i) - P(t+i-1)|</w:t>
      </w:r>
    </w:p>
    <w:p>
      <w:pPr>
        <w:spacing w:after="80"/>
      </w:pPr>
    </w:p>
    <w:p>
      <w:pPr>
        <w:spacing w:after="120"/>
      </w:pPr>
      <w:r>
        <w:rPr>
          <w:rFonts w:ascii="Arial" w:cs="Arial" w:eastAsia="Arial" w:hAnsi="Arial"/>
          <w:sz w:val="22"/>
          <w:szCs w:val="22"/>
        </w:rPr>
        <w:t xml:space="preserve">Normalized Displacement measures the return scaled by current volatility (ATR):</w:t>
      </w:r>
    </w:p>
    <w:p>
      <w:pPr>
        <w:spacing w:after="80" w:before="80"/>
        <w:ind w:left="720"/>
      </w:pPr>
      <w:r>
        <w:rPr>
          <w:rFonts w:ascii="Consolas" w:cs="Consolas" w:eastAsia="Consolas" w:hAnsi="Consolas"/>
          <w:color w:val="333333"/>
          <w:sz w:val="20"/>
          <w:szCs w:val="20"/>
        </w:rPr>
        <w:t xml:space="preserve">R_ATR(t,H) = (P(t+H) - P(t)) / (ATR(t) + ε)</w:t>
      </w:r>
    </w:p>
    <w:p>
      <w:pPr>
        <w:spacing w:after="80"/>
      </w:pPr>
    </w:p>
    <w:p>
      <w:pPr>
        <w:spacing w:after="120"/>
      </w:pPr>
      <w:r>
        <w:rPr>
          <w:rFonts w:ascii="Arial" w:cs="Arial" w:eastAsia="Arial" w:hAnsi="Arial"/>
          <w:sz w:val="22"/>
          <w:szCs w:val="22"/>
        </w:rPr>
        <w:t xml:space="preserve">ATR is computed using Wilder smoothing with a period of 14 bars. The epsilon term (ε = 1e-8) prevents division by zero.</w:t>
      </w:r>
    </w:p>
    <w:p>
      <w:pPr>
        <w:pStyle w:val="Heading2"/>
        <w:spacing w:after="160" w:before="240"/>
      </w:pPr>
      <w:r>
        <w:rPr>
          <w:rFonts w:ascii="Arial" w:cs="Arial" w:eastAsia="Arial" w:hAnsi="Arial"/>
          <w:b/>
          <w:bCs/>
          <w:color w:val="2E75B6"/>
          <w:sz w:val="26"/>
          <w:szCs w:val="26"/>
        </w:rPr>
        <w:t xml:space="preserve">2.2 Classification Rules</w:t>
      </w:r>
    </w:p>
    <w:p>
      <w:pPr>
        <w:spacing w:after="120"/>
      </w:pPr>
      <w:r>
        <w:rPr>
          <w:rFonts w:ascii="Arial" w:cs="Arial" w:eastAsia="Arial" w:hAnsi="Arial"/>
          <w:sz w:val="22"/>
          <w:szCs w:val="22"/>
        </w:rPr>
        <w:t xml:space="preserve">Each bar is assigned one of three regime labels based on the following thresholds: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Regime</w:t>
            </w:r>
          </w:p>
        </w:tc>
        <w:tc>
          <w:tcPr>
            <w:tcW w:type="dxa" w:w="3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Efficiency Condition</w:t>
            </w:r>
          </w:p>
        </w:tc>
        <w:tc>
          <w:tcPr>
            <w:tcW w:type="dxa" w:w="3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Displacement Condition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TREND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Eff(t,H) ≥ 0.15</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|R_ATR(t,H)| ≥ 5.0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CHOP</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Eff(t,H) ≤ 0.10</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|R_ATR(t,H)| ≤ 3.0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TRANSITION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Otherwise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Otherwise (residual)</w:t>
            </w:r>
          </w:p>
        </w:tc>
      </w:tr>
    </w:tbl>
    <w:p>
      <w:pPr>
        <w:spacing w:after="80"/>
      </w:pPr>
    </w:p>
    <w:p>
      <w:pPr>
        <w:spacing w:after="120"/>
      </w:pPr>
      <w:r>
        <w:rPr>
          <w:rFonts w:ascii="Arial" w:cs="Arial" w:eastAsia="Arial" w:hAnsi="Arial"/>
          <w:sz w:val="22"/>
          <w:szCs w:val="22"/>
        </w:rPr>
        <w:t xml:space="preserve">A bar is labeled TREND only if both the efficiency and displacement conditions are satisfied simultaneously. Similarly for CHOP. TRANSITION is the default residual class for bars that do not meet either set of criteria.</w:t>
      </w:r>
    </w:p>
    <w:p>
      <w:pPr>
        <w:pStyle w:val="Heading2"/>
        <w:spacing w:after="160" w:before="240"/>
      </w:pPr>
      <w:r>
        <w:rPr>
          <w:rFonts w:ascii="Arial" w:cs="Arial" w:eastAsia="Arial" w:hAnsi="Arial"/>
          <w:b/>
          <w:bCs/>
          <w:color w:val="2E75B6"/>
          <w:sz w:val="26"/>
          <w:szCs w:val="26"/>
        </w:rPr>
        <w:t xml:space="preserve">2.3 Label Smoothing</w:t>
      </w:r>
    </w:p>
    <w:p>
      <w:pPr>
        <w:spacing w:after="120"/>
      </w:pPr>
      <w:r>
        <w:rPr>
          <w:rFonts w:ascii="Arial" w:cs="Arial" w:eastAsia="Arial" w:hAnsi="Arial"/>
          <w:sz w:val="22"/>
          <w:szCs w:val="22"/>
        </w:rPr>
        <w:t xml:space="preserve">Raw labels are post-processed in two stages to reduce noise and ensure temporal coherence:</w:t>
      </w:r>
    </w:p>
    <w:p>
      <w:pPr>
        <w:spacing w:after="80"/>
      </w:pPr>
    </w:p>
    <w:p>
      <w:pPr>
        <w:spacing w:after="120"/>
      </w:pPr>
      <w:r>
        <w:rPr>
          <w:rFonts w:ascii="Arial" w:cs="Arial" w:eastAsia="Arial" w:hAnsi="Arial"/>
          <w:sz w:val="22"/>
          <w:szCs w:val="22"/>
        </w:rPr>
        <w:t xml:space="preserve">Stage 1 — Majority-Vote Smoothing: For each bar, the label is replaced by the most frequent label within a centered window of 24 bars. Ties default to TRANSITION.</w:t>
      </w:r>
    </w:p>
    <w:p>
      <w:pPr>
        <w:spacing w:after="80"/>
      </w:pPr>
    </w:p>
    <w:p>
      <w:pPr>
        <w:spacing w:after="120"/>
      </w:pPr>
      <w:r>
        <w:rPr>
          <w:rFonts w:ascii="Arial" w:cs="Arial" w:eastAsia="Arial" w:hAnsi="Arial"/>
          <w:sz w:val="22"/>
          <w:szCs w:val="22"/>
        </w:rPr>
        <w:t xml:space="preserve">Stage 2 — Minimum Segment Enforcement: Consecutive runs of identical labels shorter than 12 bars are merged with neighboring segments. If both neighbors share the same label, the short segment adopts that label; otherwise it becomes TRANSITION. This iterates up to 50 passes until convergence.</w:t>
      </w:r>
    </w:p>
    <w:p>
      <w:pPr>
        <w:pStyle w:val="Heading2"/>
        <w:spacing w:after="160" w:before="240"/>
      </w:pPr>
      <w:r>
        <w:rPr>
          <w:rFonts w:ascii="Arial" w:cs="Arial" w:eastAsia="Arial" w:hAnsi="Arial"/>
          <w:b/>
          <w:bCs/>
          <w:color w:val="2E75B6"/>
          <w:sz w:val="26"/>
          <w:szCs w:val="26"/>
        </w:rPr>
        <w:t xml:space="preserve">2.4 Labeling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2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Symbol</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Forward horizon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40 bars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ATR period</w:t>
            </w:r>
          </w:p>
        </w:tc>
        <w:tc>
          <w:tcPr>
            <w:tcW w:type="dxa" w:w="2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Efficiency trend threshold</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eff_trend_min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0.15</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Displacement trend threshold</w:t>
            </w:r>
          </w:p>
        </w:tc>
        <w:tc>
          <w:tcPr>
            <w:tcW w:type="dxa" w:w="2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abs_return_atr_trend_min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Efficiency chop threshold</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eff_chop_max</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0.10</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Displacement chop threshold</w:t>
            </w:r>
          </w:p>
        </w:tc>
        <w:tc>
          <w:tcPr>
            <w:tcW w:type="dxa" w:w="2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abs_return_atr_chop_max</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Smoothing window</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24 bars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Minimum segment length</w:t>
            </w:r>
          </w:p>
        </w:tc>
        <w:tc>
          <w:tcPr>
            <w:tcW w:type="dxa" w:w="2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 bars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Epsilon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ε</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1e-8</w:t>
            </w:r>
          </w:p>
        </w:tc>
      </w:tr>
    </w:tbl>
    <w:p>
      <w:r>
        <w:br w:type="page"/>
      </w:r>
    </w:p>
    <w:p>
      <w:pPr>
        <w:pStyle w:val="Heading1"/>
        <w:spacing w:after="200" w:before="360"/>
      </w:pPr>
      <w:r>
        <w:rPr>
          <w:rFonts w:ascii="Arial" w:cs="Arial" w:eastAsia="Arial" w:hAnsi="Arial"/>
          <w:b/>
          <w:bCs/>
          <w:color w:val="1A3C5E"/>
          <w:sz w:val="32"/>
          <w:szCs w:val="32"/>
        </w:rPr>
        <w:t xml:space="preserve">3. Label Distribution</w:t>
      </w:r>
    </w:p>
    <w:p>
      <w:pPr>
        <w:spacing w:after="120"/>
      </w:pPr>
      <w:r>
        <w:rPr>
          <w:rFonts w:ascii="Arial" w:cs="Arial" w:eastAsia="Arial" w:hAnsi="Arial"/>
          <w:sz w:val="22"/>
          <w:szCs w:val="22"/>
        </w:rPr>
        <w:t xml:space="preserve">The table below shows the regime label distribution for each calendar year and the overall dataset. TRANSITION is the dominant class across all years, while CHOP is rare under the current thresholds.</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000"/>
        <w:gridCol w:w="1360"/>
        <w:gridCol w:w="1000"/>
        <w:gridCol w:w="900"/>
        <w:gridCol w:w="800"/>
      </w:tblGrid>
      <w:tr>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Year</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Bars</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TREND</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TREND %</w:t>
            </w:r>
          </w:p>
        </w:tc>
        <w:tc>
          <w:tcPr>
            <w:tcW w:type="dxa" w:w="1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TRANSITION</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TRANS %</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CHOP</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CHOP %</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70,656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20,166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28.5%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50,321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0.2%</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2021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70,833</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19,411</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27.4%</w:t>
            </w:r>
          </w:p>
        </w:tc>
        <w:tc>
          <w:tcPr>
            <w:tcW w:type="dxa" w:w="1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51,081</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72.1%</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341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0.5%</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2022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70,900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20,996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29.6%</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49,339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69.6%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565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0.8%</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Total</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212,389</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60,573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28.5%</w:t>
            </w:r>
          </w:p>
        </w:tc>
        <w:tc>
          <w:tcPr>
            <w:tcW w:type="dxa" w:w="1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150,741</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71.0%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1,075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0.5%</w:t>
            </w:r>
          </w:p>
        </w:tc>
      </w:tr>
    </w:tbl>
    <w:p>
      <w:pPr>
        <w:spacing w:after="80"/>
      </w:pPr>
    </w:p>
    <w:p>
      <w:pPr>
        <w:pStyle w:val="Heading2"/>
        <w:spacing w:after="160" w:before="240"/>
      </w:pPr>
      <w:r>
        <w:rPr>
          <w:rFonts w:ascii="Arial" w:cs="Arial" w:eastAsia="Arial" w:hAnsi="Arial"/>
          <w:b/>
          <w:bCs/>
          <w:color w:val="2E75B6"/>
          <w:sz w:val="26"/>
          <w:szCs w:val="26"/>
        </w:rPr>
        <w:t xml:space="preserve">3.1 Distribution Observations</w:t>
      </w:r>
    </w:p>
    <w:p>
      <w:pPr>
        <w:spacing w:after="120"/>
      </w:pPr>
      <w:r>
        <w:rPr>
          <w:rFonts w:ascii="Arial" w:cs="Arial" w:eastAsia="Arial" w:hAnsi="Arial"/>
          <w:sz w:val="22"/>
          <w:szCs w:val="22"/>
        </w:rPr>
        <w:t xml:space="preserve">TREND is stable across years at approximately 28–30%, indicating consistent directional regimes throughout the three-year period covering the COVID crash (2020), the post-COVID rally (2021), and the 2022 bear market.</w:t>
      </w:r>
    </w:p>
    <w:p>
      <w:pPr>
        <w:spacing w:after="80"/>
      </w:pPr>
    </w:p>
    <w:p>
      <w:pPr>
        <w:spacing w:after="120"/>
      </w:pPr>
      <w:r>
        <w:rPr>
          <w:rFonts w:ascii="Arial" w:cs="Arial" w:eastAsia="Arial" w:hAnsi="Arial"/>
          <w:sz w:val="22"/>
          <w:szCs w:val="22"/>
        </w:rPr>
        <w:t xml:space="preserve">TRANSITION dominates at 70–72% of all bars. This is expected: the TRANSITION class acts as the residual category for bars that do not clearly satisfy either TREND or CHOP criteria. Most market time is spent in ambiguous conditions.</w:t>
      </w:r>
    </w:p>
    <w:p>
      <w:pPr>
        <w:spacing w:after="80"/>
      </w:pPr>
    </w:p>
    <w:p>
      <w:pPr>
        <w:spacing w:after="120"/>
      </w:pPr>
      <w:r>
        <w:rPr>
          <w:rFonts w:ascii="Arial" w:cs="Arial" w:eastAsia="Arial" w:hAnsi="Arial"/>
          <w:sz w:val="22"/>
          <w:szCs w:val="22"/>
        </w:rPr>
        <w:t xml:space="preserve">CHOP is extremely rare at 0.2–0.8%. The current thresholds (Eff ≤ 0.10 and |R_ATR| ≤ 3.0) are quite restrictive. This severe class imbalance directly impacts model performance on the CHOP class.</w:t>
      </w:r>
    </w:p>
    <w:p>
      <w:r>
        <w:br w:type="page"/>
      </w:r>
    </w:p>
    <w:p>
      <w:pPr>
        <w:pStyle w:val="Heading1"/>
        <w:spacing w:after="200" w:before="360"/>
      </w:pPr>
      <w:r>
        <w:rPr>
          <w:rFonts w:ascii="Arial" w:cs="Arial" w:eastAsia="Arial" w:hAnsi="Arial"/>
          <w:b/>
          <w:bCs/>
          <w:color w:val="1A3C5E"/>
          <w:sz w:val="32"/>
          <w:szCs w:val="32"/>
        </w:rPr>
        <w:t xml:space="preserve">4. Model Performance</w:t>
      </w:r>
    </w:p>
    <w:p>
      <w:pPr>
        <w:spacing w:after="120"/>
      </w:pPr>
      <w:r>
        <w:rPr>
          <w:rFonts w:ascii="Arial" w:cs="Arial" w:eastAsia="Arial" w:hAnsi="Arial"/>
          <w:sz w:val="22"/>
          <w:szCs w:val="22"/>
        </w:rPr>
        <w:t xml:space="preserve">Two emission models were evaluated: a multinomial logistic regression (softmax with linear boundary) and a single hidden-layer MLP with ReLU activation. Both were trained on the expanded 2020–2022 dataset with chronological splits.</w:t>
      </w:r>
    </w:p>
    <w:p>
      <w:pPr>
        <w:pStyle w:val="Heading2"/>
        <w:spacing w:after="160" w:before="240"/>
      </w:pPr>
      <w:r>
        <w:rPr>
          <w:rFonts w:ascii="Arial" w:cs="Arial" w:eastAsia="Arial" w:hAnsi="Arial"/>
          <w:b/>
          <w:bCs/>
          <w:color w:val="2E75B6"/>
          <w:sz w:val="26"/>
          <w:szCs w:val="26"/>
        </w:rPr>
        <w:t xml:space="preserve">4.1 Model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Logistic Regression</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MLP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Architecture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Linear → Softmax(3)</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Linear(6→64) → ReLU → Linear(64→3) → Softmax</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Solver</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L-BFGS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Adam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Best C / alpha</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 = 3.0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α = 0.0001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Hidden width (m)</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Learning rate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Max iterations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2000</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Regularization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L2</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L2</w:t>
            </w:r>
          </w:p>
        </w:tc>
      </w:tr>
    </w:tbl>
    <w:p>
      <w:pPr>
        <w:spacing w:after="80"/>
      </w:pPr>
    </w:p>
    <w:p>
      <w:pPr>
        <w:pStyle w:val="Heading2"/>
        <w:spacing w:after="160" w:before="240"/>
      </w:pPr>
      <w:r>
        <w:rPr>
          <w:rFonts w:ascii="Arial" w:cs="Arial" w:eastAsia="Arial" w:hAnsi="Arial"/>
          <w:b/>
          <w:bCs/>
          <w:color w:val="2E75B6"/>
          <w:sz w:val="26"/>
          <w:szCs w:val="26"/>
        </w:rPr>
        <w:t xml:space="preserve">4.2 Overall Metrics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Logistic (Baseline)</w:t>
            </w:r>
          </w:p>
        </w:tc>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MLP (Best)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Accuracy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0.5323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0.7937</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Balanced Accuracy</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0.4535</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0.4695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Macro F1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0.3937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0.4819</w:t>
            </w:r>
          </w:p>
        </w:tc>
      </w:tr>
    </w:tbl>
    <w:p>
      <w:pPr>
        <w:spacing w:after="80"/>
      </w:pPr>
    </w:p>
    <w:p>
      <w:pPr>
        <w:spacing w:after="120"/>
      </w:pPr>
      <w:r>
        <w:rPr>
          <w:rFonts w:ascii="Arial" w:cs="Arial" w:eastAsia="Arial" w:hAnsi="Arial"/>
          <w:sz w:val="22"/>
          <w:szCs w:val="22"/>
        </w:rPr>
        <w:t xml:space="preserve">The MLP achieves substantially higher accuracy (79.4% vs 53.2%) and macro F1 (0.48 vs 0.39). However, balanced accuracy remains moderate for both models due to the near-zero CHOP recall.</w:t>
      </w:r>
    </w:p>
    <w:p>
      <w:pPr>
        <w:pStyle w:val="Heading2"/>
        <w:spacing w:after="160" w:before="240"/>
      </w:pPr>
      <w:r>
        <w:rPr>
          <w:rFonts w:ascii="Arial" w:cs="Arial" w:eastAsia="Arial" w:hAnsi="Arial"/>
          <w:b/>
          <w:bCs/>
          <w:color w:val="2E75B6"/>
          <w:sz w:val="26"/>
          <w:szCs w:val="26"/>
        </w:rPr>
        <w:t xml:space="preserve">4.3 Per-Class Performance (MLP — Best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Precision</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Recall</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F1-Score</w:t>
            </w:r>
          </w:p>
        </w:tc>
        <w:tc>
          <w:tcPr>
            <w:tcW w:type="dxa" w:w="2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Support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TREND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0.7698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0.4667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0.5811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12,476</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TRANSITION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0.7989</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0.9417</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0.8644</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29,601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CHOP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381</w:t>
            </w:r>
          </w:p>
        </w:tc>
      </w:tr>
    </w:tbl>
    <w:p>
      <w:pPr>
        <w:spacing w:after="80"/>
      </w:pPr>
    </w:p>
    <w:p>
      <w:pPr>
        <w:pStyle w:val="Heading2"/>
        <w:spacing w:after="160" w:before="240"/>
      </w:pPr>
      <w:r>
        <w:rPr>
          <w:rFonts w:ascii="Arial" w:cs="Arial" w:eastAsia="Arial" w:hAnsi="Arial"/>
          <w:b/>
          <w:bCs/>
          <w:color w:val="2E75B6"/>
          <w:sz w:val="26"/>
          <w:szCs w:val="26"/>
        </w:rPr>
        <w:t xml:space="preserve">4.4 Per-Class Performance (Logistic —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Precision</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Recall</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F1-Score</w:t>
            </w:r>
          </w:p>
        </w:tc>
        <w:tc>
          <w:tcPr>
            <w:tcW w:type="dxa" w:w="2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Support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TREND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532</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TRANSITION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0.4682</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0.8249</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0.5973</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954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CHOP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0.6412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0.5357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0.5837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1,191</w:t>
            </w:r>
          </w:p>
        </w:tc>
      </w:tr>
    </w:tbl>
    <w:p>
      <w:pPr>
        <w:spacing w:after="80"/>
      </w:pPr>
    </w:p>
    <w:p>
      <w:pPr>
        <w:pStyle w:val="Heading2"/>
        <w:spacing w:after="160" w:before="240"/>
      </w:pPr>
      <w:r>
        <w:rPr>
          <w:rFonts w:ascii="Arial" w:cs="Arial" w:eastAsia="Arial" w:hAnsi="Arial"/>
          <w:b/>
          <w:bCs/>
          <w:color w:val="2E75B6"/>
          <w:sz w:val="26"/>
          <w:szCs w:val="26"/>
        </w:rPr>
        <w:t xml:space="preserve">4.5 Confusion Matrix (MLP)</w:t>
      </w:r>
    </w:p>
    <w:p>
      <w:pPr>
        <w:spacing w:after="120"/>
      </w:pPr>
      <w:r>
        <w:rPr>
          <w:rFonts w:ascii="Arial" w:cs="Arial" w:eastAsia="Arial" w:hAnsi="Arial"/>
          <w:sz w:val="22"/>
          <w:szCs w:val="22"/>
        </w:rPr>
        <w:t xml:space="preserve">Rows represent actual labels; columns represent predicted labels.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Actual \ Predicted</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TREND</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TRANSITION</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CHOP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5,823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6,653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TRANSITION</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1,725</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27,876</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CHOP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2"/>
        <w:spacing w:after="160" w:before="240"/>
      </w:pPr>
      <w:r>
        <w:rPr>
          <w:rFonts w:ascii="Arial" w:cs="Arial" w:eastAsia="Arial" w:hAnsi="Arial"/>
          <w:b/>
          <w:bCs/>
          <w:color w:val="2E75B6"/>
          <w:sz w:val="26"/>
          <w:szCs w:val="26"/>
        </w:rPr>
        <w:t xml:space="preserve">4.6 Confusion Matrix (Logistic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Actual \ Predicted</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TREND</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TRANSITION</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CHOP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342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190</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TRANSITION</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787</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CHOP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552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638</w:t>
            </w:r>
          </w:p>
        </w:tc>
      </w:tr>
    </w:tbl>
    <w:p>
      <w:r>
        <w:br w:type="page"/>
      </w:r>
    </w:p>
    <w:p>
      <w:pPr>
        <w:pStyle w:val="Heading1"/>
        <w:spacing w:after="200" w:before="360"/>
      </w:pPr>
      <w:r>
        <w:rPr>
          <w:rFonts w:ascii="Arial" w:cs="Arial" w:eastAsia="Arial" w:hAnsi="Arial"/>
          <w:b/>
          <w:bCs/>
          <w:color w:val="1A3C5E"/>
          <w:sz w:val="32"/>
          <w:szCs w:val="32"/>
        </w:rPr>
        <w:t xml:space="preserve">5. Key Findings</w:t>
      </w:r>
    </w:p>
    <w:p>
      <w:pPr>
        <w:pStyle w:val="Heading2"/>
        <w:spacing w:after="160" w:before="240"/>
      </w:pPr>
      <w:r>
        <w:rPr>
          <w:rFonts w:ascii="Arial" w:cs="Arial" w:eastAsia="Arial" w:hAnsi="Arial"/>
          <w:b/>
          <w:bCs/>
          <w:color w:val="2E75B6"/>
          <w:sz w:val="26"/>
          <w:szCs w:val="26"/>
        </w:rPr>
        <w:t xml:space="preserve">5.1 TREND Detection</w:t>
      </w:r>
    </w:p>
    <w:p>
      <w:pPr>
        <w:spacing w:after="120"/>
      </w:pPr>
      <w:r>
        <w:rPr>
          <w:rFonts w:ascii="Arial" w:cs="Arial" w:eastAsia="Arial" w:hAnsi="Arial"/>
          <w:sz w:val="22"/>
          <w:szCs w:val="22"/>
        </w:rPr>
        <w:t xml:space="preserve">The MLP successfully identifies TREND regimes with 77% precision and 47% recall (F1 = 0.58). In contrast, the baseline logistic model fails entirely on TREND (0% recall). The nonlinear decision boundary provided by the hidden layer is critical for separating TREND from TRANSITION.</w:t>
      </w:r>
    </w:p>
    <w:p>
      <w:pPr>
        <w:pStyle w:val="Heading2"/>
        <w:spacing w:after="160" w:before="240"/>
      </w:pPr>
      <w:r>
        <w:rPr>
          <w:rFonts w:ascii="Arial" w:cs="Arial" w:eastAsia="Arial" w:hAnsi="Arial"/>
          <w:b/>
          <w:bCs/>
          <w:color w:val="2E75B6"/>
          <w:sz w:val="26"/>
          <w:szCs w:val="26"/>
        </w:rPr>
        <w:t xml:space="preserve">5.2 TRANSITION Dominance</w:t>
      </w:r>
    </w:p>
    <w:p>
      <w:pPr>
        <w:spacing w:after="120"/>
      </w:pPr>
      <w:r>
        <w:rPr>
          <w:rFonts w:ascii="Arial" w:cs="Arial" w:eastAsia="Arial" w:hAnsi="Arial"/>
          <w:sz w:val="22"/>
          <w:szCs w:val="22"/>
        </w:rPr>
        <w:t xml:space="preserve">TRANSITION is consistently the best-predicted class (F1 = 0.86 for MLP). With 71% of all labels being TRANSITION, the model achieves high recall (94%) on this class. This is expected behavior: the majority class benefits from both label frequency and the fact that TRANSITION is the residual category.</w:t>
      </w:r>
    </w:p>
    <w:p>
      <w:pPr>
        <w:pStyle w:val="Heading2"/>
        <w:spacing w:after="160" w:before="240"/>
      </w:pPr>
      <w:r>
        <w:rPr>
          <w:rFonts w:ascii="Arial" w:cs="Arial" w:eastAsia="Arial" w:hAnsi="Arial"/>
          <w:b/>
          <w:bCs/>
          <w:color w:val="2E75B6"/>
          <w:sz w:val="26"/>
          <w:szCs w:val="26"/>
        </w:rPr>
        <w:t xml:space="preserve">5.3 CHOP Class Failure</w:t>
      </w:r>
    </w:p>
    <w:p>
      <w:pPr>
        <w:spacing w:after="120"/>
      </w:pPr>
      <w:r>
        <w:rPr>
          <w:rFonts w:ascii="Arial" w:cs="Arial" w:eastAsia="Arial" w:hAnsi="Arial"/>
          <w:sz w:val="22"/>
          <w:szCs w:val="22"/>
        </w:rPr>
        <w:t xml:space="preserve">Both models fail to detect CHOP (0% recall for MLP, 54% for baseline on a much smaller test set). The root cause is severe class imbalance: CHOP comprises only 0.5% of all labels (1,075 out of 212,389 bars). Potential remedies include relaxing the CHOP labeling thresholds (e.g., increasing eff_chop_max or abs_return_atr_chop_max), applying class-weighted training with stronger CHOP weighting, or oversampling CHOP examples during training.</w:t>
      </w:r>
    </w:p>
    <w:p>
      <w:pPr>
        <w:pStyle w:val="Heading2"/>
        <w:spacing w:after="160" w:before="240"/>
      </w:pPr>
      <w:r>
        <w:rPr>
          <w:rFonts w:ascii="Arial" w:cs="Arial" w:eastAsia="Arial" w:hAnsi="Arial"/>
          <w:b/>
          <w:bCs/>
          <w:color w:val="2E75B6"/>
          <w:sz w:val="26"/>
          <w:szCs w:val="26"/>
        </w:rPr>
        <w:t xml:space="preserve">5.4 Year-over-Year Stability</w:t>
      </w:r>
    </w:p>
    <w:p>
      <w:pPr>
        <w:spacing w:after="120"/>
      </w:pPr>
      <w:r>
        <w:rPr>
          <w:rFonts w:ascii="Arial" w:cs="Arial" w:eastAsia="Arial" w:hAnsi="Arial"/>
          <w:sz w:val="22"/>
          <w:szCs w:val="22"/>
        </w:rPr>
        <w:t xml:space="preserve">Label distributions are remarkably stable across 2020–2022, with TREND at 27–30% and TRANSITION at 70–72% each year. This consistency suggests the labeling criteria are robust to varying market conditions including the COVID volatility event, the post-pandemic rally, and the 2022 rate-hike bear market.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888888"/>
        <w:sz w:val="18"/>
        <w:szCs w:val="18"/>
      </w:rPr>
      <w:t xml:space="preserve">Regime Model — Labeling &amp; Performance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2026-04-05T18:59:27.779Z</dcterms:created>
  <dcterms:modified xsi:type="dcterms:W3CDTF">2026-04-05T18:59:27.779Z</dcterms:modified>
</cp:coreProperties>
</file>

<file path=docProps/custom.xml><?xml version="1.0" encoding="utf-8"?>
<Properties xmlns="http://schemas.openxmlformats.org/officeDocument/2006/custom-properties" xmlns:vt="http://schemas.openxmlformats.org/officeDocument/2006/docPropsVTypes"/>
</file>