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Table 1</w:t>
      </w:r>
    </w:p>
    <w:p>
      <w:pPr>
        <w:pStyle w:val="Normal"/>
      </w:pPr>
      <w:r>
        <w:t xml:space="preserve">Judge Model Scale-Use and Item Distribution Profile</w:t>
      </w:r>
    </w:p>
    <w:tbl xmlns:a="http://schemas.openxmlformats.org/drawingml/2006/main" xmlns:pic="http://schemas.openxmlformats.org/drawingml/2006/picture">
      <w:tblPr>
        <w:tblLayout w:type="fixed"/>
        <w:jc w:val="center"/>
        <w:tblLook w:firstRow="1" w:lastRow="0" w:firstColumn="0" w:lastColumn="0" w:noHBand="0" w:noVBand="1"/>
      </w:tblPr>
      <w:tblGrid>
        <w:gridCol w:w="2304"/>
        <w:gridCol w:w="1152"/>
        <w:gridCol w:w="893"/>
        <w:gridCol w:w="720"/>
        <w:gridCol w:w="720"/>
        <w:gridCol w:w="1152"/>
        <w:gridCol w:w="1224"/>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Judge 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Scored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 N/A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true"/>
                <w:b w:val="true"/>
                <w:u w:val="none"/>
                <w:strike w:val="false"/>
                <w:sz w:val="20"/>
                <w:szCs w:val="20"/>
                <w:color w:val="000000"/>
              </w:rPr>
            </w:pPr>
            <w:r>
              <w:rPr>
                <w:rFonts w:ascii="Arial" w:hAnsi="Arial" w:eastAsia="Arial" w:cs="Arial"/>
                <w:i w:val="true"/>
                <w:b w:val="true"/>
                <w:u w:val="none"/>
                <w:strike w:val="false"/>
                <w:sz w:val="20"/>
                <w:szCs w:val="20"/>
                <w:color w:val="000000"/>
              </w:rPr>
              <w:t xml:space="preserv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true"/>
                <w:b w:val="true"/>
                <w:u w:val="none"/>
                <w:strike w:val="false"/>
                <w:sz w:val="20"/>
                <w:szCs w:val="20"/>
                <w:color w:val="000000"/>
              </w:rPr>
            </w:pPr>
            <w:r>
              <w:rPr>
                <w:rFonts w:ascii="Arial" w:hAnsi="Arial" w:eastAsia="Arial" w:cs="Arial"/>
                <w:i w:val="true"/>
                <w:b w:val="true"/>
                <w:u w:val="none"/>
                <w:strike w:val="false"/>
                <w:sz w:val="20"/>
                <w:szCs w:val="20"/>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Skew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Kurtosis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GPT-5.4 mini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172,895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Claude Haiku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158,487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-1.09</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Gemma 4 26B</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153,569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-1.12</w:t>
            </w:r>
          </w:p>
        </w:tc>
      </w:tr>
      <w:tr>
        <w:trPr>
          <w:trHeight w:val="360" w:hRule="auto"/>
        </w:trPr>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8"/>
                <w:szCs w:val="18"/>
                <w:color w:val="000000"/>
              </w:rPr>
            </w:pPr>
            <w:r>
              <w:rPr>
                <w:rFonts w:ascii="Helvetica" w:hAnsi="Helvetica" w:eastAsia="Helvetica" w:cs="Helvetica"/>
                <w:i w:val="true"/>
                <w:b w:val="false"/>
                <w:u w:val="none"/>
                <w:strike w:val="false"/>
                <w:sz w:val="18"/>
                <w:szCs w:val="18"/>
                <w:color w:val="000000"/>
              </w:rPr>
              <w:t xml:space="preserve">Note. Each judge produced 177,000 metric-level judgments (177 metrics x 1,000 conversations). Scored = judgments returning a 1-5 rating; % N/A = judgments the judge declined to rate because the rubric's situation did not arise. All remaining columns are computed on scored responses only, which are never mean-imputed here, so they describe each judge's actual use of the 1-5 scale. M = response-weighted grand mean, indexing judge severity/leniency; SD = standard deviation of the pooled response distribution; Skew and Kurtosis likewise describe that pooled distribution, so all four shape statistics share one unit of analysis. Kurtosis is excess kurtosis, for which 0 is the normal distribution: positive values indicate heavier tails and negative values lighter tails. All three judges spread responses broadly across the scale rather than concentrating them. The shape of each judge's response distribution is shown in Figure 2.</w:t>
            </w:r>
          </w:p>
        </w:tc>
      </w:tr>
    </w:tbl>
    <w:p>
      <w:pPr>
        <w:sectPr>
          <w:pgMar w:header="708" w:bottom="1417" w:top="1417" w:right="1417" w:left="1417" w:footer="708" w:gutter="0"/>
          <w:pgSz w:h="16838" w:w="11906" w:orient="portrait"/>
          <w:type w:val="continuous"/>
          <w:cols/>
        </w:sectPr>
      </w:pP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2026-09-14T13:31:56Z</dcterms:modified>
  <cp:category/>
</cp:coreProperties>
</file>