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Table 1</w:t>
      </w:r>
    </w:p>
    <w:p>
      <w:pPr>
        <w:pStyle w:val="Normal"/>
      </w:pPr>
      <w:r>
        <w:t xml:space="preserve">Metric Applicability Tiers by Judge Model</w:t>
      </w:r>
    </w:p>
    <w:tbl xmlns:a="http://schemas.openxmlformats.org/drawingml/2006/main" xmlns:pic="http://schemas.openxmlformats.org/drawingml/2006/picture">
      <w:tblPr>
        <w:tblLayout w:type="fixed"/>
        <w:jc w:val="center"/>
        <w:tblLook w:firstRow="1" w:lastRow="0" w:firstColumn="0" w:lastColumn="0" w:noHBand="0" w:noVBand="1"/>
      </w:tblPr>
      <w:tblGrid>
        <w:gridCol w:w="2448"/>
        <w:gridCol w:w="1655"/>
        <w:gridCol w:w="866"/>
        <w:gridCol w:w="1510"/>
        <w:gridCol w:w="1233"/>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Judge 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Total 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Conditional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Dropped</w:t>
            </w:r>
          </w:p>
        </w:tc>
      </w:tr>
      <w:tr>
        <w:trPr>
          <w:trHeight w:val="54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GPT-5.4 mini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5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Claude Haiku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r>
      <w:tr>
        <w:trPr>
          <w:trHeight w:val="55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Gemma 4 26B</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Note. The six MinorBench safety metrics were excluded a priori from all judges (harm-topic gates that are non-applicable in nearly all tutoring conversations), leaving 177 candidate metrics, which were then tiered by applicability. Core = non-applicable in ≤ 10% of conversations; analyzed together in a single factor analysis across all conversations, with sporadic gaps mean-imputed. Conditional = non-applicable in &gt; 10% but scored in ≥ 200 conversations; held out of that joint matrix because the missingness is structural (MNAR) and instead related to the core factors by extension analysis, each metric fitted over only the conversations in which it was scored. Dropped = scored in fewer than 200 conversations. Judges analyze different numbers of core metrics because they mark conversations non-applicable at different rates.</w:t>
            </w:r>
          </w:p>
        </w:tc>
      </w:tr>
    </w:tbl>
    <w:p>
      <w:pPr>
        <w:sectPr>
          <w:pgMar w:header="708" w:bottom="1417" w:top="1417" w:right="1417" w:left="1417" w:footer="708" w:gutter="0"/>
          <w:pgSz w:h="16838" w:w="11906" w:orient="portrait"/>
          <w:type w:val="continuous"/>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2026-09-14T13:07:45Z</dcterms:modified>
  <cp:category/>
</cp:coreProperties>
</file>