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>Table 2</w:t>
      </w:r>
    </w:p>
    <w:p>
      <w:pPr>
        <w:pStyle w:val="Normal"/>
      </w:pPr>
      <w:r>
        <w:t xml:space="preserve">Factorability of the Metric Correlation Matrix by Judge Model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448"/>
        <w:gridCol w:w="911"/>
        <w:gridCol w:w="1111"/>
        <w:gridCol w:w="877"/>
        <w:gridCol w:w="1412"/>
        <w:gridCol w:w="1022"/>
        <w:gridCol w:w="972"/>
      </w:tblGrid>
      <w:tr>
        <w:trPr>
          <w:trHeight w:val="574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Judge model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00" w:right="100" w:firstLine="0" w:firstLineChars="0"/>
              <w:rPr>
                <w:rFonts w:ascii="Arial" w:hAnsi="Arial" w:eastAsia="Arial" w:cs="Arial"/>
                <w:i w:val="tru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Metrics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KMO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χ²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00" w:right="100" w:firstLine="0" w:firstLineChars="0"/>
              <w:rPr>
                <w:rFonts w:ascii="Arial" w:hAnsi="Arial" w:eastAsia="Arial" w:cs="Arial"/>
                <w:i w:val="tru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df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00" w:right="100" w:firstLine="0" w:firstLineChars="0"/>
              <w:rPr>
                <w:rFonts w:ascii="Arial" w:hAnsi="Arial" w:eastAsia="Arial" w:cs="Arial"/>
                <w:i w:val="tru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p</w:t>
            </w:r>
          </w:p>
        </w:tc>
      </w:tr>
      <w:tr>
        <w:trPr>
          <w:trHeight w:val="544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GPT-5.4 mini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1,000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167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.995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222,758.32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13,861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&lt; .001</w:t>
            </w:r>
          </w:p>
        </w:tc>
      </w:tr>
      <w:tr>
        <w:trPr>
          <w:trHeight w:val="54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Claude Haiku 4.5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1,000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.994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222,550.88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10,153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&lt; .001</w:t>
            </w:r>
          </w:p>
        </w:tc>
      </w:tr>
      <w:tr>
        <w:trPr>
          <w:trHeight w:val="559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Gemma 4 26B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1,000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141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.994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266,886.19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9,870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&lt; .001</w:t>
            </w:r>
          </w:p>
        </w:tc>
      </w:tr>
      <w:tr>
        <w:trPr>
          <w:trHeight w:val="360" w:hRule="auto"/>
        </w:trPr>
        <w:tc>
          <w:tcPr>
            <w:gridSpan w:val="7"/>
            <w:tcBorders>
              <w:bottom w:val="none" w:sz="0" w:space="0" w:color="FFFFFF"/>
              <w:top w:val="single" w:sz="12" w:space="0" w:color="666666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Note. KMO = Kaiser–Meyer–Olkin measure of sampling adequacy; all values fall in Kaiser's (1974) "marvelous" range (≥ .90). χ² = Bartlett's test of sphericity. A KMO ≥ .60 with a significant Bartlett's test indicates the correlation matrix is suitable for factor analysis. N = number of conversations; Metrics = analyzed core metrics after applicability tiering. Values computed in R (psych::fa).</w:t>
            </w:r>
          </w:p>
        </w:tc>
      </w:tr>
    </w:tbl>
    <w:p>
      <w:pPr>
        <w:sectPr>
          <w:pgMar w:header="708" w:bottom="1417" w:top="1417" w:right="1417" w:left="1417" w:footer="708" w:gutter="0"/>
          <w:pgSz w:h="16838" w:w="11906" w:orient="portrait"/>
          <w:type w:val="continuous"/>
          <w:cols/>
        </w:sectPr>
      </w:pPr>
    </w:p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2026-09-14T13:07:53Z</dcterms:modified>
  <cp:category/>
</cp:coreProperties>
</file>