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2</w:t>
      </w:r>
    </w:p>
    <w:p>
      <w:pPr>
        <w:pStyle w:val="Normal"/>
      </w:pPr>
      <w:r>
        <w:t xml:space="preserve">General-Factor (Schmid–Leiman Bifactor) Indices by Judge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8"/>
        <w:gridCol w:w="933"/>
        <w:gridCol w:w="1733"/>
        <w:gridCol w:w="800"/>
        <w:gridCol w:w="800"/>
        <w:gridCol w:w="822"/>
        <w:gridCol w:w="833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Judge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Group factors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ωH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ωt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ECV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PUC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GPT-5.4 mini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.80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Claude Haiku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.85</w:t>
            </w:r>
          </w:p>
        </w:tc>
      </w:tr>
      <w:tr>
        <w:trPr>
          <w:trHeight w:val="5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Gemma 4 26B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Bifactor indices from a Schmid–Leiman transformation of the oblique (MINRES, oblimin) solution (psych::omega), fit on each judge's full retained core-metric matrix. ωH = omega-hierarchical, the proportion of total-score variance attributable to the general factor; ωt = omega-total; ECV = explained common variance of the general factor; PUC = percent of uncontaminated correlations (item pairs spanning different group factors, whose covariance reflects only the general factor). Per Reise, Scheines, Widaman, and Haviland (2013), a high PUC (&gt; .80) means multidimensionality has little effect on parameter bias; combined with ωH &gt; .80 and ECV &gt; .70, the general factor is interpretable as essentially unidimensional (see also Rodriguez, Reise, &amp; Haviland, 2016). ωt approaches 1.0 because of the large item pool and should not be read as scale precision.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2026-09-14T13:07:57Z</dcterms:modified>
  <cp:category/>
</cp:coreProperties>
</file>