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Table 3</w:t>
      </w:r>
    </w:p>
    <w:p>
      <w:pPr>
        <w:pStyle w:val="Normal"/>
      </w:pPr>
      <w:r>
        <w:t xml:space="preserve">Cross-Judge Factor Congruence by Construct</w:t>
      </w:r>
    </w:p>
    <w:tbl xmlns:a="http://schemas.openxmlformats.org/drawingml/2006/main" xmlns:pic="http://schemas.openxmlformats.org/drawingml/2006/picture">
      <w:tblPr>
        <w:tblLayout w:type="fixed"/>
        <w:jc w:val="center"/>
        <w:tblLook w:firstRow="1" w:lastRow="0" w:firstColumn="0" w:lastColumn="0" w:noHBand="0" w:noVBand="1"/>
      </w:tblPr>
      <w:tblGrid>
        <w:gridCol w:w="2102"/>
        <w:gridCol w:w="518"/>
        <w:gridCol w:w="634"/>
        <w:gridCol w:w="835"/>
        <w:gridCol w:w="1440"/>
        <w:gridCol w:w="1238"/>
        <w:gridCol w:w="1296"/>
        <w:gridCol w:w="576"/>
        <w:gridCol w:w="576"/>
      </w:tblGrid>
      <w:tr>
        <w:trPr>
          <w:trHeight w:val="360" w:hRule="auto"/>
          <w:tblHeader/>
        </w:trPr>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Factor number</w:t>
            </w:r>
          </w:p>
        </w:tc>
        <w:tc>
          <w:tcPr>
            <w:gridSpan w:val="3"/>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Tucker's congruence (rc)</w:t>
            </w:r>
          </w:p>
        </w:tc>
        <w:tc>
          <w:tcPr>
            <w:gridSpan w:val="2"/>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
            </w:r>
          </w:p>
        </w:tc>
      </w:tr>
      <w:tr>
        <w:trPr>
          <w:trHeight w:val="360"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Factor name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GPT</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Haiku</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Gemma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Haiku–Gemma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Haiku–GPT</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Gemma–GPT</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Min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true"/>
                <w:b w:val="true"/>
                <w:u w:val="none"/>
                <w:strike w:val="false"/>
                <w:sz w:val="18"/>
                <w:szCs w:val="18"/>
                <w:color w:val="000000"/>
              </w:rPr>
            </w:pPr>
            <w:r>
              <w:rPr>
                <w:rFonts w:ascii="Arial" w:hAnsi="Arial" w:eastAsia="Arial" w:cs="Arial"/>
                <w:i w:val="true"/>
                <w:b w:val="true"/>
                <w:u w:val="none"/>
                <w:strike w:val="false"/>
                <w:sz w:val="18"/>
                <w:szCs w:val="18"/>
                <w:color w:val="000000"/>
              </w:rPr>
              <w:t xml:space="preserve">M</w:t>
            </w:r>
          </w:p>
        </w:tc>
      </w:tr>
      <w:tr>
        <w:trPr>
          <w:trHeight w:val="3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Engagement and questioning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Affect and encouragement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Analogies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.86</w:t>
            </w:r>
          </w:p>
        </w:tc>
      </w:tr>
      <w:tr>
        <w:trPr>
          <w:trHeight w:val="360" w:hRule="auto"/>
        </w:trPr>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Metacognition</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.87</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.85</w:t>
            </w:r>
          </w:p>
        </w:tc>
      </w:tr>
      <w:tr>
        <w:trPr>
          <w:trHeight w:val="360" w:hRule="auto"/>
        </w:trPr>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Style and presentation</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Alignment to constraints/goals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.67</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Mistake handling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80" w:before="80" w:line="240"/>
              <w:ind w:left="60" w:right="6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t>
            </w:r>
          </w:p>
        </w:tc>
      </w:tr>
      <w:tr>
        <w:trPr>
          <w:trHeight w:val="360" w:hRule="auto"/>
        </w:trPr>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w:rPr>
                <w:rFonts w:ascii="Helvetica" w:hAnsi="Helvetica" w:eastAsia="Helvetica" w:cs="Helvetica"/>
                <w:i w:val="true"/>
                <w:b w:val="false"/>
                <w:u w:val="none"/>
                <w:strike w:val="false"/>
                <w:sz w:val="18"/>
                <w:szCs w:val="18"/>
                <w:color w:val="000000"/>
              </w:rPr>
              <w:t xml:space="preserve">Note. Factor number gives the index each construct occupied in that judge's solution. Because factor order is arbitrary in exploratory factor analysis, factors were matched across judges by maximum absolute congruence using the Hungarian assignment algorithm rather than by index. Values are Tucker's coefficient of congruence (rc) between the matched factors of each judge pair, computed over the metrics common to that pair (n = 138–143). M = mean of the pairwise values; Min = the smallest available pairwise value. rc ≥ .95 indicates essentially identical factors and rc ≥ .85 fair similarity (Lorenzo-Seva &amp; ten Berge, 2006). Constructs with a mean congruence ≥ .85 across all three judge pairs (above the line) replicated and were retained; those below did not. A dash indicates the construct did not form a distinct factor for that judge (style and presentation was absorbed into GPT-5.4 mini's general first factor; mistake handling emerged only for GPT-5.4 mini), so no congruence could be computed. Congruence between Accuracy and GPT-5.4 mini is attenuated because accuracy items load on that model's broad general first factor.</w:t>
            </w:r>
          </w:p>
        </w:tc>
      </w:tr>
    </w:tbl>
    <w:p>
      <w:pPr>
        <w:sectPr>
          <w:pgMar w:header="708" w:bottom="1417" w:top="1417" w:right="1417" w:left="1417" w:footer="708" w:gutter="0"/>
          <w:pgSz w:h="16838" w:w="11906" w:orient="portrait"/>
          <w:type w:val="continuous"/>
          <w:cols/>
        </w:sectPr>
      </w:pP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2026-09-14T13:08:01Z</dcterms:modified>
  <cp:category/>
</cp:coreProperties>
</file>