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9506" w14:textId="77777777" w:rsidR="007611F7" w:rsidRPr="00F1074F" w:rsidRDefault="007611F7" w:rsidP="007611F7">
      <w:pPr>
        <w:spacing w:after="0" w:line="480" w:lineRule="auto"/>
        <w:jc w:val="center"/>
        <w:rPr>
          <w:rFonts w:asciiTheme="minorHAnsi" w:hAnsiTheme="minorHAnsi" w:cstheme="minorHAnsi"/>
          <w:szCs w:val="24"/>
        </w:rPr>
      </w:pPr>
      <w:r w:rsidRPr="00F1074F">
        <w:rPr>
          <w:rFonts w:asciiTheme="minorHAnsi" w:hAnsiTheme="minorHAnsi" w:cstheme="minorHAnsi"/>
          <w:noProof/>
          <w:szCs w:val="24"/>
          <w:lang w:eastAsia="el-GR"/>
        </w:rPr>
        <w:drawing>
          <wp:inline distT="0" distB="0" distL="0" distR="0" wp14:anchorId="0D874132" wp14:editId="675DD0C6">
            <wp:extent cx="2803793" cy="1401897"/>
            <wp:effectExtent l="0" t="0" r="0" b="8255"/>
            <wp:docPr id="53114071" name="Εικόνα 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4071" name="Εικόνα 4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969" cy="140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FE5D1" w14:textId="77777777" w:rsidR="007611F7" w:rsidRPr="00337BA6" w:rsidRDefault="007611F7" w:rsidP="007611F7">
      <w:pPr>
        <w:spacing w:after="0" w:line="480" w:lineRule="auto"/>
        <w:rPr>
          <w:rFonts w:asciiTheme="minorHAnsi" w:hAnsiTheme="minorHAnsi" w:cstheme="minorHAnsi"/>
          <w:sz w:val="22"/>
        </w:rPr>
      </w:pPr>
    </w:p>
    <w:p w14:paraId="69904636" w14:textId="77777777" w:rsidR="007611F7" w:rsidRPr="00F1074F" w:rsidRDefault="007611F7" w:rsidP="007611F7">
      <w:pPr>
        <w:spacing w:before="167"/>
        <w:ind w:left="105"/>
        <w:jc w:val="center"/>
        <w:rPr>
          <w:rFonts w:asciiTheme="minorHAnsi" w:hAnsiTheme="minorHAnsi" w:cstheme="minorHAnsi"/>
          <w:b/>
          <w:i/>
          <w:sz w:val="28"/>
          <w:lang w:val="en-US"/>
        </w:rPr>
      </w:pPr>
      <w:r w:rsidRPr="00F1074F">
        <w:rPr>
          <w:rFonts w:asciiTheme="minorHAnsi" w:hAnsiTheme="minorHAnsi" w:cstheme="minorHAnsi"/>
          <w:b/>
          <w:i/>
          <w:sz w:val="28"/>
          <w:lang w:val="en-US"/>
        </w:rPr>
        <w:t>ROYAL</w:t>
      </w:r>
      <w:r w:rsidRPr="00F1074F">
        <w:rPr>
          <w:rFonts w:asciiTheme="minorHAnsi" w:hAnsiTheme="minorHAnsi" w:cstheme="minorHAnsi"/>
          <w:b/>
          <w:i/>
          <w:spacing w:val="-2"/>
          <w:sz w:val="28"/>
          <w:lang w:val="en-US"/>
        </w:rPr>
        <w:t xml:space="preserve"> </w:t>
      </w:r>
      <w:r w:rsidRPr="00F1074F">
        <w:rPr>
          <w:rFonts w:asciiTheme="minorHAnsi" w:hAnsiTheme="minorHAnsi" w:cstheme="minorHAnsi"/>
          <w:b/>
          <w:i/>
          <w:sz w:val="28"/>
          <w:lang w:val="en-US"/>
        </w:rPr>
        <w:t>DOCKS</w:t>
      </w:r>
      <w:r w:rsidRPr="00F1074F">
        <w:rPr>
          <w:rFonts w:asciiTheme="minorHAnsi" w:hAnsiTheme="minorHAnsi" w:cstheme="minorHAnsi"/>
          <w:b/>
          <w:i/>
          <w:spacing w:val="-4"/>
          <w:sz w:val="28"/>
          <w:lang w:val="en-US"/>
        </w:rPr>
        <w:t xml:space="preserve"> </w:t>
      </w:r>
      <w:r w:rsidRPr="00F1074F">
        <w:rPr>
          <w:rFonts w:asciiTheme="minorHAnsi" w:hAnsiTheme="minorHAnsi" w:cstheme="minorHAnsi"/>
          <w:b/>
          <w:i/>
          <w:sz w:val="28"/>
          <w:lang w:val="en-US"/>
        </w:rPr>
        <w:t>SCHOOL</w:t>
      </w:r>
      <w:r w:rsidRPr="00F1074F">
        <w:rPr>
          <w:rFonts w:asciiTheme="minorHAnsi" w:hAnsiTheme="minorHAnsi" w:cstheme="minorHAnsi"/>
          <w:b/>
          <w:i/>
          <w:spacing w:val="-1"/>
          <w:sz w:val="28"/>
          <w:lang w:val="en-US"/>
        </w:rPr>
        <w:t xml:space="preserve"> </w:t>
      </w:r>
      <w:r w:rsidRPr="00F1074F">
        <w:rPr>
          <w:rFonts w:asciiTheme="minorHAnsi" w:hAnsiTheme="minorHAnsi" w:cstheme="minorHAnsi"/>
          <w:b/>
          <w:i/>
          <w:sz w:val="28"/>
          <w:lang w:val="en-US"/>
        </w:rPr>
        <w:t>OF</w:t>
      </w:r>
      <w:r w:rsidRPr="00F1074F">
        <w:rPr>
          <w:rFonts w:asciiTheme="minorHAnsi" w:hAnsiTheme="minorHAnsi" w:cstheme="minorHAnsi"/>
          <w:b/>
          <w:i/>
          <w:spacing w:val="-2"/>
          <w:sz w:val="28"/>
          <w:lang w:val="en-US"/>
        </w:rPr>
        <w:t xml:space="preserve"> </w:t>
      </w:r>
      <w:r w:rsidRPr="00F1074F">
        <w:rPr>
          <w:rFonts w:asciiTheme="minorHAnsi" w:hAnsiTheme="minorHAnsi" w:cstheme="minorHAnsi"/>
          <w:b/>
          <w:i/>
          <w:sz w:val="28"/>
          <w:lang w:val="en-US"/>
        </w:rPr>
        <w:t>BUSINESS</w:t>
      </w:r>
      <w:r w:rsidRPr="00F1074F">
        <w:rPr>
          <w:rFonts w:asciiTheme="minorHAnsi" w:hAnsiTheme="minorHAnsi" w:cstheme="minorHAnsi"/>
          <w:b/>
          <w:i/>
          <w:spacing w:val="-4"/>
          <w:sz w:val="28"/>
          <w:lang w:val="en-US"/>
        </w:rPr>
        <w:t xml:space="preserve"> </w:t>
      </w:r>
      <w:r w:rsidRPr="00F1074F">
        <w:rPr>
          <w:rFonts w:asciiTheme="minorHAnsi" w:hAnsiTheme="minorHAnsi" w:cstheme="minorHAnsi"/>
          <w:b/>
          <w:i/>
          <w:sz w:val="28"/>
          <w:lang w:val="en-US"/>
        </w:rPr>
        <w:t>AND</w:t>
      </w:r>
      <w:r w:rsidRPr="00F1074F">
        <w:rPr>
          <w:rFonts w:asciiTheme="minorHAnsi" w:hAnsiTheme="minorHAnsi" w:cstheme="minorHAnsi"/>
          <w:b/>
          <w:i/>
          <w:spacing w:val="-4"/>
          <w:sz w:val="28"/>
          <w:lang w:val="en-US"/>
        </w:rPr>
        <w:t xml:space="preserve"> </w:t>
      </w:r>
      <w:r w:rsidRPr="00F1074F">
        <w:rPr>
          <w:rFonts w:asciiTheme="minorHAnsi" w:hAnsiTheme="minorHAnsi" w:cstheme="minorHAnsi"/>
          <w:b/>
          <w:i/>
          <w:sz w:val="28"/>
          <w:lang w:val="en-US"/>
        </w:rPr>
        <w:t>LAW</w:t>
      </w:r>
    </w:p>
    <w:p w14:paraId="5EE263CD" w14:textId="77777777" w:rsidR="007611F7" w:rsidRPr="00F1074F" w:rsidRDefault="007611F7" w:rsidP="007611F7">
      <w:pPr>
        <w:spacing w:before="167"/>
        <w:ind w:left="105"/>
        <w:jc w:val="center"/>
        <w:rPr>
          <w:rFonts w:asciiTheme="minorHAnsi" w:hAnsiTheme="minorHAnsi" w:cstheme="minorHAnsi"/>
          <w:bCs/>
          <w:iCs/>
          <w:sz w:val="28"/>
          <w:lang w:val="en-US"/>
        </w:rPr>
      </w:pPr>
      <w:r w:rsidRPr="00F1074F">
        <w:rPr>
          <w:rFonts w:asciiTheme="minorHAnsi" w:hAnsiTheme="minorHAnsi" w:cstheme="minorHAnsi"/>
          <w:bCs/>
          <w:iCs/>
          <w:sz w:val="28"/>
          <w:lang w:val="en-US"/>
        </w:rPr>
        <w:t>MBA in International Business</w:t>
      </w:r>
    </w:p>
    <w:p w14:paraId="2E1B95AD" w14:textId="77777777" w:rsidR="007611F7" w:rsidRPr="00337BA6" w:rsidRDefault="007611F7" w:rsidP="007611F7">
      <w:pPr>
        <w:spacing w:before="167"/>
        <w:ind w:left="105"/>
        <w:jc w:val="center"/>
        <w:rPr>
          <w:rFonts w:asciiTheme="minorHAnsi" w:hAnsiTheme="minorHAnsi" w:cstheme="minorHAnsi"/>
          <w:b/>
          <w:i/>
          <w:sz w:val="22"/>
          <w:lang w:val="en-US"/>
        </w:rPr>
      </w:pPr>
    </w:p>
    <w:p w14:paraId="7349DE65" w14:textId="3323C169" w:rsidR="007611F7" w:rsidRDefault="00381167" w:rsidP="007611F7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Thesis </w:t>
      </w:r>
      <w:r w:rsidR="007611F7" w:rsidRPr="00F1074F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Title: </w:t>
      </w:r>
    </w:p>
    <w:p w14:paraId="139764DB" w14:textId="77777777" w:rsidR="00041C36" w:rsidRPr="00F1074F" w:rsidRDefault="00041C36" w:rsidP="007611F7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3E5ACA5" w14:textId="004BBCD8" w:rsidR="007611F7" w:rsidRPr="00092352" w:rsidRDefault="00041C36" w:rsidP="00092352">
      <w:pPr>
        <w:spacing w:after="0"/>
        <w:jc w:val="center"/>
        <w:rPr>
          <w:rFonts w:asciiTheme="minorHAnsi" w:hAnsiTheme="minorHAnsi" w:cstheme="minorHAnsi"/>
          <w:color w:val="343541"/>
          <w:lang w:val="en-US"/>
        </w:rPr>
      </w:pPr>
      <w:r w:rsidRPr="00092352">
        <w:rPr>
          <w:rFonts w:asciiTheme="minorHAnsi" w:hAnsiTheme="minorHAnsi" w:cstheme="minorHAnsi"/>
          <w:color w:val="343541"/>
          <w:lang w:val="en-US"/>
        </w:rPr>
        <w:t>Creative Accounting in Corporate Tax Planning. A Comprehensive Analysis of the grey area of the Offshore Regime, Regulatory Framework, and Fiscal Incentives in European Jurisdictions - The Controversial Case of Cyprus</w:t>
      </w:r>
    </w:p>
    <w:p w14:paraId="472F2DB6" w14:textId="75665273" w:rsidR="00092352" w:rsidRPr="00092352" w:rsidRDefault="00092352" w:rsidP="00092352">
      <w:pPr>
        <w:pStyle w:val="a4"/>
        <w:spacing w:after="0"/>
        <w:jc w:val="center"/>
        <w:rPr>
          <w:rFonts w:asciiTheme="minorHAnsi" w:hAnsiTheme="minorHAnsi" w:cstheme="minorHAnsi"/>
          <w:color w:val="343541"/>
        </w:rPr>
      </w:pPr>
      <w:r w:rsidRPr="00092352">
        <w:rPr>
          <w:rFonts w:asciiTheme="minorHAnsi" w:hAnsiTheme="minorHAnsi" w:cstheme="minorHAnsi"/>
          <w:color w:val="343541"/>
        </w:rPr>
        <w:t>−</w:t>
      </w:r>
    </w:p>
    <w:p w14:paraId="36BF3667" w14:textId="15323068" w:rsidR="00092352" w:rsidRPr="00337BA6" w:rsidRDefault="00092352" w:rsidP="00337BA6">
      <w:pPr>
        <w:spacing w:after="0"/>
        <w:ind w:left="720"/>
        <w:jc w:val="center"/>
        <w:rPr>
          <w:rFonts w:asciiTheme="minorHAnsi" w:hAnsiTheme="minorHAnsi" w:cstheme="minorHAnsi"/>
          <w:color w:val="343541"/>
          <w:lang w:val="en-US"/>
        </w:rPr>
      </w:pPr>
      <w:r w:rsidRPr="00092352">
        <w:rPr>
          <w:rFonts w:asciiTheme="minorHAnsi" w:hAnsiTheme="minorHAnsi" w:cstheme="minorHAnsi"/>
          <w:color w:val="343541"/>
          <w:lang w:val="en-US"/>
        </w:rPr>
        <w:t xml:space="preserve">Ο Ρόλος της Δημιουργικής Λογιστικής </w:t>
      </w:r>
      <w:r w:rsidRPr="00092352">
        <w:rPr>
          <w:rFonts w:asciiTheme="minorHAnsi" w:hAnsiTheme="minorHAnsi" w:cstheme="minorHAnsi"/>
          <w:color w:val="343541"/>
          <w:lang w:val="en-US"/>
        </w:rPr>
        <w:t xml:space="preserve">στον Εταιρικό Φορολογικό Σχεδιασμό. Μια Ολοκληρωμένη Ανάλυση </w:t>
      </w:r>
      <w:r w:rsidRPr="00092352">
        <w:rPr>
          <w:rFonts w:asciiTheme="minorHAnsi" w:hAnsiTheme="minorHAnsi" w:cstheme="minorHAnsi"/>
          <w:color w:val="343541"/>
          <w:lang w:val="en-US"/>
        </w:rPr>
        <w:t>της Γκρίζας Ζώνης του</w:t>
      </w:r>
      <w:r w:rsidRPr="00092352">
        <w:rPr>
          <w:rFonts w:asciiTheme="minorHAnsi" w:hAnsiTheme="minorHAnsi" w:cstheme="minorHAnsi"/>
          <w:color w:val="343541"/>
          <w:lang w:val="en-US"/>
        </w:rPr>
        <w:t xml:space="preserve"> </w:t>
      </w:r>
      <w:proofErr w:type="spellStart"/>
      <w:r w:rsidRPr="00092352">
        <w:rPr>
          <w:rFonts w:asciiTheme="minorHAnsi" w:hAnsiTheme="minorHAnsi" w:cstheme="minorHAnsi"/>
          <w:color w:val="343541"/>
          <w:lang w:val="en-US"/>
        </w:rPr>
        <w:t>Υπεράκτιου</w:t>
      </w:r>
      <w:proofErr w:type="spellEnd"/>
      <w:r w:rsidRPr="00092352">
        <w:rPr>
          <w:rFonts w:asciiTheme="minorHAnsi" w:hAnsiTheme="minorHAnsi" w:cstheme="minorHAnsi"/>
          <w:color w:val="343541"/>
          <w:lang w:val="en-US"/>
        </w:rPr>
        <w:t xml:space="preserve"> Καθεστώτος, του Ρυθμιστικού Πλαισίου και των Φορολογικών Κινήτρων στις Ευρωπαϊκές Δικαιοδοσίες - Η </w:t>
      </w:r>
      <w:proofErr w:type="spellStart"/>
      <w:r w:rsidRPr="00092352">
        <w:rPr>
          <w:rFonts w:asciiTheme="minorHAnsi" w:hAnsiTheme="minorHAnsi" w:cstheme="minorHAnsi"/>
          <w:color w:val="343541"/>
          <w:lang w:val="en-US"/>
        </w:rPr>
        <w:t>Αμφιλεγόμενη</w:t>
      </w:r>
      <w:proofErr w:type="spellEnd"/>
      <w:r w:rsidRPr="00092352">
        <w:rPr>
          <w:rFonts w:asciiTheme="minorHAnsi" w:hAnsiTheme="minorHAnsi" w:cstheme="minorHAnsi"/>
          <w:color w:val="343541"/>
          <w:lang w:val="en-US"/>
        </w:rPr>
        <w:t xml:space="preserve"> </w:t>
      </w:r>
      <w:proofErr w:type="spellStart"/>
      <w:r w:rsidRPr="00092352">
        <w:rPr>
          <w:rFonts w:asciiTheme="minorHAnsi" w:hAnsiTheme="minorHAnsi" w:cstheme="minorHAnsi"/>
          <w:color w:val="343541"/>
          <w:lang w:val="en-US"/>
        </w:rPr>
        <w:t>Περί</w:t>
      </w:r>
      <w:proofErr w:type="spellEnd"/>
      <w:r w:rsidRPr="00092352">
        <w:rPr>
          <w:rFonts w:asciiTheme="minorHAnsi" w:hAnsiTheme="minorHAnsi" w:cstheme="minorHAnsi"/>
          <w:color w:val="343541"/>
          <w:lang w:val="en-US"/>
        </w:rPr>
        <w:t xml:space="preserve">πτωση </w:t>
      </w:r>
      <w:proofErr w:type="spellStart"/>
      <w:r w:rsidRPr="00092352">
        <w:rPr>
          <w:rFonts w:asciiTheme="minorHAnsi" w:hAnsiTheme="minorHAnsi" w:cstheme="minorHAnsi"/>
          <w:color w:val="343541"/>
          <w:lang w:val="en-US"/>
        </w:rPr>
        <w:t>της</w:t>
      </w:r>
      <w:proofErr w:type="spellEnd"/>
      <w:r w:rsidRPr="00092352">
        <w:rPr>
          <w:rFonts w:asciiTheme="minorHAnsi" w:hAnsiTheme="minorHAnsi" w:cstheme="minorHAnsi"/>
          <w:color w:val="343541"/>
          <w:lang w:val="en-US"/>
        </w:rPr>
        <w:t xml:space="preserve"> </w:t>
      </w:r>
      <w:proofErr w:type="spellStart"/>
      <w:r w:rsidRPr="00092352">
        <w:rPr>
          <w:rFonts w:asciiTheme="minorHAnsi" w:hAnsiTheme="minorHAnsi" w:cstheme="minorHAnsi"/>
          <w:color w:val="343541"/>
          <w:lang w:val="en-US"/>
        </w:rPr>
        <w:t>Κύ</w:t>
      </w:r>
      <w:proofErr w:type="spellEnd"/>
      <w:r w:rsidRPr="00092352">
        <w:rPr>
          <w:rFonts w:asciiTheme="minorHAnsi" w:hAnsiTheme="minorHAnsi" w:cstheme="minorHAnsi"/>
          <w:color w:val="343541"/>
          <w:lang w:val="en-US"/>
        </w:rPr>
        <w:t>πρου</w:t>
      </w:r>
    </w:p>
    <w:p w14:paraId="5ADF98A7" w14:textId="77777777" w:rsidR="007611F7" w:rsidRPr="00092352" w:rsidRDefault="007611F7" w:rsidP="007611F7">
      <w:pPr>
        <w:spacing w:after="0"/>
        <w:jc w:val="center"/>
        <w:rPr>
          <w:rFonts w:asciiTheme="minorHAnsi" w:hAnsiTheme="minorHAnsi" w:cstheme="minorHAnsi"/>
          <w:sz w:val="28"/>
          <w:szCs w:val="28"/>
        </w:rPr>
      </w:pPr>
    </w:p>
    <w:p w14:paraId="297BC82A" w14:textId="0CBAAA1C" w:rsidR="007611F7" w:rsidRPr="00F669AD" w:rsidRDefault="007611F7" w:rsidP="007611F7">
      <w:pPr>
        <w:spacing w:after="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Tutor</w:t>
      </w:r>
      <w:r w:rsidRPr="00F669AD">
        <w:rPr>
          <w:rFonts w:asciiTheme="minorHAnsi" w:hAnsiTheme="minorHAnsi" w:cstheme="minorHAnsi"/>
          <w:b/>
          <w:bCs/>
          <w:sz w:val="28"/>
          <w:szCs w:val="28"/>
          <w:lang w:val="en-US"/>
        </w:rPr>
        <w:t>:</w:t>
      </w:r>
    </w:p>
    <w:p w14:paraId="3DE4CD4A" w14:textId="2D9E6D29" w:rsidR="007611F7" w:rsidRPr="00F669AD" w:rsidRDefault="007611F7" w:rsidP="007611F7">
      <w:pPr>
        <w:spacing w:after="0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κ</w:t>
      </w:r>
      <w:r w:rsidRPr="00F669AD">
        <w:rPr>
          <w:rFonts w:asciiTheme="minorHAnsi" w:hAnsiTheme="minorHAnsi" w:cstheme="min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inorHAnsi" w:hAnsiTheme="minorHAnsi" w:cstheme="minorHAnsi"/>
          <w:sz w:val="28"/>
          <w:szCs w:val="28"/>
        </w:rPr>
        <w:t>Ρέπτση</w:t>
      </w:r>
      <w:proofErr w:type="spellEnd"/>
      <w:r w:rsidRPr="00F669A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Μαρία</w:t>
      </w:r>
    </w:p>
    <w:p w14:paraId="0DA45891" w14:textId="77777777" w:rsidR="007611F7" w:rsidRPr="00337BA6" w:rsidRDefault="007611F7" w:rsidP="007611F7">
      <w:pPr>
        <w:spacing w:after="0"/>
        <w:rPr>
          <w:rFonts w:asciiTheme="minorHAnsi" w:hAnsiTheme="minorHAnsi" w:cstheme="minorHAnsi"/>
          <w:sz w:val="32"/>
          <w:szCs w:val="32"/>
          <w:lang w:val="en-US"/>
        </w:rPr>
      </w:pPr>
    </w:p>
    <w:p w14:paraId="74E66D7E" w14:textId="77777777" w:rsidR="007611F7" w:rsidRPr="00337BA6" w:rsidRDefault="007611F7" w:rsidP="00337BA6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337BA6">
        <w:rPr>
          <w:rFonts w:asciiTheme="minorHAnsi" w:hAnsiTheme="minorHAnsi" w:cstheme="minorHAnsi"/>
          <w:b/>
          <w:bCs/>
          <w:sz w:val="32"/>
          <w:szCs w:val="32"/>
          <w:lang w:val="en-US"/>
        </w:rPr>
        <w:t>UEL NUMBER</w:t>
      </w:r>
    </w:p>
    <w:p w14:paraId="47036B2A" w14:textId="77777777" w:rsidR="007611F7" w:rsidRPr="00337BA6" w:rsidRDefault="007611F7" w:rsidP="00337BA6">
      <w:pPr>
        <w:pStyle w:val="a3"/>
        <w:spacing w:before="198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337BA6">
        <w:rPr>
          <w:rFonts w:asciiTheme="minorHAnsi" w:hAnsiTheme="minorHAnsi" w:cstheme="minorHAnsi"/>
          <w:color w:val="000000" w:themeColor="text1"/>
          <w:sz w:val="32"/>
          <w:szCs w:val="32"/>
        </w:rPr>
        <w:t>1342050</w:t>
      </w:r>
    </w:p>
    <w:p w14:paraId="67D7663B" w14:textId="77777777" w:rsidR="007611F7" w:rsidRPr="00F1074F" w:rsidRDefault="007611F7" w:rsidP="00337BA6">
      <w:pPr>
        <w:pStyle w:val="a3"/>
        <w:ind w:left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</w:p>
    <w:p w14:paraId="4D79D7B3" w14:textId="77777777" w:rsidR="007611F7" w:rsidRPr="00F669AD" w:rsidRDefault="007611F7" w:rsidP="007611F7">
      <w:pPr>
        <w:spacing w:after="0" w:line="240" w:lineRule="auto"/>
        <w:jc w:val="center"/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  <w:r w:rsidRPr="00F1074F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Date</w:t>
      </w:r>
    </w:p>
    <w:p w14:paraId="5654C7F1" w14:textId="32F2D3A0" w:rsidR="007611F7" w:rsidRPr="00F669AD" w:rsidRDefault="007611F7" w:rsidP="007611F7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F669AD">
        <w:rPr>
          <w:rFonts w:asciiTheme="minorHAnsi" w:hAnsiTheme="minorHAnsi" w:cstheme="minorHAnsi"/>
          <w:color w:val="212529"/>
          <w:szCs w:val="24"/>
          <w:shd w:val="clear" w:color="auto" w:fill="FFFFFF"/>
        </w:rPr>
        <w:t>2023/07/2</w:t>
      </w:r>
      <w:r w:rsidR="00041C36">
        <w:rPr>
          <w:rFonts w:asciiTheme="minorHAnsi" w:hAnsiTheme="minorHAnsi" w:cstheme="minorHAnsi"/>
          <w:color w:val="212529"/>
          <w:szCs w:val="24"/>
          <w:shd w:val="clear" w:color="auto" w:fill="FFFFFF"/>
        </w:rPr>
        <w:t>8</w:t>
      </w:r>
      <w:r w:rsidRPr="00F669AD">
        <w:rPr>
          <w:rFonts w:asciiTheme="minorHAnsi" w:hAnsiTheme="minorHAnsi" w:cstheme="minorHAnsi"/>
        </w:rPr>
        <w:br w:type="page"/>
      </w:r>
    </w:p>
    <w:p w14:paraId="38C67FCD" w14:textId="6DE5224E" w:rsidR="00250A4A" w:rsidRDefault="00250A4A" w:rsidP="00DF2A67">
      <w:r>
        <w:lastRenderedPageBreak/>
        <w:t>Περίληψη [  … ]</w:t>
      </w:r>
    </w:p>
    <w:p w14:paraId="45761392" w14:textId="32982C03" w:rsidR="00250A4A" w:rsidRDefault="00250A4A" w:rsidP="00DF2A67">
      <w:r>
        <w:t>Πίνακας Περιεχομένων [ …  ]</w:t>
      </w:r>
    </w:p>
    <w:p w14:paraId="5210316A" w14:textId="77777777" w:rsidR="00250A4A" w:rsidRDefault="00250A4A" w:rsidP="00DF2A67"/>
    <w:p w14:paraId="55BFAD45" w14:textId="3221B457" w:rsidR="00DF2A67" w:rsidRDefault="00DF2A67" w:rsidP="00DF2A67">
      <w:r>
        <w:t xml:space="preserve">Κεφάλαιο 1 </w:t>
      </w:r>
    </w:p>
    <w:p w14:paraId="4D33181C" w14:textId="77777777" w:rsidR="00DF2A67" w:rsidRDefault="00DF2A67" w:rsidP="00DF2A67"/>
    <w:p w14:paraId="5AC0EC49" w14:textId="35670B8E" w:rsidR="00DF2A67" w:rsidRDefault="00DF2A67" w:rsidP="00DF2A67">
      <w:r>
        <w:t>Εισαγωγή</w:t>
      </w:r>
    </w:p>
    <w:p w14:paraId="3635938C" w14:textId="3AD776DD" w:rsidR="00DF2A67" w:rsidRDefault="00DF2A67" w:rsidP="00DF2A67">
      <w:pPr>
        <w:pStyle w:val="a4"/>
        <w:numPr>
          <w:ilvl w:val="1"/>
          <w:numId w:val="1"/>
        </w:numPr>
      </w:pPr>
      <w:r>
        <w:t>Ιστορικό</w:t>
      </w:r>
      <w:r w:rsidRPr="00DF2A67">
        <w:rPr>
          <w:lang w:val="en-US"/>
        </w:rPr>
        <w:t xml:space="preserve"> </w:t>
      </w:r>
      <w:r>
        <w:t xml:space="preserve">Υπόβαθρο </w:t>
      </w:r>
    </w:p>
    <w:p w14:paraId="2A773921" w14:textId="77777777" w:rsidR="00DF2A67" w:rsidRPr="00DF2A67" w:rsidRDefault="00DF2A67" w:rsidP="00DF2A67">
      <w:pPr>
        <w:pStyle w:val="a4"/>
        <w:ind w:left="400"/>
      </w:pPr>
    </w:p>
    <w:p w14:paraId="26385E15" w14:textId="23182819" w:rsidR="00DF2A67" w:rsidRDefault="00DF2A67" w:rsidP="00C90428">
      <w:r>
        <w:t>Ενόψει μιας εποχής που χαρακτηρίζεται από την ταχεία κλιμάκωση της οικονομικής</w:t>
      </w:r>
      <w:r>
        <w:t xml:space="preserve"> ενοποίησης</w:t>
      </w:r>
      <w:r>
        <w:t xml:space="preserve"> και τις αυξανόμενες διασυνοριακές ροές κεφαλαίων, οι πολυεθνικές εταιρείες (MNC)</w:t>
      </w:r>
      <w:r w:rsidR="00F340EE">
        <w:rPr>
          <w:rStyle w:val="a6"/>
        </w:rPr>
        <w:footnoteReference w:id="1"/>
      </w:r>
      <w:r>
        <w:t xml:space="preserve"> </w:t>
      </w:r>
      <w:r w:rsidR="00C90428">
        <w:t>αναζητούν</w:t>
      </w:r>
      <w:r w:rsidR="00C90428">
        <w:t xml:space="preserve"> </w:t>
      </w:r>
      <w:r w:rsidR="001832F7">
        <w:t>αδιάκοπα</w:t>
      </w:r>
      <w:r>
        <w:t xml:space="preserve"> καινοτόμους </w:t>
      </w:r>
      <w:r w:rsidR="00C90428">
        <w:t>μηχανισμούς</w:t>
      </w:r>
      <w:r>
        <w:t xml:space="preserve"> για τη φορολογική τους βελτιστοποίηση (</w:t>
      </w:r>
      <w:proofErr w:type="spellStart"/>
      <w:r>
        <w:t>Dharmapala</w:t>
      </w:r>
      <w:proofErr w:type="spellEnd"/>
      <w:r>
        <w:t>, 2014).</w:t>
      </w:r>
      <w:r w:rsidR="00337BA6">
        <w:t xml:space="preserve"> </w:t>
      </w:r>
      <w:r>
        <w:t xml:space="preserve">Το περίπλοκο πεδίο της διεθνούς φορολογίας, </w:t>
      </w:r>
      <w:r w:rsidR="00C90428">
        <w:t>σαφώς προσφέρει πληθώρα</w:t>
      </w:r>
      <w:r>
        <w:t xml:space="preserve"> ευκαιρίες για στρατηγικό φορολογικό σχεδιασμό, </w:t>
      </w:r>
      <w:r w:rsidR="00C90428">
        <w:t xml:space="preserve">ωστόσο </w:t>
      </w:r>
      <w:r>
        <w:t xml:space="preserve">αντιπροσωπεύει ένα </w:t>
      </w:r>
      <w:r w:rsidR="00C90428">
        <w:t>σύνθετο και δεινό</w:t>
      </w:r>
      <w:r>
        <w:t xml:space="preserve"> τοπίο.</w:t>
      </w:r>
    </w:p>
    <w:p w14:paraId="4D51ED3E" w14:textId="77777777" w:rsidR="00C90428" w:rsidRDefault="00C90428" w:rsidP="00C90428"/>
    <w:p w14:paraId="4519C3DD" w14:textId="619D1792" w:rsidR="00DF2A67" w:rsidRDefault="00DF2A67" w:rsidP="00626E38">
      <w:r>
        <w:t xml:space="preserve">Μέσα </w:t>
      </w:r>
      <w:r w:rsidR="00C90428">
        <w:t>από</w:t>
      </w:r>
      <w:r>
        <w:t xml:space="preserve"> αυτές τις πολυπλοκότητες, η δημιουργική λογιστική έχει αναδειχθεί ως κρίσιμο εργαλείο. </w:t>
      </w:r>
      <w:r w:rsidR="00C90428">
        <w:t>Η</w:t>
      </w:r>
      <w:r>
        <w:t xml:space="preserve"> πρακτική </w:t>
      </w:r>
      <w:r w:rsidR="00C90428">
        <w:t xml:space="preserve">αυτή </w:t>
      </w:r>
      <w:r>
        <w:t>περιλαμβάνει μια ποικιλία τεχν</w:t>
      </w:r>
      <w:r w:rsidR="00C90428">
        <w:t>ασμάτων</w:t>
      </w:r>
      <w:r>
        <w:t xml:space="preserve"> που χρησιμοποιούν οι επιχειρήσεις για να εκμεταλλευτούν τα κενά στα </w:t>
      </w:r>
      <w:r w:rsidR="00C90428" w:rsidRPr="00C90428">
        <w:t>Διεθνές Πρότυπ</w:t>
      </w:r>
      <w:r w:rsidR="00C90428" w:rsidRPr="00C90428">
        <w:t>α</w:t>
      </w:r>
      <w:r w:rsidR="00C90428" w:rsidRPr="00C90428">
        <w:t xml:space="preserve"> Χρηματοοικονομικής Αναφοράς (IFRS</w:t>
      </w:r>
      <w:r w:rsidR="00C90428">
        <w:t>)</w:t>
      </w:r>
      <w:r w:rsidR="00626E38">
        <w:rPr>
          <w:rStyle w:val="a6"/>
        </w:rPr>
        <w:footnoteReference w:id="2"/>
      </w:r>
      <w:r>
        <w:t xml:space="preserve">, προσφέροντας </w:t>
      </w:r>
      <w:r w:rsidR="00626E38">
        <w:t xml:space="preserve">με το τρόπο αυτό </w:t>
      </w:r>
      <w:r>
        <w:t xml:space="preserve">μια εναλλακτική, συχνά πιο ωφέλιμη, </w:t>
      </w:r>
      <w:r w:rsidR="00626E38">
        <w:t>εικόνα</w:t>
      </w:r>
      <w:r>
        <w:t xml:space="preserve"> των οικονομικών τους </w:t>
      </w:r>
      <w:r w:rsidR="00626E38">
        <w:t>καταστάσεων</w:t>
      </w:r>
      <w:r>
        <w:t xml:space="preserve">, </w:t>
      </w:r>
      <w:r w:rsidR="00626E38">
        <w:t>με στόχο</w:t>
      </w:r>
      <w:r>
        <w:t xml:space="preserve"> την ελαχιστοποίηση των φορολογικών </w:t>
      </w:r>
      <w:r w:rsidR="00626E38">
        <w:t xml:space="preserve">τους </w:t>
      </w:r>
      <w:r>
        <w:t>υποχρεώσεων (</w:t>
      </w:r>
      <w:proofErr w:type="spellStart"/>
      <w:r>
        <w:t>Amat</w:t>
      </w:r>
      <w:proofErr w:type="spellEnd"/>
      <w:r>
        <w:t xml:space="preserve">, </w:t>
      </w:r>
      <w:r w:rsidR="00337BA6">
        <w:rPr>
          <w:lang w:val="en-US"/>
        </w:rPr>
        <w:t>et</w:t>
      </w:r>
      <w:r w:rsidR="00337BA6" w:rsidRPr="00337BA6">
        <w:t xml:space="preserve">. </w:t>
      </w:r>
      <w:r w:rsidR="00337BA6">
        <w:rPr>
          <w:lang w:val="en-US"/>
        </w:rPr>
        <w:t>al</w:t>
      </w:r>
      <w:r w:rsidR="00337BA6" w:rsidRPr="00337BA6">
        <w:t>.</w:t>
      </w:r>
      <w:r>
        <w:t xml:space="preserve">, 1999). Αυτή η διασταύρωση νομιμότητας και ηθικής συμπεριφοράς </w:t>
      </w:r>
      <w:r w:rsidR="00626E38">
        <w:t xml:space="preserve">κατατάσσει </w:t>
      </w:r>
      <w:r>
        <w:t xml:space="preserve">τη δημιουργική λογιστική σε μια γκρίζα </w:t>
      </w:r>
      <w:r w:rsidR="00626E38">
        <w:t>ζώνη</w:t>
      </w:r>
      <w:r>
        <w:t xml:space="preserve"> της οικονομικής διαχείρισης, ενισχύοντας περαιτέρω την περίπλοκη φύση του εταιρικού φορολογικού σχεδιασμού.</w:t>
      </w:r>
    </w:p>
    <w:p w14:paraId="57767961" w14:textId="77777777" w:rsidR="00626E38" w:rsidRDefault="00626E38" w:rsidP="00626E38"/>
    <w:p w14:paraId="087BDF16" w14:textId="7DA16398" w:rsidR="00DF2A67" w:rsidRDefault="00DF2A67" w:rsidP="00DF2A67">
      <w:r>
        <w:t xml:space="preserve">Ο εταιρικός φορολογικός σχεδιασμός, από την άλλη πλευρά, περιλαμβάνει </w:t>
      </w:r>
      <w:r w:rsidR="00626E38">
        <w:t xml:space="preserve">τη </w:t>
      </w:r>
      <w:r>
        <w:t xml:space="preserve">στρατηγική λήψη αποφάσεων για την ελαχιστοποίηση των φορολογικών </w:t>
      </w:r>
      <w:r>
        <w:lastRenderedPageBreak/>
        <w:t>υποχρεώσεων εντός των ορίων της φορολογικής νομοθεσίας (</w:t>
      </w:r>
      <w:proofErr w:type="spellStart"/>
      <w:r>
        <w:t>Desai</w:t>
      </w:r>
      <w:proofErr w:type="spellEnd"/>
      <w:r>
        <w:t xml:space="preserve"> &amp; </w:t>
      </w:r>
      <w:proofErr w:type="spellStart"/>
      <w:r>
        <w:t>Dharmapala</w:t>
      </w:r>
      <w:proofErr w:type="spellEnd"/>
      <w:r>
        <w:t xml:space="preserve">, 2009). </w:t>
      </w:r>
      <w:r w:rsidR="00626E38">
        <w:t xml:space="preserve">Αποτελεί </w:t>
      </w:r>
      <w:r w:rsidR="00A2341E">
        <w:t>κρίσιμο παράγοντα</w:t>
      </w:r>
      <w:r>
        <w:t xml:space="preserve"> γι</w:t>
      </w:r>
      <w:r w:rsidR="00A2341E">
        <w:t>α το ανταγωνιστικό πλεονέκτημα</w:t>
      </w:r>
      <w:r>
        <w:t xml:space="preserve"> και την κερδοφορία των επιχειρήσεων, ιδιαίτερα των πολυεθνικών εταιρειών</w:t>
      </w:r>
      <w:r w:rsidR="00626E38">
        <w:t xml:space="preserve"> </w:t>
      </w:r>
      <w:r>
        <w:t>όπου οι φορολογικές επιπτώσεις μπορούν να επηρεάσουν σημαντικά τις επενδυτικές αποφάσεις.</w:t>
      </w:r>
    </w:p>
    <w:p w14:paraId="132A14C1" w14:textId="77777777" w:rsidR="00DF2A67" w:rsidRDefault="00DF2A67" w:rsidP="00DF2A67"/>
    <w:p w14:paraId="506AE7B6" w14:textId="0ABE1357" w:rsidR="00DF2A67" w:rsidRDefault="00DF2A67" w:rsidP="00DF2A67">
      <w:r>
        <w:t xml:space="preserve">Τα </w:t>
      </w:r>
      <w:proofErr w:type="spellStart"/>
      <w:r>
        <w:t>υπεράκτια</w:t>
      </w:r>
      <w:proofErr w:type="spellEnd"/>
      <w:r>
        <w:t xml:space="preserve"> φορολογικά καθεστώτα </w:t>
      </w:r>
      <w:r w:rsidR="00A2341E">
        <w:t>αποτελούν</w:t>
      </w:r>
      <w:r>
        <w:t xml:space="preserve"> μια ουσιαστική πτυχή του εταιρικού φορολογικού σχεδιασμού, παρέχοντας στις εταιρείες ευκαιρίες για σημαντική μείωση ή αναβολή φόρων. Όπως αναφέρθηκε από την </w:t>
      </w:r>
      <w:r w:rsidR="009D23E8">
        <w:t>Ευρωπαϊκή</w:t>
      </w:r>
      <w:r>
        <w:t xml:space="preserve"> </w:t>
      </w:r>
      <w:r w:rsidR="009D23E8">
        <w:t>κ</w:t>
      </w:r>
      <w:r>
        <w:t>οινοβουλ</w:t>
      </w:r>
      <w:r w:rsidR="009D23E8">
        <w:t>ευτική υπηρεσία έρευνας</w:t>
      </w:r>
      <w:r>
        <w:t xml:space="preserve"> (</w:t>
      </w:r>
      <w:r w:rsidR="009D23E8" w:rsidRPr="009D23E8">
        <w:t xml:space="preserve">European </w:t>
      </w:r>
      <w:proofErr w:type="spellStart"/>
      <w:r w:rsidR="009D23E8" w:rsidRPr="009D23E8">
        <w:t>Parliamentary</w:t>
      </w:r>
      <w:proofErr w:type="spellEnd"/>
      <w:r w:rsidR="009D23E8" w:rsidRPr="009D23E8">
        <w:t xml:space="preserve"> Research </w:t>
      </w:r>
      <w:proofErr w:type="spellStart"/>
      <w:r w:rsidR="009D23E8" w:rsidRPr="009D23E8">
        <w:t>Service</w:t>
      </w:r>
      <w:proofErr w:type="spellEnd"/>
      <w:r w:rsidR="009D23E8">
        <w:t xml:space="preserve">, </w:t>
      </w:r>
      <w:r>
        <w:t xml:space="preserve">2019), αυτά τα καθεστώτα συχνά προσφέρουν μειωμένους φορολογικούς συντελεστές, φορολογικά κίνητρα και εμπιστευτικές τραπεζικές υπηρεσίες. Ωστόσο, η εκμετάλλευσή τους έχει οδηγήσει σε σημαντικές απώλειες φορολογικών εσόδων για τις δικαιοδοσίες παγκοσμίως, προκαλώντας νομοθετικές μεταρρυθμίσεις για την αντιμετώπιση τέτοιων πρακτικών </w:t>
      </w:r>
      <w:proofErr w:type="spellStart"/>
      <w:r>
        <w:t>φοροαποφυγής</w:t>
      </w:r>
      <w:proofErr w:type="spellEnd"/>
      <w:r>
        <w:t>.</w:t>
      </w:r>
    </w:p>
    <w:p w14:paraId="3048026A" w14:textId="77777777" w:rsidR="00DF2A67" w:rsidRDefault="00DF2A67" w:rsidP="00DF2A67"/>
    <w:p w14:paraId="5591796B" w14:textId="4C8EA0A7" w:rsidR="00DF2A67" w:rsidRDefault="00237727" w:rsidP="00DF2A67">
      <w:r>
        <w:t>Ως εκ τούτου, καθώς οι</w:t>
      </w:r>
      <w:r w:rsidR="00DF2A67">
        <w:t xml:space="preserve"> ευρωπαϊκές δικαιοδοσίες φιλοξενούν μερικά από τα σημαντικ</w:t>
      </w:r>
      <w:r w:rsidR="009D23E8">
        <w:t>ότερα</w:t>
      </w:r>
      <w:r w:rsidR="00DF2A67">
        <w:t xml:space="preserve"> </w:t>
      </w:r>
      <w:proofErr w:type="spellStart"/>
      <w:r w:rsidR="00DF2A67">
        <w:t>υπεράκτια</w:t>
      </w:r>
      <w:proofErr w:type="spellEnd"/>
      <w:r w:rsidR="00DF2A67">
        <w:t xml:space="preserve"> φορολογικά καθεστώτα στον κόσμο</w:t>
      </w:r>
      <w:r>
        <w:t>, τ</w:t>
      </w:r>
      <w:r w:rsidR="00DF2A67">
        <w:t xml:space="preserve">α τελευταία χρόνια, υπήρξε μια σημαντική αλλαγή πολιτικής προς μεγαλύτερη διαφάνεια και ανταλλαγή πληροφοριών, με στόχο την αντιμετώπιση ανησυχιών σχετικά με τη </w:t>
      </w:r>
      <w:proofErr w:type="spellStart"/>
      <w:r w:rsidR="00DF2A67">
        <w:t>φοροαποφυγή</w:t>
      </w:r>
      <w:proofErr w:type="spellEnd"/>
      <w:r w:rsidR="00DF2A67">
        <w:t xml:space="preserve"> και τη φοροδιαφυγή (</w:t>
      </w:r>
      <w:proofErr w:type="spellStart"/>
      <w:r w:rsidR="00DF2A67">
        <w:t>Johannesen</w:t>
      </w:r>
      <w:proofErr w:type="spellEnd"/>
      <w:r w:rsidR="00DF2A67">
        <w:t xml:space="preserve"> &amp; </w:t>
      </w:r>
      <w:proofErr w:type="spellStart"/>
      <w:r w:rsidR="00DF2A67">
        <w:t>Zucman</w:t>
      </w:r>
      <w:proofErr w:type="spellEnd"/>
      <w:r w:rsidR="00DF2A67">
        <w:t>, 2014).</w:t>
      </w:r>
    </w:p>
    <w:p w14:paraId="48EBE0B4" w14:textId="77777777" w:rsidR="00DF2A67" w:rsidRDefault="00DF2A67" w:rsidP="00DF2A67"/>
    <w:p w14:paraId="1C182346" w14:textId="046971D0" w:rsidR="00DF2A67" w:rsidRDefault="00DF2A67" w:rsidP="00DF2A67">
      <w:r>
        <w:t xml:space="preserve">Αυτή η μετάβαση </w:t>
      </w:r>
      <w:r w:rsidR="00237727">
        <w:t>αποτέλεσε</w:t>
      </w:r>
      <w:r w:rsidR="009D23E8">
        <w:t xml:space="preserve"> την</w:t>
      </w:r>
      <w:r>
        <w:t xml:space="preserve"> επιτομή στην περίπτωση της Κύπρου. Ως νέο μέλος </w:t>
      </w:r>
      <w:r w:rsidR="001832F7">
        <w:t xml:space="preserve">της </w:t>
      </w:r>
      <w:proofErr w:type="spellStart"/>
      <w:r w:rsidR="001832F7">
        <w:t>Ευροπαικής</w:t>
      </w:r>
      <w:proofErr w:type="spellEnd"/>
      <w:r w:rsidR="001832F7">
        <w:t xml:space="preserve"> Ένωσης (ΕΕ)</w:t>
      </w:r>
      <w:r>
        <w:t xml:space="preserve">, η Κύπρος χρειάστηκε να περιηγηθεί στην περίπλοκη δυναμική της διατήρησης ενός ελκυστικού επιχειρηματικού περιβάλλοντος μέσω δημοσιονομικών κινήτρων, ενώ </w:t>
      </w:r>
      <w:r w:rsidR="009D23E8">
        <w:t xml:space="preserve">ταυτόχρονα </w:t>
      </w:r>
      <w:r w:rsidR="00237727">
        <w:t xml:space="preserve">να </w:t>
      </w:r>
      <w:r>
        <w:t>συμμορφώνεται με τους αυστηρούς κανονισμούς της ΕΕ</w:t>
      </w:r>
      <w:r w:rsidR="001832F7">
        <w:rPr>
          <w:rStyle w:val="a6"/>
        </w:rPr>
        <w:footnoteReference w:id="3"/>
      </w:r>
      <w:r>
        <w:t xml:space="preserve"> κατά των επιβλαβών φορολογικών πρακτικών (</w:t>
      </w:r>
      <w:r w:rsidR="00AA20C8" w:rsidRPr="00F63DD5">
        <w:rPr>
          <w:lang w:val="en-US"/>
        </w:rPr>
        <w:t>Picciotto</w:t>
      </w:r>
      <w:r>
        <w:t>, 201</w:t>
      </w:r>
      <w:r w:rsidR="00AA20C8">
        <w:t>3</w:t>
      </w:r>
      <w:r>
        <w:t>).</w:t>
      </w:r>
      <w:r w:rsidR="00237727">
        <w:t xml:space="preserve"> Η</w:t>
      </w:r>
      <w:r>
        <w:t xml:space="preserve"> </w:t>
      </w:r>
      <w:r w:rsidR="00237727">
        <w:t>σ</w:t>
      </w:r>
      <w:r w:rsidR="00237727" w:rsidRPr="00237727">
        <w:t>ύμβ</w:t>
      </w:r>
      <w:r w:rsidR="00237727">
        <w:t xml:space="preserve">αση </w:t>
      </w:r>
      <w:r w:rsidR="00237727" w:rsidRPr="00237727">
        <w:t>αποφυγής διπλής φορολογίας</w:t>
      </w:r>
      <w:r w:rsidR="00237727" w:rsidRPr="00237727">
        <w:t xml:space="preserve"> </w:t>
      </w:r>
      <w:r>
        <w:t>που συνήψε η Κύπρος με άλλες χώρες</w:t>
      </w:r>
      <w:r w:rsidR="00237727">
        <w:t xml:space="preserve">, σαφώς </w:t>
      </w:r>
      <w:r>
        <w:t xml:space="preserve">επιτρέπει στις εταιρείες να μειώσουν </w:t>
      </w:r>
      <w:r w:rsidR="00237727">
        <w:t>νόμιμα</w:t>
      </w:r>
      <w:r>
        <w:t xml:space="preserve"> τις φορολογικές τους </w:t>
      </w:r>
      <w:r>
        <w:lastRenderedPageBreak/>
        <w:t xml:space="preserve">επιβαρύνσεις, οδηγώντας </w:t>
      </w:r>
      <w:r w:rsidR="00237727">
        <w:t xml:space="preserve">ωστόσο </w:t>
      </w:r>
      <w:r>
        <w:t>σε αμφιλεγόμενες συζητήσεις σχετικά με τις ηθικές πτυχές τέτοιων πρακτικών.</w:t>
      </w:r>
    </w:p>
    <w:p w14:paraId="650DEBA6" w14:textId="77777777" w:rsidR="00DF2A67" w:rsidRPr="004D3512" w:rsidRDefault="00DF2A67" w:rsidP="00DF2A67">
      <w:pPr>
        <w:rPr>
          <w:lang w:val="en-US"/>
        </w:rPr>
      </w:pPr>
    </w:p>
    <w:p w14:paraId="35F8199C" w14:textId="275C94F7" w:rsidR="008409FF" w:rsidRDefault="00DF2A67" w:rsidP="00DF2A67">
      <w:r>
        <w:t xml:space="preserve">Η εξέταση του ρυθμιστικού πλαισίου, των δημοσιονομικών κινήτρων και των </w:t>
      </w:r>
      <w:proofErr w:type="spellStart"/>
      <w:r>
        <w:t>υπεράκτιων</w:t>
      </w:r>
      <w:proofErr w:type="spellEnd"/>
      <w:r>
        <w:t xml:space="preserve"> καθεστώτων στο ευρωπαϊκό πλαίσιο, ιδιαίτερα στην Κύπρο, προσφέρει έναν μοναδικό φακό για τη διερεύνηση της δημιουργικής λογιστικής στον εταιρικό φορολογικό σχεδιασμό. </w:t>
      </w:r>
      <w:r w:rsidR="0050381E">
        <w:t>Ε</w:t>
      </w:r>
      <w:r w:rsidR="0050381E">
        <w:t xml:space="preserve">ίναι πρόδηλο ότι </w:t>
      </w:r>
      <w:r w:rsidR="0050381E">
        <w:t>μ</w:t>
      </w:r>
      <w:r>
        <w:t>ια τέτοια ανάλυση παρέχει πληροφορίες για την πολυπλοκότητα του διεθνούς φορολογικού δικαίου, τη λήψη εταιρικών αποφάσεων και τις ηθικές συνέπειες των νομικών αλλά αμφιλεγόμενων στρατηγικών φορολογικού σχεδιασμού.</w:t>
      </w:r>
    </w:p>
    <w:p w14:paraId="3A3F2201" w14:textId="77777777" w:rsidR="004D3512" w:rsidRDefault="004D3512" w:rsidP="00DF2A67"/>
    <w:p w14:paraId="753CAD2C" w14:textId="77777777" w:rsidR="004D3512" w:rsidRDefault="004D3512" w:rsidP="004D3512">
      <w:r>
        <w:t>1.2 Σκεπτικό της Μελέτης</w:t>
      </w:r>
    </w:p>
    <w:p w14:paraId="33CC78C1" w14:textId="2C87270C" w:rsidR="004D3512" w:rsidRDefault="004D3512" w:rsidP="004D3512">
      <w:r>
        <w:t xml:space="preserve">Η πρακτική της δημιουργικής λογιστικής στον εταιρικό φορολογικό σχεδιασμό έχει αποτελέσει αντικείμενο συνεχούς συζήτησης, πυροδοτώντας διαμάχες γύρω από </w:t>
      </w:r>
      <w:r w:rsidR="00041C36">
        <w:t xml:space="preserve">τις </w:t>
      </w:r>
      <w:r>
        <w:t xml:space="preserve">ηθικές, νομικές και οικονομικές επιπτώσεις. </w:t>
      </w:r>
      <w:r w:rsidR="00041C36">
        <w:t>Μολονότι</w:t>
      </w:r>
      <w:r>
        <w:t xml:space="preserve"> η χρήση </w:t>
      </w:r>
      <w:proofErr w:type="spellStart"/>
      <w:r>
        <w:t>υπεράκτιων</w:t>
      </w:r>
      <w:proofErr w:type="spellEnd"/>
      <w:r>
        <w:t xml:space="preserve"> καθεστώτων δεν είναι παράνομη, συχνά θέτει ηθικά ερωτήματα σχετικά με τις κοινωνικές ευθύνες των εταιρειών, ιδιαίτερα όταν </w:t>
      </w:r>
      <w:r w:rsidR="00041C36">
        <w:t>συνεπάγεται με</w:t>
      </w:r>
      <w:r>
        <w:t xml:space="preserve"> σημαντικές απώλειες φορολογικών εσόδων για τις χώρες (</w:t>
      </w:r>
      <w:proofErr w:type="spellStart"/>
      <w:r>
        <w:t>Sikka</w:t>
      </w:r>
      <w:proofErr w:type="spellEnd"/>
      <w:r>
        <w:t>, 2010).</w:t>
      </w:r>
    </w:p>
    <w:p w14:paraId="4641630C" w14:textId="77777777" w:rsidR="004D3512" w:rsidRDefault="004D3512" w:rsidP="004D3512"/>
    <w:p w14:paraId="5581A284" w14:textId="01B37E02" w:rsidR="004D3512" w:rsidRDefault="004D3512" w:rsidP="004D3512">
      <w:r>
        <w:t xml:space="preserve">Οι ευρωπαϊκές δικαιοδοσίες, ιδιαίτερα η Κύπρος, προσφέρουν μια ενδιαφέρουσα μελέτη περίπτωσης για τη διερεύνηση αυτών των θεμάτων. Η συνθήκη </w:t>
      </w:r>
      <w:r w:rsidR="0050303F">
        <w:t xml:space="preserve">αποφυγής </w:t>
      </w:r>
      <w:r>
        <w:t>διπλής φορολογίας της Κύπρου και η ένταξή της στην ΕΕ παρέχουν ένα μοναδικό τοπίο για την κατανόηση του αντίκτυπου των φορολογικών πολιτικών και κανονισμών στις συμπεριφορές των εταιρειών (</w:t>
      </w:r>
      <w:proofErr w:type="spellStart"/>
      <w:r>
        <w:t>Christofides</w:t>
      </w:r>
      <w:proofErr w:type="spellEnd"/>
      <w:r>
        <w:t xml:space="preserve">, </w:t>
      </w:r>
      <w:r w:rsidR="0001603C">
        <w:rPr>
          <w:lang w:val="en-US"/>
        </w:rPr>
        <w:t>et</w:t>
      </w:r>
      <w:r w:rsidR="0001603C" w:rsidRPr="0001603C">
        <w:t xml:space="preserve">. </w:t>
      </w:r>
      <w:r w:rsidR="0001603C">
        <w:rPr>
          <w:lang w:val="en-US"/>
        </w:rPr>
        <w:t>al</w:t>
      </w:r>
      <w:r w:rsidR="0001603C" w:rsidRPr="0001603C">
        <w:t xml:space="preserve">., </w:t>
      </w:r>
      <w:r>
        <w:t>20</w:t>
      </w:r>
      <w:r w:rsidR="0050303F">
        <w:t>15</w:t>
      </w:r>
      <w:r>
        <w:t>). Επιπλέον, η περίπτωση της Κύπρου υπογραμμίζει το παγκόσμιο ζήτημα της εξισορρόπησης της ανάγκης για ανταγωνιστικά φορολογικά περιβάλλοντα έναντι του κινδύνου επιβλαβών φορολογικών πρακτικών.</w:t>
      </w:r>
    </w:p>
    <w:p w14:paraId="69449604" w14:textId="77777777" w:rsidR="004D3512" w:rsidRDefault="004D3512" w:rsidP="004D3512"/>
    <w:p w14:paraId="10FB16C5" w14:textId="073BFF28" w:rsidR="004D3512" w:rsidRDefault="004D3512" w:rsidP="004D3512">
      <w:r>
        <w:t xml:space="preserve">Υπό το πρίσμα αυτών των εκτιμήσεων, η παρούσα μελέτη στοχεύει να παρέχει μια ολοκληρωμένη ανάλυση της γκρίζας ζώνης του </w:t>
      </w:r>
      <w:proofErr w:type="spellStart"/>
      <w:r>
        <w:t>υπεράκτιου</w:t>
      </w:r>
      <w:proofErr w:type="spellEnd"/>
      <w:r>
        <w:t xml:space="preserve"> καθεστώτος, των </w:t>
      </w:r>
      <w:r>
        <w:lastRenderedPageBreak/>
        <w:t>ρυθμιστικών πλαισίων και των φορολογικών κινήτρων στις ευρωπαϊκές δικαιοδοσίες με ιδιαίτερη έμφαση στην αμφιλεγόμενη περίπτωση της Κύπρου.</w:t>
      </w:r>
    </w:p>
    <w:p w14:paraId="73E0E588" w14:textId="77777777" w:rsidR="004D3512" w:rsidRDefault="004D3512" w:rsidP="004D3512"/>
    <w:p w14:paraId="44EE96CA" w14:textId="69FAFDCD" w:rsidR="002A2D62" w:rsidRPr="002A2D62" w:rsidRDefault="002A2D62" w:rsidP="002A2D62">
      <w:r w:rsidRPr="002A2D62">
        <w:t xml:space="preserve">1.3 </w:t>
      </w:r>
      <w:r>
        <w:t>Σκοπός και Στόχος</w:t>
      </w:r>
    </w:p>
    <w:p w14:paraId="101BAB50" w14:textId="77777777" w:rsidR="002A2D62" w:rsidRPr="002A2D62" w:rsidRDefault="002A2D62" w:rsidP="002A2D62">
      <w:r w:rsidRPr="002A2D62">
        <w:t xml:space="preserve">Ο πρωταρχικός στόχος αυτής της μελέτης είναι να πραγματοποιήσει μια εκτενή ανάλυση της δημιουργικής λογιστικής στον εταιρικό φορολογικό σχεδιασμό, διερευνώντας συγκεκριμένα </w:t>
      </w:r>
      <w:proofErr w:type="spellStart"/>
      <w:r w:rsidRPr="002A2D62">
        <w:t>υπεράκτια</w:t>
      </w:r>
      <w:proofErr w:type="spellEnd"/>
      <w:r w:rsidRPr="002A2D62">
        <w:t xml:space="preserve"> καθεστώτα, ρυθμιστικά πλαίσια και φορολογικά κίνητρα εντός των ευρωπαϊκών δικαιοδοσιών. Η αμφιλεγόμενη περίπτωση της Κύπρου θα χρησιμοποιηθεί ως επίκεντρο για την εξέταση αυτών των πρακτικών σε πραγματικό πλαίσιο.</w:t>
      </w:r>
    </w:p>
    <w:p w14:paraId="1087CD12" w14:textId="77777777" w:rsidR="002A2D62" w:rsidRPr="002A2D62" w:rsidRDefault="002A2D62" w:rsidP="002A2D62"/>
    <w:p w14:paraId="44D2D713" w14:textId="77777777" w:rsidR="002A2D62" w:rsidRPr="002A2D62" w:rsidRDefault="002A2D62" w:rsidP="002A2D62">
      <w:r w:rsidRPr="002A2D62">
        <w:t>Ειδικοί στόχοι της μελέτης είναι:</w:t>
      </w:r>
    </w:p>
    <w:p w14:paraId="6791BBD5" w14:textId="77777777" w:rsidR="002A2D62" w:rsidRPr="002A2D62" w:rsidRDefault="002A2D62" w:rsidP="002A2D62"/>
    <w:p w14:paraId="5CDFC29A" w14:textId="42F641CB" w:rsidR="002A2D62" w:rsidRDefault="00041C36" w:rsidP="00041C36">
      <w:pPr>
        <w:pStyle w:val="a4"/>
        <w:numPr>
          <w:ilvl w:val="0"/>
          <w:numId w:val="2"/>
        </w:numPr>
      </w:pPr>
      <w:r>
        <w:t>Η</w:t>
      </w:r>
      <w:r w:rsidR="002A2D62" w:rsidRPr="002A2D62">
        <w:t xml:space="preserve"> </w:t>
      </w:r>
      <w:r w:rsidRPr="002A2D62">
        <w:t>κατανόησ</w:t>
      </w:r>
      <w:r>
        <w:t>η</w:t>
      </w:r>
      <w:r w:rsidR="002A2D62" w:rsidRPr="002A2D62">
        <w:t xml:space="preserve"> </w:t>
      </w:r>
      <w:r>
        <w:t xml:space="preserve">της </w:t>
      </w:r>
      <w:r w:rsidR="002A2D62" w:rsidRPr="002A2D62">
        <w:t>έννοια</w:t>
      </w:r>
      <w:r>
        <w:t>ς</w:t>
      </w:r>
      <w:r w:rsidR="002A2D62" w:rsidRPr="002A2D62">
        <w:t xml:space="preserve"> και τη</w:t>
      </w:r>
      <w:r>
        <w:t>ς</w:t>
      </w:r>
      <w:r w:rsidR="002A2D62" w:rsidRPr="002A2D62">
        <w:t xml:space="preserve"> εφαρμογή</w:t>
      </w:r>
      <w:r>
        <w:t>ς</w:t>
      </w:r>
      <w:r w:rsidR="002A2D62" w:rsidRPr="002A2D62">
        <w:t xml:space="preserve"> της δημιουργικής λογιστικής στον φορολογικό σχεδιασμό επιχειρήσεων.</w:t>
      </w:r>
    </w:p>
    <w:p w14:paraId="739E5D7F" w14:textId="77777777" w:rsidR="00041C36" w:rsidRPr="002A2D62" w:rsidRDefault="00041C36" w:rsidP="00041C36">
      <w:pPr>
        <w:pStyle w:val="a4"/>
      </w:pPr>
    </w:p>
    <w:p w14:paraId="0F398130" w14:textId="262804DE" w:rsidR="002A2D62" w:rsidRDefault="00041C36" w:rsidP="00041C36">
      <w:pPr>
        <w:pStyle w:val="a4"/>
        <w:numPr>
          <w:ilvl w:val="0"/>
          <w:numId w:val="2"/>
        </w:numPr>
      </w:pPr>
      <w:r>
        <w:t>Η εξέταση</w:t>
      </w:r>
      <w:r w:rsidR="002A2D62" w:rsidRPr="002A2D62">
        <w:t xml:space="preserve"> τη</w:t>
      </w:r>
      <w:r>
        <w:t>ς</w:t>
      </w:r>
      <w:r w:rsidR="002A2D62" w:rsidRPr="002A2D62">
        <w:t xml:space="preserve"> γκρίζα</w:t>
      </w:r>
      <w:r>
        <w:t>ς</w:t>
      </w:r>
      <w:r w:rsidR="002A2D62" w:rsidRPr="002A2D62">
        <w:t xml:space="preserve"> ζώνη</w:t>
      </w:r>
      <w:r>
        <w:t>ς</w:t>
      </w:r>
      <w:r w:rsidR="002A2D62" w:rsidRPr="002A2D62">
        <w:t xml:space="preserve"> των </w:t>
      </w:r>
      <w:proofErr w:type="spellStart"/>
      <w:r w:rsidR="002A2D62" w:rsidRPr="002A2D62">
        <w:t>υπεράκτιων</w:t>
      </w:r>
      <w:proofErr w:type="spellEnd"/>
      <w:r w:rsidR="002A2D62" w:rsidRPr="002A2D62">
        <w:t xml:space="preserve"> καθεστώτων, των ρυθμιστικών πλαισίων και των φορολογικών κινήτρων στις ευρωπαϊκές δικαιοδοσίες.</w:t>
      </w:r>
    </w:p>
    <w:p w14:paraId="6093FBA7" w14:textId="77777777" w:rsidR="00041C36" w:rsidRPr="002A2D62" w:rsidRDefault="00041C36" w:rsidP="00041C36">
      <w:pPr>
        <w:pStyle w:val="a4"/>
      </w:pPr>
    </w:p>
    <w:p w14:paraId="2C1DCFDA" w14:textId="2C9A1CBC" w:rsidR="002A2D62" w:rsidRDefault="00041C36" w:rsidP="00041C36">
      <w:pPr>
        <w:pStyle w:val="a4"/>
        <w:numPr>
          <w:ilvl w:val="0"/>
          <w:numId w:val="2"/>
        </w:numPr>
      </w:pPr>
      <w:r>
        <w:t>Η δ</w:t>
      </w:r>
      <w:r w:rsidR="002A2D62" w:rsidRPr="002A2D62">
        <w:t xml:space="preserve">ιερεύνηση του αντίκτυπου της ένταξης της Κύπρου στην ΕΕ και της συνθήκης </w:t>
      </w:r>
      <w:r>
        <w:t>αποφυγής</w:t>
      </w:r>
      <w:r w:rsidR="002A2D62" w:rsidRPr="002A2D62">
        <w:t xml:space="preserve"> διπλή</w:t>
      </w:r>
      <w:r>
        <w:t>ς</w:t>
      </w:r>
      <w:r w:rsidR="002A2D62" w:rsidRPr="002A2D62">
        <w:t xml:space="preserve"> φορολογία</w:t>
      </w:r>
      <w:r>
        <w:t>ς</w:t>
      </w:r>
      <w:r w:rsidR="002A2D62" w:rsidRPr="002A2D62">
        <w:t xml:space="preserve"> στις στρατηγικές φορολογικού σχεδιασμού των επιχειρήσεων.</w:t>
      </w:r>
    </w:p>
    <w:p w14:paraId="1B887381" w14:textId="77777777" w:rsidR="00041C36" w:rsidRPr="002A2D62" w:rsidRDefault="00041C36" w:rsidP="00041C36">
      <w:pPr>
        <w:pStyle w:val="a4"/>
      </w:pPr>
    </w:p>
    <w:p w14:paraId="0EBBA7A1" w14:textId="2F7D5E11" w:rsidR="002A2D62" w:rsidRPr="002A2D62" w:rsidRDefault="00041C36" w:rsidP="00041C36">
      <w:pPr>
        <w:pStyle w:val="a4"/>
        <w:numPr>
          <w:ilvl w:val="0"/>
          <w:numId w:val="2"/>
        </w:numPr>
      </w:pPr>
      <w:r>
        <w:t>Η</w:t>
      </w:r>
      <w:r w:rsidR="002A2D62" w:rsidRPr="002A2D62">
        <w:t xml:space="preserve"> αξιολ</w:t>
      </w:r>
      <w:r>
        <w:t>όγηση</w:t>
      </w:r>
      <w:r w:rsidR="002A2D62" w:rsidRPr="002A2D62">
        <w:t xml:space="preserve"> τ</w:t>
      </w:r>
      <w:r>
        <w:t>ων</w:t>
      </w:r>
      <w:r w:rsidR="002A2D62" w:rsidRPr="002A2D62">
        <w:t xml:space="preserve"> ηθικ</w:t>
      </w:r>
      <w:r>
        <w:t>ών</w:t>
      </w:r>
      <w:r w:rsidR="002A2D62" w:rsidRPr="002A2D62">
        <w:t xml:space="preserve"> επιπτώσε</w:t>
      </w:r>
      <w:r>
        <w:t>ων</w:t>
      </w:r>
      <w:r w:rsidR="002A2D62" w:rsidRPr="002A2D62">
        <w:t xml:space="preserve"> των δημιουργικών λογιστικών πρακτικών στο πλαίσιο του εταιρικού φορολογικού σχεδιασμού.</w:t>
      </w:r>
    </w:p>
    <w:p w14:paraId="501A7F43" w14:textId="77777777" w:rsidR="002A2D62" w:rsidRDefault="002A2D62" w:rsidP="002A2D62"/>
    <w:p w14:paraId="040EABA5" w14:textId="77777777" w:rsidR="00250A4A" w:rsidRDefault="00250A4A" w:rsidP="002A2D62"/>
    <w:p w14:paraId="1DA9C1ED" w14:textId="77777777" w:rsidR="00250A4A" w:rsidRDefault="00250A4A" w:rsidP="002A2D62"/>
    <w:p w14:paraId="431FFFD9" w14:textId="77777777" w:rsidR="00250A4A" w:rsidRPr="002A2D62" w:rsidRDefault="00250A4A" w:rsidP="002A2D62"/>
    <w:p w14:paraId="23911AE3" w14:textId="77777777" w:rsidR="002A2D62" w:rsidRDefault="002A2D62" w:rsidP="002A2D62">
      <w:r w:rsidRPr="002A2D62">
        <w:lastRenderedPageBreak/>
        <w:t>1.4 Ερευνητικά Ερωτήματα</w:t>
      </w:r>
    </w:p>
    <w:p w14:paraId="4E0BC1F0" w14:textId="77777777" w:rsidR="0050303F" w:rsidRPr="002A2D62" w:rsidRDefault="0050303F" w:rsidP="002A2D62"/>
    <w:p w14:paraId="10C13F60" w14:textId="778E8C3D" w:rsidR="002A2D62" w:rsidRPr="002A2D62" w:rsidRDefault="002A2D62" w:rsidP="002A2D62">
      <w:r w:rsidRPr="002A2D62">
        <w:t>Με γνώμονα τους στόχους της μελέτης, η έρευνα θα επιδιώξει να απαντήσει στα ακόλουθα ερωτήματα:</w:t>
      </w:r>
    </w:p>
    <w:p w14:paraId="60A8EF3C" w14:textId="77777777" w:rsidR="002A2D62" w:rsidRPr="002A2D62" w:rsidRDefault="002A2D62" w:rsidP="002A2D62"/>
    <w:p w14:paraId="4BEEB4D3" w14:textId="59384FA5" w:rsidR="002A2D62" w:rsidRDefault="002A2D62" w:rsidP="00041C36">
      <w:pPr>
        <w:pStyle w:val="a4"/>
        <w:numPr>
          <w:ilvl w:val="0"/>
          <w:numId w:val="2"/>
        </w:numPr>
      </w:pPr>
      <w:r w:rsidRPr="002A2D62">
        <w:t>Πώς η δημιουργική λογιστική συμβάλλει στις στρατηγικές εταιρικού φορολογικού σχεδιασμού;</w:t>
      </w:r>
    </w:p>
    <w:p w14:paraId="62629FCC" w14:textId="77777777" w:rsidR="00041C36" w:rsidRPr="002A2D62" w:rsidRDefault="00041C36" w:rsidP="00041C36">
      <w:pPr>
        <w:pStyle w:val="a4"/>
      </w:pPr>
    </w:p>
    <w:p w14:paraId="1B4AEDDB" w14:textId="2687EEBB" w:rsidR="00041C36" w:rsidRDefault="002A2D62" w:rsidP="00041C36">
      <w:pPr>
        <w:pStyle w:val="a4"/>
        <w:numPr>
          <w:ilvl w:val="0"/>
          <w:numId w:val="2"/>
        </w:numPr>
      </w:pPr>
      <w:r w:rsidRPr="002A2D62">
        <w:t xml:space="preserve">Τι ρόλο παίζουν τα </w:t>
      </w:r>
      <w:proofErr w:type="spellStart"/>
      <w:r w:rsidRPr="002A2D62">
        <w:t>υπεράκτια</w:t>
      </w:r>
      <w:proofErr w:type="spellEnd"/>
      <w:r w:rsidRPr="002A2D62">
        <w:t xml:space="preserve"> καθεστώτα, τα ρυθμιστικά πλαίσια και τα φορολογικά κίνητρα στις δημιουργικές λογιστικές πρακτικές εντός των ευρωπαϊκών δικαιοδοσιών;</w:t>
      </w:r>
    </w:p>
    <w:p w14:paraId="488E6F26" w14:textId="77777777" w:rsidR="00041C36" w:rsidRPr="002A2D62" w:rsidRDefault="00041C36" w:rsidP="00041C36">
      <w:pPr>
        <w:pStyle w:val="a4"/>
      </w:pPr>
    </w:p>
    <w:p w14:paraId="3C381EFC" w14:textId="1F088C10" w:rsidR="002A2D62" w:rsidRDefault="002A2D62" w:rsidP="00041C36">
      <w:pPr>
        <w:pStyle w:val="a4"/>
        <w:numPr>
          <w:ilvl w:val="0"/>
          <w:numId w:val="2"/>
        </w:numPr>
      </w:pPr>
      <w:r w:rsidRPr="002A2D62">
        <w:t xml:space="preserve">Πώς η ένταξη της Κύπρου στην ΕΕ και η συνθήκη της για </w:t>
      </w:r>
      <w:r w:rsidR="00041C36">
        <w:t>αποφυγή</w:t>
      </w:r>
      <w:r w:rsidRPr="002A2D62">
        <w:t xml:space="preserve"> διπλή</w:t>
      </w:r>
      <w:r w:rsidR="00041C36">
        <w:t>ς</w:t>
      </w:r>
      <w:r w:rsidRPr="002A2D62">
        <w:t xml:space="preserve"> φορολογία</w:t>
      </w:r>
      <w:r w:rsidR="00041C36">
        <w:t>ς</w:t>
      </w:r>
      <w:r w:rsidRPr="002A2D62">
        <w:t xml:space="preserve"> επηρέασαν τις στρατηγικές εταιρικού φορολογικού σχεδιασμού;</w:t>
      </w:r>
    </w:p>
    <w:p w14:paraId="4FC8F921" w14:textId="77777777" w:rsidR="00041C36" w:rsidRPr="002A2D62" w:rsidRDefault="00041C36" w:rsidP="00041C36">
      <w:pPr>
        <w:pStyle w:val="a4"/>
      </w:pPr>
    </w:p>
    <w:p w14:paraId="47751D44" w14:textId="7CFCD6C1" w:rsidR="004D3512" w:rsidRDefault="002A2D62" w:rsidP="00041C36">
      <w:pPr>
        <w:pStyle w:val="a4"/>
        <w:numPr>
          <w:ilvl w:val="0"/>
          <w:numId w:val="2"/>
        </w:numPr>
      </w:pPr>
      <w:r w:rsidRPr="002A2D62">
        <w:t>Ποιες είναι οι ηθικές επιπτώσεις των δημιουργικών λογιστικών πρακτικών στο πλαίσιο του εταιρικού φορολογικού σχεδιασμού, ιδιαίτερα στην περίπτωση της Κύπρου;</w:t>
      </w:r>
    </w:p>
    <w:p w14:paraId="7175A705" w14:textId="77777777" w:rsidR="0050303F" w:rsidRDefault="0050303F" w:rsidP="0050303F">
      <w:pPr>
        <w:pStyle w:val="a4"/>
      </w:pPr>
    </w:p>
    <w:p w14:paraId="765C9CA6" w14:textId="77777777" w:rsidR="00157BFE" w:rsidRDefault="00157BFE" w:rsidP="0050303F"/>
    <w:p w14:paraId="71A3F0BB" w14:textId="5D49A579" w:rsidR="00157BFE" w:rsidRDefault="00157BFE" w:rsidP="00157BFE">
      <w:r>
        <w:t>Κεφάλαιο 2:</w:t>
      </w:r>
      <w:r>
        <w:t xml:space="preserve"> </w:t>
      </w:r>
      <w:r>
        <w:t>Μεθοδολογία Έρευνας</w:t>
      </w:r>
    </w:p>
    <w:p w14:paraId="4785DD74" w14:textId="77777777" w:rsidR="00157BFE" w:rsidRDefault="00157BFE" w:rsidP="00157BFE"/>
    <w:p w14:paraId="395720DB" w14:textId="170B4B1A" w:rsidR="00157BFE" w:rsidRDefault="00337BA6" w:rsidP="00157BFE">
      <w:r>
        <w:t>2</w:t>
      </w:r>
      <w:r w:rsidR="00157BFE">
        <w:t>.1 Φιλοσοφία Έρευνας</w:t>
      </w:r>
    </w:p>
    <w:p w14:paraId="5E945330" w14:textId="4D6E2317" w:rsidR="00157BFE" w:rsidRDefault="00337BA6" w:rsidP="00157BFE">
      <w:r>
        <w:t>2</w:t>
      </w:r>
      <w:r w:rsidR="00157BFE">
        <w:t>.2 Σχεδιασμός Έρευνας</w:t>
      </w:r>
    </w:p>
    <w:p w14:paraId="7B484C46" w14:textId="158110DA" w:rsidR="00157BFE" w:rsidRDefault="00337BA6" w:rsidP="00157BFE">
      <w:r>
        <w:t>2</w:t>
      </w:r>
      <w:r w:rsidR="00157BFE">
        <w:t>.3 Συλλογή δευτερ</w:t>
      </w:r>
      <w:r w:rsidR="0050381E">
        <w:t>ογενών</w:t>
      </w:r>
      <w:r w:rsidR="00157BFE">
        <w:t xml:space="preserve"> δεδομένων</w:t>
      </w:r>
    </w:p>
    <w:p w14:paraId="1FA31297" w14:textId="55E89E0C" w:rsidR="00157BFE" w:rsidRDefault="00337BA6" w:rsidP="00157BFE">
      <w:r>
        <w:t>2</w:t>
      </w:r>
      <w:r w:rsidR="00157BFE">
        <w:t>.4 Ανάλυση Δεδομένων</w:t>
      </w:r>
    </w:p>
    <w:p w14:paraId="4E0CF9C1" w14:textId="2E7D1064" w:rsidR="00157BFE" w:rsidRDefault="00337BA6" w:rsidP="00157BFE">
      <w:r>
        <w:t>2</w:t>
      </w:r>
      <w:r w:rsidR="00157BFE">
        <w:t>.5 Περιορισμοί και ηθικά ζητήματα</w:t>
      </w:r>
    </w:p>
    <w:p w14:paraId="3BEBB886" w14:textId="62D64537" w:rsidR="00157BFE" w:rsidRDefault="00157BFE" w:rsidP="00157BFE"/>
    <w:p w14:paraId="3342BA68" w14:textId="77777777" w:rsidR="00157BFE" w:rsidRDefault="00157BFE" w:rsidP="00157BFE"/>
    <w:p w14:paraId="4BCB4096" w14:textId="77777777" w:rsidR="00250A4A" w:rsidRDefault="00250A4A" w:rsidP="00157BFE"/>
    <w:p w14:paraId="2ADB840A" w14:textId="7959FCF9" w:rsidR="00157BFE" w:rsidRDefault="00157BFE" w:rsidP="00157BFE">
      <w:r>
        <w:t xml:space="preserve">Κεφάλαιο 3:  </w:t>
      </w:r>
      <w:r>
        <w:t xml:space="preserve">Βιβλιογραφική Ανασκόπηση </w:t>
      </w:r>
    </w:p>
    <w:p w14:paraId="42654B39" w14:textId="05525CEA" w:rsidR="00157BFE" w:rsidRDefault="00337BA6" w:rsidP="00157BFE">
      <w:r>
        <w:t>3</w:t>
      </w:r>
      <w:r w:rsidR="00157BFE">
        <w:t>.1 Δημιουργική Λογιστική και Εταιρικός Φορολογικός Σχεδιασμός</w:t>
      </w:r>
    </w:p>
    <w:p w14:paraId="4303B082" w14:textId="31645F84" w:rsidR="00157BFE" w:rsidRDefault="00337BA6" w:rsidP="00157BFE">
      <w:r>
        <w:t>3</w:t>
      </w:r>
      <w:r w:rsidR="00157BFE">
        <w:t xml:space="preserve">.2 </w:t>
      </w:r>
      <w:proofErr w:type="spellStart"/>
      <w:r w:rsidR="00157BFE">
        <w:t>Υπεράκτια</w:t>
      </w:r>
      <w:proofErr w:type="spellEnd"/>
      <w:r w:rsidR="00157BFE">
        <w:t xml:space="preserve"> καθεστώτα: Μια επισκόπηση</w:t>
      </w:r>
    </w:p>
    <w:p w14:paraId="7F974D27" w14:textId="25C9222A" w:rsidR="00157BFE" w:rsidRDefault="00337BA6" w:rsidP="00157BFE">
      <w:r>
        <w:t>3</w:t>
      </w:r>
      <w:r w:rsidR="00157BFE">
        <w:t>.3 Ρυθμιστικά Πλαίσια και Δημοσιονομικά Κίνητρα στην Ευρώπη</w:t>
      </w:r>
    </w:p>
    <w:p w14:paraId="6A77E0E1" w14:textId="0CCCC03D" w:rsidR="00157BFE" w:rsidRDefault="00337BA6" w:rsidP="00157BFE">
      <w:r>
        <w:t>3</w:t>
      </w:r>
      <w:r w:rsidR="00157BFE">
        <w:t>.4 Η περίπτωση της Κύπρου</w:t>
      </w:r>
    </w:p>
    <w:p w14:paraId="3130F5D8" w14:textId="77777777" w:rsidR="00157BFE" w:rsidRDefault="00157BFE" w:rsidP="00157BFE"/>
    <w:p w14:paraId="1DB6FEBE" w14:textId="77777777" w:rsidR="00157BFE" w:rsidRDefault="00157BFE" w:rsidP="00157BFE">
      <w:r>
        <w:t>Κεφάλαιο 4: Ανάλυση δεδομένων και ευρήματα</w:t>
      </w:r>
    </w:p>
    <w:p w14:paraId="62EFFE37" w14:textId="77777777" w:rsidR="0050381E" w:rsidRDefault="0050381E" w:rsidP="00157BFE"/>
    <w:p w14:paraId="105782FD" w14:textId="16D0CD0A" w:rsidR="00157BFE" w:rsidRDefault="00157BFE" w:rsidP="00157BFE">
      <w:r>
        <w:t>4.1 Πρακτικές Δημιουργι</w:t>
      </w:r>
      <w:r w:rsidR="0001603C">
        <w:t>κής</w:t>
      </w:r>
      <w:r>
        <w:t xml:space="preserve"> Λογιστικ</w:t>
      </w:r>
      <w:r w:rsidR="0001603C">
        <w:t>ής</w:t>
      </w:r>
      <w:r>
        <w:t xml:space="preserve"> και Φορολογικού Σχεδιασμού</w:t>
      </w:r>
    </w:p>
    <w:p w14:paraId="0848CDB9" w14:textId="77777777" w:rsidR="00157BFE" w:rsidRDefault="00157BFE" w:rsidP="00157BFE">
      <w:r>
        <w:t xml:space="preserve">4.2 Ανάλυση </w:t>
      </w:r>
      <w:proofErr w:type="spellStart"/>
      <w:r>
        <w:t>υπεράκτιων</w:t>
      </w:r>
      <w:proofErr w:type="spellEnd"/>
      <w:r>
        <w:t xml:space="preserve"> καθεστώτων στις ευρωπαϊκές δικαιοδοσίες</w:t>
      </w:r>
    </w:p>
    <w:p w14:paraId="6C08F351" w14:textId="77777777" w:rsidR="00157BFE" w:rsidRDefault="00157BFE" w:rsidP="00157BFE">
      <w:r>
        <w:t>4.3 Ο ρόλος των ρυθμιστικών πλαισίων και των δημοσιονομικών κινήτρων</w:t>
      </w:r>
    </w:p>
    <w:p w14:paraId="2E6B64B6" w14:textId="77777777" w:rsidR="00157BFE" w:rsidRDefault="00157BFE" w:rsidP="00157BFE">
      <w:r>
        <w:t>4.4 Ανάλυση Περίπτωσης Κύπρου</w:t>
      </w:r>
    </w:p>
    <w:p w14:paraId="757B6D32" w14:textId="77777777" w:rsidR="0050381E" w:rsidRDefault="0050381E" w:rsidP="00157BFE"/>
    <w:p w14:paraId="69035E60" w14:textId="77777777" w:rsidR="00157BFE" w:rsidRDefault="00157BFE" w:rsidP="00157BFE">
      <w:r>
        <w:t>Κεφάλαιο 5: Συμπέρασμα και συστάσεις</w:t>
      </w:r>
    </w:p>
    <w:p w14:paraId="414874EC" w14:textId="77777777" w:rsidR="00157BFE" w:rsidRDefault="00157BFE" w:rsidP="00157BFE">
      <w:r>
        <w:t>5.1 Συμπέρασμα</w:t>
      </w:r>
    </w:p>
    <w:p w14:paraId="2DBE1D45" w14:textId="6EEAACFC" w:rsidR="0050303F" w:rsidRDefault="00157BFE" w:rsidP="00157BFE">
      <w:r>
        <w:t>5.2 Συστάσεις για μελλοντική έρευνα</w:t>
      </w:r>
      <w:r>
        <w:t xml:space="preserve"> </w:t>
      </w:r>
      <w:r w:rsidR="0050303F">
        <w:br w:type="page"/>
      </w:r>
    </w:p>
    <w:p w14:paraId="50C8B426" w14:textId="3E98C59A" w:rsidR="0050303F" w:rsidRDefault="00250A4A" w:rsidP="0050303F">
      <w:r>
        <w:lastRenderedPageBreak/>
        <w:t xml:space="preserve">6. </w:t>
      </w:r>
      <w:r w:rsidR="0050303F">
        <w:t>Βιβλιογραφία</w:t>
      </w:r>
    </w:p>
    <w:p w14:paraId="7C139769" w14:textId="77777777" w:rsidR="0050303F" w:rsidRDefault="0050303F" w:rsidP="0050303F"/>
    <w:p w14:paraId="4D46D363" w14:textId="77777777" w:rsidR="0050303F" w:rsidRDefault="0050303F" w:rsidP="0050303F">
      <w:pPr>
        <w:rPr>
          <w:lang w:val="en-US"/>
        </w:rPr>
      </w:pPr>
      <w:r w:rsidRPr="00BD3958">
        <w:rPr>
          <w:lang w:val="en-US"/>
        </w:rPr>
        <w:t xml:space="preserve">Amat, O., Blake, J., &amp; Dowds, J. (1999). The ethics of creative accounting. Economics Working Papers 446, Department of Economics and Business, </w:t>
      </w:r>
      <w:proofErr w:type="spellStart"/>
      <w:r w:rsidRPr="00BD3958">
        <w:rPr>
          <w:lang w:val="en-US"/>
        </w:rPr>
        <w:t>Universitat</w:t>
      </w:r>
      <w:proofErr w:type="spellEnd"/>
      <w:r w:rsidRPr="00BD3958">
        <w:rPr>
          <w:lang w:val="en-US"/>
        </w:rPr>
        <w:t xml:space="preserve"> Pompeu Fabra.</w:t>
      </w:r>
      <w:r w:rsidRPr="008A67B1">
        <w:rPr>
          <w:lang w:val="en-US"/>
        </w:rPr>
        <w:t xml:space="preserve"> </w:t>
      </w:r>
    </w:p>
    <w:p w14:paraId="31284E6A" w14:textId="77777777" w:rsidR="0050303F" w:rsidRDefault="0050303F" w:rsidP="0050303F">
      <w:pPr>
        <w:rPr>
          <w:lang w:val="en-US"/>
        </w:rPr>
      </w:pPr>
      <w:hyperlink r:id="rId9" w:history="1">
        <w:r w:rsidRPr="00C96F0E">
          <w:rPr>
            <w:rStyle w:val="-"/>
            <w:lang w:val="en-US"/>
          </w:rPr>
          <w:t>https://repositori.upf.edu/bitstream/handle/10230/490/349.pdf?sequence=1&amp;isAllowed=y</w:t>
        </w:r>
      </w:hyperlink>
    </w:p>
    <w:p w14:paraId="391A7330" w14:textId="77777777" w:rsidR="0050303F" w:rsidRDefault="0050303F" w:rsidP="0050303F">
      <w:pPr>
        <w:rPr>
          <w:lang w:val="en-US"/>
        </w:rPr>
      </w:pPr>
    </w:p>
    <w:p w14:paraId="67B33F02" w14:textId="77777777" w:rsidR="0050303F" w:rsidRPr="00BF4C06" w:rsidRDefault="0050303F" w:rsidP="0050303F">
      <w:pPr>
        <w:rPr>
          <w:lang w:val="es-ES"/>
        </w:rPr>
      </w:pPr>
      <w:proofErr w:type="spellStart"/>
      <w:r w:rsidRPr="00BF4C06">
        <w:rPr>
          <w:lang w:val="en-US"/>
        </w:rPr>
        <w:t>Christofides</w:t>
      </w:r>
      <w:proofErr w:type="spellEnd"/>
      <w:r w:rsidRPr="00BF4C06">
        <w:rPr>
          <w:lang w:val="en-US"/>
        </w:rPr>
        <w:t>, L., Eicher, T. S., &amp; Papageorgiou, C. (20</w:t>
      </w:r>
      <w:r w:rsidRPr="0050303F">
        <w:rPr>
          <w:lang w:val="en-US"/>
        </w:rPr>
        <w:t>15</w:t>
      </w:r>
      <w:r w:rsidRPr="00BF4C06">
        <w:rPr>
          <w:lang w:val="en-US"/>
        </w:rPr>
        <w:t xml:space="preserve">). Did Established Early Warning Signals Predict the 2008 Crises? </w:t>
      </w:r>
      <w:proofErr w:type="spellStart"/>
      <w:r w:rsidRPr="00BF4C06">
        <w:rPr>
          <w:lang w:val="es-ES"/>
        </w:rPr>
        <w:t>European</w:t>
      </w:r>
      <w:proofErr w:type="spellEnd"/>
      <w:r w:rsidRPr="00BF4C06">
        <w:rPr>
          <w:lang w:val="es-ES"/>
        </w:rPr>
        <w:t xml:space="preserve"> </w:t>
      </w:r>
      <w:proofErr w:type="spellStart"/>
      <w:r w:rsidRPr="00BF4C06">
        <w:rPr>
          <w:lang w:val="es-ES"/>
        </w:rPr>
        <w:t>Economic</w:t>
      </w:r>
      <w:proofErr w:type="spellEnd"/>
      <w:r w:rsidRPr="00BF4C06">
        <w:rPr>
          <w:lang w:val="es-ES"/>
        </w:rPr>
        <w:t xml:space="preserve"> </w:t>
      </w:r>
      <w:proofErr w:type="spellStart"/>
      <w:r w:rsidRPr="00BF4C06">
        <w:rPr>
          <w:lang w:val="es-ES"/>
        </w:rPr>
        <w:t>Review</w:t>
      </w:r>
      <w:proofErr w:type="spellEnd"/>
    </w:p>
    <w:p w14:paraId="1453A37A" w14:textId="2711773A" w:rsidR="0050303F" w:rsidRPr="0050303F" w:rsidRDefault="0050303F" w:rsidP="0050303F">
      <w:pPr>
        <w:rPr>
          <w:lang w:val="es-ES"/>
        </w:rPr>
      </w:pPr>
      <w:hyperlink r:id="rId10" w:history="1">
        <w:r w:rsidRPr="00BF4C06">
          <w:rPr>
            <w:rStyle w:val="-"/>
            <w:lang w:val="es-ES"/>
          </w:rPr>
          <w:t>https://faculty.washington.edu/te/papers/EWS_JIE_12-17-2012.pdf</w:t>
        </w:r>
      </w:hyperlink>
    </w:p>
    <w:p w14:paraId="417A76DD" w14:textId="77777777" w:rsidR="0050303F" w:rsidRPr="0050303F" w:rsidRDefault="0050303F" w:rsidP="0050303F">
      <w:pPr>
        <w:rPr>
          <w:lang w:val="es-ES"/>
        </w:rPr>
      </w:pPr>
    </w:p>
    <w:p w14:paraId="122EC6FE" w14:textId="77777777" w:rsidR="0050303F" w:rsidRPr="00BD3958" w:rsidRDefault="0050303F" w:rsidP="0050303F">
      <w:pPr>
        <w:rPr>
          <w:lang w:val="en-US"/>
        </w:rPr>
      </w:pPr>
      <w:r w:rsidRPr="00BD3958">
        <w:rPr>
          <w:lang w:val="en-US"/>
        </w:rPr>
        <w:t>Desai, M. A., &amp; Dharmapala, D. (2009). Corporate tax avoidance and firm value. The Review of Economics and Statistics, 91(3), 537-546.</w:t>
      </w:r>
    </w:p>
    <w:p w14:paraId="2794B56C" w14:textId="77777777" w:rsidR="0050303F" w:rsidRDefault="0050303F" w:rsidP="0050303F">
      <w:pPr>
        <w:rPr>
          <w:lang w:val="en-US"/>
        </w:rPr>
      </w:pPr>
      <w:hyperlink r:id="rId11" w:history="1">
        <w:r w:rsidRPr="00C96F0E">
          <w:rPr>
            <w:rStyle w:val="-"/>
            <w:lang w:val="en-US"/>
          </w:rPr>
          <w:t>https://uel.primo.exlibrisgroup.com/discovery/fulldisplay?vid=44UEL_INST:UEL_VU1&amp;search_scope=MyInst_and_CI&amp;tab=Everything&amp;docid=cdi_crossref_primary_10_1162_rest_91_3_537&amp;lang=en&amp;context=PC&amp;adaptor=Primo%20Central&amp;query=any,contains,Desai,%20M.%20A.,%20%26%20Dharmapala,%20D.%20(2009).%20Corporate%20tax%20avoidance%20and%20firm%20value.%20The%20Review%20of%20Economics%20and%20Statistics,%2091(3),%20537-546.&amp;offset=0</w:t>
        </w:r>
      </w:hyperlink>
    </w:p>
    <w:p w14:paraId="0F00BE17" w14:textId="77777777" w:rsidR="0050303F" w:rsidRPr="00BD3958" w:rsidRDefault="0050303F" w:rsidP="0050303F">
      <w:pPr>
        <w:rPr>
          <w:lang w:val="en-US"/>
        </w:rPr>
      </w:pPr>
    </w:p>
    <w:p w14:paraId="2A892145" w14:textId="77777777" w:rsidR="0050303F" w:rsidRDefault="0050303F" w:rsidP="0050303F">
      <w:pPr>
        <w:rPr>
          <w:lang w:val="en-US"/>
        </w:rPr>
      </w:pPr>
      <w:r w:rsidRPr="00BD3958">
        <w:rPr>
          <w:lang w:val="en-US"/>
        </w:rPr>
        <w:t>European Parliamentary Research Service (2019). Understanding the Economic Impact of the EU's Tax Havens Blacklist.</w:t>
      </w:r>
    </w:p>
    <w:p w14:paraId="69CE0E49" w14:textId="77777777" w:rsidR="0050303F" w:rsidRDefault="0050303F" w:rsidP="0050303F">
      <w:pPr>
        <w:rPr>
          <w:lang w:val="en-US"/>
        </w:rPr>
      </w:pPr>
      <w:hyperlink r:id="rId12" w:history="1">
        <w:r w:rsidRPr="00C96F0E">
          <w:rPr>
            <w:rStyle w:val="-"/>
            <w:lang w:val="en-US"/>
          </w:rPr>
          <w:t>https://www.europarl.europa.eu/RegData/etudes/BRIE/2018/621872/EPRS_BRI(2018)621872_EN.pdf</w:t>
        </w:r>
      </w:hyperlink>
    </w:p>
    <w:p w14:paraId="20A0522C" w14:textId="77777777" w:rsidR="0050303F" w:rsidRPr="00BD3958" w:rsidRDefault="0050303F" w:rsidP="0050303F">
      <w:pPr>
        <w:rPr>
          <w:lang w:val="en-US"/>
        </w:rPr>
      </w:pPr>
    </w:p>
    <w:p w14:paraId="417D2B90" w14:textId="77777777" w:rsidR="0050303F" w:rsidRPr="0050303F" w:rsidRDefault="0050303F" w:rsidP="0050303F">
      <w:pPr>
        <w:rPr>
          <w:lang w:val="en-US"/>
        </w:rPr>
      </w:pPr>
      <w:r w:rsidRPr="00BD3958">
        <w:rPr>
          <w:lang w:val="en-US"/>
        </w:rPr>
        <w:lastRenderedPageBreak/>
        <w:t xml:space="preserve">Johannesen, N., &amp; Zucman, G. (2014). The end of bank secrecy? An evaluation of the G20 tax haven crackdown. </w:t>
      </w:r>
      <w:r w:rsidRPr="0050303F">
        <w:rPr>
          <w:lang w:val="en-US"/>
        </w:rPr>
        <w:t>American Economic Journal: Economic Policy, 6(1), 65-91.</w:t>
      </w:r>
    </w:p>
    <w:p w14:paraId="79FD1B62" w14:textId="77777777" w:rsidR="0050303F" w:rsidRPr="0050303F" w:rsidRDefault="0050303F" w:rsidP="0050303F">
      <w:pPr>
        <w:rPr>
          <w:lang w:val="en-US"/>
        </w:rPr>
      </w:pPr>
      <w:hyperlink r:id="rId13" w:history="1">
        <w:r w:rsidRPr="0050303F">
          <w:rPr>
            <w:rStyle w:val="-"/>
            <w:lang w:val="en-US"/>
          </w:rPr>
          <w:t>https://eprints.lse.ac.uk/56125/1/__lse.ac.uk_storage_LIBRARY_Secondary_libfile_shared_repository_Content_Zucman%2C%20G_End%20bank%20secrecy_Zucman_End%20bank%20secrecy_2014.pdf</w:t>
        </w:r>
      </w:hyperlink>
    </w:p>
    <w:p w14:paraId="7E108A44" w14:textId="77777777" w:rsidR="0050303F" w:rsidRPr="0050303F" w:rsidRDefault="0050303F" w:rsidP="0050303F">
      <w:pPr>
        <w:rPr>
          <w:lang w:val="en-US"/>
        </w:rPr>
      </w:pPr>
    </w:p>
    <w:p w14:paraId="5B9542B8" w14:textId="7CBC168F" w:rsidR="0050303F" w:rsidRPr="0050303F" w:rsidRDefault="0050303F" w:rsidP="0050303F">
      <w:pPr>
        <w:rPr>
          <w:lang w:val="en-US"/>
        </w:rPr>
      </w:pPr>
      <w:r w:rsidRPr="00F63DD5">
        <w:rPr>
          <w:lang w:val="en-US"/>
        </w:rPr>
        <w:t>Picciotto</w:t>
      </w:r>
      <w:r w:rsidR="0001603C">
        <w:rPr>
          <w:lang w:val="en-US"/>
        </w:rPr>
        <w:t>, S.,</w:t>
      </w:r>
      <w:r w:rsidRPr="00F63DD5">
        <w:rPr>
          <w:lang w:val="en-US"/>
        </w:rPr>
        <w:t xml:space="preserve"> (201</w:t>
      </w:r>
      <w:r w:rsidRPr="0050303F">
        <w:rPr>
          <w:lang w:val="en-US"/>
        </w:rPr>
        <w:t>3</w:t>
      </w:r>
      <w:r w:rsidRPr="00F63DD5">
        <w:rPr>
          <w:lang w:val="en-US"/>
        </w:rPr>
        <w:t xml:space="preserve">). Is the International Tax System Fit for Purpose, Especially for Developing Countries? </w:t>
      </w:r>
      <w:r w:rsidRPr="0050303F">
        <w:rPr>
          <w:lang w:val="en-US"/>
        </w:rPr>
        <w:t>International Centre for Tax and Development. Working Paper, 13.</w:t>
      </w:r>
    </w:p>
    <w:p w14:paraId="082D7BF7" w14:textId="77777777" w:rsidR="0050303F" w:rsidRPr="0050303F" w:rsidRDefault="0050303F" w:rsidP="0050303F">
      <w:pPr>
        <w:rPr>
          <w:lang w:val="en-US"/>
        </w:rPr>
      </w:pPr>
      <w:hyperlink r:id="rId14" w:history="1">
        <w:r w:rsidRPr="0050303F">
          <w:rPr>
            <w:rStyle w:val="-"/>
            <w:lang w:val="en-US"/>
          </w:rPr>
          <w:t>https://deliverypdf.ssrn.com/delivery.php?ID=106084065013127007100025091118102112025011007010093030069093098026065028068001124086045045030022009009043104081095101098086080028090009021064022120075114066115083022053059043117028006006067085073019066114001082086088121017121110015008116112106095013000&amp;EXT=pdf&amp;INDEX=TRUE</w:t>
        </w:r>
      </w:hyperlink>
    </w:p>
    <w:p w14:paraId="53F97484" w14:textId="77777777" w:rsidR="0050303F" w:rsidRPr="0050303F" w:rsidRDefault="0050303F" w:rsidP="0050303F">
      <w:pPr>
        <w:rPr>
          <w:lang w:val="en-US"/>
        </w:rPr>
      </w:pPr>
    </w:p>
    <w:p w14:paraId="0184795E" w14:textId="77777777" w:rsidR="0050303F" w:rsidRDefault="0050303F" w:rsidP="0050303F">
      <w:pPr>
        <w:rPr>
          <w:lang w:val="en-US"/>
        </w:rPr>
      </w:pPr>
      <w:r w:rsidRPr="007549CA">
        <w:rPr>
          <w:lang w:val="en-US"/>
        </w:rPr>
        <w:t>Sikka, P. (2010). Smoke and mirrors: Corporate social responsibility and tax avoidance. Accounting Forum, 34(3-4), 153-168.</w:t>
      </w:r>
    </w:p>
    <w:p w14:paraId="5230C285" w14:textId="77777777" w:rsidR="0050303F" w:rsidRDefault="0050303F" w:rsidP="0050303F">
      <w:pPr>
        <w:rPr>
          <w:lang w:val="en-US"/>
        </w:rPr>
      </w:pPr>
      <w:hyperlink r:id="rId15" w:history="1">
        <w:r w:rsidRPr="00C96F0E">
          <w:rPr>
            <w:rStyle w:val="-"/>
            <w:lang w:val="en-US"/>
          </w:rPr>
          <w:t>https://repository.essex.ac.uk/8103/1/WP2010-5%20PS%20CSR%20and%20Tax%20Avoidance%20Revised%20April%202010.pdf</w:t>
        </w:r>
      </w:hyperlink>
    </w:p>
    <w:p w14:paraId="33A34B13" w14:textId="77777777" w:rsidR="0050303F" w:rsidRPr="007549CA" w:rsidRDefault="0050303F" w:rsidP="0050303F">
      <w:pPr>
        <w:rPr>
          <w:lang w:val="en-US"/>
        </w:rPr>
      </w:pPr>
    </w:p>
    <w:p w14:paraId="1A83E648" w14:textId="77777777" w:rsidR="0050303F" w:rsidRPr="007549CA" w:rsidRDefault="0050303F" w:rsidP="0050303F">
      <w:pPr>
        <w:rPr>
          <w:lang w:val="en-US"/>
        </w:rPr>
      </w:pPr>
    </w:p>
    <w:p w14:paraId="38B0C499" w14:textId="77777777" w:rsidR="0050303F" w:rsidRPr="0050303F" w:rsidRDefault="0050303F" w:rsidP="0050303F">
      <w:pPr>
        <w:rPr>
          <w:lang w:val="en-US"/>
        </w:rPr>
      </w:pPr>
    </w:p>
    <w:sectPr w:rsidR="0050303F" w:rsidRPr="00503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D41E" w14:textId="77777777" w:rsidR="006E5E35" w:rsidRDefault="006E5E35" w:rsidP="00626E38">
      <w:pPr>
        <w:spacing w:after="0" w:line="240" w:lineRule="auto"/>
      </w:pPr>
      <w:r>
        <w:separator/>
      </w:r>
    </w:p>
  </w:endnote>
  <w:endnote w:type="continuationSeparator" w:id="0">
    <w:p w14:paraId="123CA00B" w14:textId="77777777" w:rsidR="006E5E35" w:rsidRDefault="006E5E35" w:rsidP="00626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F629" w14:textId="77777777" w:rsidR="006E5E35" w:rsidRDefault="006E5E35" w:rsidP="00626E38">
      <w:pPr>
        <w:spacing w:after="0" w:line="240" w:lineRule="auto"/>
      </w:pPr>
      <w:r>
        <w:separator/>
      </w:r>
    </w:p>
  </w:footnote>
  <w:footnote w:type="continuationSeparator" w:id="0">
    <w:p w14:paraId="3FA725A1" w14:textId="77777777" w:rsidR="006E5E35" w:rsidRDefault="006E5E35" w:rsidP="00626E38">
      <w:pPr>
        <w:spacing w:after="0" w:line="240" w:lineRule="auto"/>
      </w:pPr>
      <w:r>
        <w:continuationSeparator/>
      </w:r>
    </w:p>
  </w:footnote>
  <w:footnote w:id="1">
    <w:p w14:paraId="20451C99" w14:textId="1ECE203F" w:rsidR="00F340EE" w:rsidRDefault="00F340EE">
      <w:pPr>
        <w:pStyle w:val="a5"/>
      </w:pPr>
      <w:r>
        <w:rPr>
          <w:rStyle w:val="a6"/>
        </w:rPr>
        <w:footnoteRef/>
      </w:r>
      <w:r>
        <w:t xml:space="preserve"> </w:t>
      </w:r>
      <w:r w:rsidRPr="00F340EE">
        <w:t xml:space="preserve"> </w:t>
      </w:r>
      <w:proofErr w:type="spellStart"/>
      <w:r w:rsidRPr="00F340EE">
        <w:t>M</w:t>
      </w:r>
      <w:r w:rsidRPr="00F340EE">
        <w:t>ultinational</w:t>
      </w:r>
      <w:proofErr w:type="spellEnd"/>
      <w:r w:rsidRPr="00F340EE">
        <w:t xml:space="preserve"> </w:t>
      </w:r>
      <w:proofErr w:type="spellStart"/>
      <w:r w:rsidRPr="00F340EE">
        <w:t>C</w:t>
      </w:r>
      <w:r w:rsidRPr="00F340EE">
        <w:t>orporations</w:t>
      </w:r>
      <w:proofErr w:type="spellEnd"/>
    </w:p>
  </w:footnote>
  <w:footnote w:id="2">
    <w:p w14:paraId="2AE799EC" w14:textId="3FAA6319" w:rsidR="00626E38" w:rsidRDefault="00626E38">
      <w:pPr>
        <w:pStyle w:val="a5"/>
      </w:pPr>
      <w:r w:rsidRPr="00626E38">
        <w:footnoteRef/>
      </w:r>
      <w:r>
        <w:t xml:space="preserve"> </w:t>
      </w:r>
      <w:r w:rsidRPr="00626E38">
        <w:t>International </w:t>
      </w:r>
      <w:proofErr w:type="spellStart"/>
      <w:r w:rsidRPr="00626E38">
        <w:t>Financial</w:t>
      </w:r>
      <w:proofErr w:type="spellEnd"/>
      <w:r w:rsidRPr="00626E38">
        <w:t xml:space="preserve"> </w:t>
      </w:r>
      <w:proofErr w:type="spellStart"/>
      <w:r w:rsidRPr="00626E38">
        <w:t>Reporting</w:t>
      </w:r>
      <w:proofErr w:type="spellEnd"/>
      <w:r w:rsidRPr="00626E38">
        <w:t xml:space="preserve"> </w:t>
      </w:r>
      <w:proofErr w:type="spellStart"/>
      <w:r w:rsidRPr="00626E38">
        <w:t>Standards</w:t>
      </w:r>
      <w:proofErr w:type="spellEnd"/>
    </w:p>
  </w:footnote>
  <w:footnote w:id="3">
    <w:p w14:paraId="6D58B82B" w14:textId="77158EE0" w:rsidR="001832F7" w:rsidRDefault="001832F7">
      <w:pPr>
        <w:pStyle w:val="a5"/>
      </w:pPr>
      <w:r>
        <w:rPr>
          <w:rStyle w:val="a6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7A24"/>
    <w:multiLevelType w:val="hybridMultilevel"/>
    <w:tmpl w:val="AC30268A"/>
    <w:lvl w:ilvl="0" w:tplc="BFF2489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E58BC"/>
    <w:multiLevelType w:val="hybridMultilevel"/>
    <w:tmpl w:val="A1D876A0"/>
    <w:lvl w:ilvl="0" w:tplc="9F54CC78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61ABB"/>
    <w:multiLevelType w:val="multilevel"/>
    <w:tmpl w:val="823CA41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17981414">
    <w:abstractNumId w:val="2"/>
  </w:num>
  <w:num w:numId="2" w16cid:durableId="629476107">
    <w:abstractNumId w:val="0"/>
  </w:num>
  <w:num w:numId="3" w16cid:durableId="1014307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B8"/>
    <w:rsid w:val="0001603C"/>
    <w:rsid w:val="00041C36"/>
    <w:rsid w:val="000869B3"/>
    <w:rsid w:val="00092352"/>
    <w:rsid w:val="0009359A"/>
    <w:rsid w:val="00157BFE"/>
    <w:rsid w:val="001832F7"/>
    <w:rsid w:val="001C5FA8"/>
    <w:rsid w:val="00237727"/>
    <w:rsid w:val="00247EC4"/>
    <w:rsid w:val="00250A4A"/>
    <w:rsid w:val="002A2D62"/>
    <w:rsid w:val="002B4C30"/>
    <w:rsid w:val="0031622F"/>
    <w:rsid w:val="003273EC"/>
    <w:rsid w:val="00337BA6"/>
    <w:rsid w:val="00381167"/>
    <w:rsid w:val="003D78FF"/>
    <w:rsid w:val="00495334"/>
    <w:rsid w:val="004D3512"/>
    <w:rsid w:val="0050303F"/>
    <w:rsid w:val="0050381E"/>
    <w:rsid w:val="00541148"/>
    <w:rsid w:val="005B7980"/>
    <w:rsid w:val="00626E38"/>
    <w:rsid w:val="006E5E35"/>
    <w:rsid w:val="00751025"/>
    <w:rsid w:val="007611F7"/>
    <w:rsid w:val="007807B4"/>
    <w:rsid w:val="007A2C06"/>
    <w:rsid w:val="008046B8"/>
    <w:rsid w:val="008409FF"/>
    <w:rsid w:val="0091049E"/>
    <w:rsid w:val="00935342"/>
    <w:rsid w:val="009D23E8"/>
    <w:rsid w:val="009E51F2"/>
    <w:rsid w:val="00A2341E"/>
    <w:rsid w:val="00AA20C8"/>
    <w:rsid w:val="00B9059F"/>
    <w:rsid w:val="00C90428"/>
    <w:rsid w:val="00DD0AC7"/>
    <w:rsid w:val="00DE68CC"/>
    <w:rsid w:val="00DF2A67"/>
    <w:rsid w:val="00EB47C5"/>
    <w:rsid w:val="00F340EE"/>
    <w:rsid w:val="00F44392"/>
    <w:rsid w:val="00F669AD"/>
    <w:rsid w:val="00FA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4870"/>
  <w15:chartTrackingRefBased/>
  <w15:docId w15:val="{3DA6B912-88EE-40F7-9B8C-2A092166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1F7"/>
    <w:pPr>
      <w:spacing w:line="360" w:lineRule="auto"/>
      <w:jc w:val="both"/>
    </w:pPr>
    <w:rPr>
      <w:rFonts w:ascii="Arial" w:hAnsi="Arial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7611F7"/>
    <w:pPr>
      <w:widowControl w:val="0"/>
      <w:autoSpaceDE w:val="0"/>
      <w:autoSpaceDN w:val="0"/>
      <w:spacing w:after="0" w:line="240" w:lineRule="auto"/>
      <w:ind w:left="115"/>
    </w:pPr>
    <w:rPr>
      <w:rFonts w:ascii="Calibri" w:eastAsia="Calibri" w:hAnsi="Calibri" w:cs="Calibri"/>
      <w:b/>
      <w:bCs/>
      <w:sz w:val="44"/>
      <w:szCs w:val="44"/>
    </w:rPr>
  </w:style>
  <w:style w:type="character" w:customStyle="1" w:styleId="Char">
    <w:name w:val="Τίτλος Char"/>
    <w:basedOn w:val="a0"/>
    <w:link w:val="a3"/>
    <w:uiPriority w:val="1"/>
    <w:rsid w:val="007611F7"/>
    <w:rPr>
      <w:rFonts w:ascii="Calibri" w:eastAsia="Calibri" w:hAnsi="Calibri" w:cs="Calibri"/>
      <w:b/>
      <w:bCs/>
      <w:kern w:val="0"/>
      <w:sz w:val="44"/>
      <w:szCs w:val="44"/>
      <w14:ligatures w14:val="none"/>
    </w:rPr>
  </w:style>
  <w:style w:type="paragraph" w:styleId="a4">
    <w:name w:val="List Paragraph"/>
    <w:basedOn w:val="a"/>
    <w:uiPriority w:val="34"/>
    <w:qFormat/>
    <w:rsid w:val="00DF2A67"/>
    <w:pPr>
      <w:ind w:left="720"/>
      <w:contextualSpacing/>
    </w:pPr>
  </w:style>
  <w:style w:type="paragraph" w:styleId="a5">
    <w:name w:val="footnote text"/>
    <w:basedOn w:val="a"/>
    <w:link w:val="Char0"/>
    <w:uiPriority w:val="99"/>
    <w:semiHidden/>
    <w:unhideWhenUsed/>
    <w:rsid w:val="00626E38"/>
    <w:pPr>
      <w:spacing w:after="0" w:line="240" w:lineRule="auto"/>
    </w:pPr>
    <w:rPr>
      <w:sz w:val="20"/>
      <w:szCs w:val="20"/>
    </w:rPr>
  </w:style>
  <w:style w:type="character" w:customStyle="1" w:styleId="Char0">
    <w:name w:val="Κείμενο υποσημείωσης Char"/>
    <w:basedOn w:val="a0"/>
    <w:link w:val="a5"/>
    <w:uiPriority w:val="99"/>
    <w:semiHidden/>
    <w:rsid w:val="00626E38"/>
    <w:rPr>
      <w:rFonts w:ascii="Arial" w:hAnsi="Arial"/>
      <w:kern w:val="0"/>
      <w:sz w:val="20"/>
      <w:szCs w:val="20"/>
      <w14:ligatures w14:val="none"/>
    </w:rPr>
  </w:style>
  <w:style w:type="character" w:styleId="a6">
    <w:name w:val="footnote reference"/>
    <w:basedOn w:val="a0"/>
    <w:uiPriority w:val="99"/>
    <w:semiHidden/>
    <w:unhideWhenUsed/>
    <w:rsid w:val="00626E38"/>
    <w:rPr>
      <w:vertAlign w:val="superscript"/>
    </w:rPr>
  </w:style>
  <w:style w:type="character" w:styleId="-">
    <w:name w:val="Hyperlink"/>
    <w:basedOn w:val="a0"/>
    <w:uiPriority w:val="99"/>
    <w:unhideWhenUsed/>
    <w:rsid w:val="005030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prints.lse.ac.uk/56125/1/__lse.ac.uk_storage_LIBRARY_Secondary_libfile_shared_repository_Content_Zucman%2C%20G_End%20bank%20secrecy_Zucman_End%20bank%20secrecy_201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uroparl.europa.eu/RegData/etudes/BRIE/2018/621872/EPRS_BRI(2018)621872_EN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el.primo.exlibrisgroup.com/discovery/fulldisplay?vid=44UEL_INST:UEL_VU1&amp;search_scope=MyInst_and_CI&amp;tab=Everything&amp;docid=cdi_crossref_primary_10_1162_rest_91_3_537&amp;lang=en&amp;context=PC&amp;adaptor=Primo%20Central&amp;query=any,contains,Desai,%20M.%20A.,%20%26%20Dharmapala,%20D.%20(2009).%20Corporate%20tax%20avoidance%20and%20firm%20value.%20The%20Review%20of%20Economics%20and%20Statistics,%2091(3),%20537-546.&amp;offset=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pository.essex.ac.uk/8103/1/WP2010-5%20PS%20CSR%20and%20Tax%20Avoidance%20Revised%20April%202010.pdf" TargetMode="External"/><Relationship Id="rId10" Type="http://schemas.openxmlformats.org/officeDocument/2006/relationships/hyperlink" Target="https://faculty.washington.edu/te/papers/EWS_JIE_12-17-201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sitori.upf.edu/bitstream/handle/10230/490/349.pdf?sequence=1&amp;isAllowed=y" TargetMode="External"/><Relationship Id="rId14" Type="http://schemas.openxmlformats.org/officeDocument/2006/relationships/hyperlink" Target="https://deliverypdf.ssrn.com/delivery.php?ID=106084065013127007100025091118102112025011007010093030069093098026065028068001124086045045030022009009043104081095101098086080028090009021064022120075114066115083022053059043117028006006067085073019066114001082086088121017121110015008116112106095013000&amp;EXT=pdf&amp;INDEX=TRUE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3528B63-3CFC-42A1-B97A-54A30929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1848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feriadi</dc:creator>
  <cp:keywords/>
  <dc:description/>
  <cp:lastModifiedBy>eleni feriadi</cp:lastModifiedBy>
  <cp:revision>10</cp:revision>
  <dcterms:created xsi:type="dcterms:W3CDTF">2023-07-28T17:59:00Z</dcterms:created>
  <dcterms:modified xsi:type="dcterms:W3CDTF">2023-08-05T09:55:00Z</dcterms:modified>
</cp:coreProperties>
</file>