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77777777"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feature engineering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zistiť, či sa tieto pozorovania nedajú podľa ich parametrov zaradiť do niekoľko sku</w:t>
      </w:r>
      <w:bookmarkStart w:id="0" w:name="_GoBack"/>
      <w:bookmarkEnd w:id="0"/>
      <w:r w:rsidRPr="003A7DB1">
        <w:rPr>
          <w:lang w:val="sk-SK"/>
        </w:rPr>
        <w:t>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 xml:space="preserve">vodné zozbierané dáta a vyčistená verzia zbavená nepoužiteľných či nekompletných záznamov. Dáta hovoria najmä o mieste a čase úkazu a taktiež obsahujú opis pozorovaného objektu a krátky slovný opis svedka.  Základné charakteristiky týchto čŕt opisuje tabuľka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77777777"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Pr="003A7DB1">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 xml:space="preserve">coch alebo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77777777"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Pr="003A7DB1">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Sphere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77777777"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Pr="003A7DB1">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Pr="003A7DB1" w:rsidRDefault="003A7DB1" w:rsidP="003A7DB1">
      <w:pPr>
        <w:pStyle w:val="bulletitem"/>
        <w:rPr>
          <w:lang w:val="sk-SK"/>
        </w:rPr>
      </w:pPr>
      <w:r w:rsidRPr="003A7DB1">
        <w:rPr>
          <w:lang w:val="sk-SK"/>
        </w:rPr>
        <w:t>presné súradnice pozorovania</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77777777" w:rsidR="003A7DB1" w:rsidRPr="003A7DB1" w:rsidRDefault="003A7DB1" w:rsidP="003A7DB1">
      <w:pPr>
        <w:pStyle w:val="p1a"/>
        <w:rPr>
          <w:lang w:val="sk-SK"/>
        </w:rPr>
      </w:pPr>
      <w:r w:rsidRPr="003A7DB1">
        <w:rPr>
          <w:lang w:val="sk-SK"/>
        </w:rPr>
        <w:t xml:space="preserve">V predošlej kapitole sme opísali črty nášho datasetu a ich potenciál pri určovaní podobností. Objavovať súvislosti medzi pozorovaniami sme sa rozhodli pomocou metódy zhlukovania. Hlavným problémom tejto práce je správne určenie dôležitosti jednotlivých </w:t>
      </w:r>
      <w:r w:rsidR="00CD5A53" w:rsidRPr="003A7DB1">
        <w:rPr>
          <w:lang w:val="sk-SK"/>
        </w:rPr>
        <w:t>čŕt</w:t>
      </w:r>
      <w:r w:rsidRPr="003A7DB1">
        <w:rPr>
          <w:lang w:val="sk-SK"/>
        </w:rPr>
        <w:t xml:space="preserve"> (tzv. feature engineering).</w:t>
      </w:r>
    </w:p>
    <w:p w14:paraId="3AF15034" w14:textId="77777777" w:rsidR="003A7DB1" w:rsidRPr="003A7DB1" w:rsidRDefault="003A7DB1" w:rsidP="003A7DB1">
      <w:pPr>
        <w:pStyle w:val="heading2"/>
        <w:rPr>
          <w:lang w:val="sk-SK"/>
        </w:rPr>
      </w:pPr>
      <w:r w:rsidRPr="003A7DB1">
        <w:rPr>
          <w:lang w:val="sk-SK"/>
        </w:rPr>
        <w:t>Predpokladaný scenár riešenia</w:t>
      </w:r>
    </w:p>
    <w:p w14:paraId="569E9B41" w14:textId="77777777" w:rsidR="003A7DB1" w:rsidRPr="003A7DB1" w:rsidRDefault="003A7DB1" w:rsidP="003A7DB1">
      <w:pPr>
        <w:pStyle w:val="p1a"/>
        <w:rPr>
          <w:lang w:val="sk-SK"/>
        </w:rPr>
      </w:pPr>
      <w:r w:rsidRPr="003A7DB1">
        <w:rPr>
          <w:lang w:val="sk-SK"/>
        </w:rPr>
        <w:t>Prvý</w:t>
      </w:r>
      <w:r w:rsidR="00CD5A53">
        <w:rPr>
          <w:lang w:val="sk-SK"/>
        </w:rPr>
        <w:t>m krokom riešenia</w:t>
      </w:r>
      <w:r w:rsidRPr="003A7DB1">
        <w:rPr>
          <w:lang w:val="sk-SK"/>
        </w:rPr>
        <w:t xml:space="preserve"> je predspracovanie datasetu. Okrem vyčistenia dát od nepoužiteľných záznamov tiež potrebujeme napr. vyextrahovať kľúčové slová z popisu pozorovania, na základe ktorých vieme určiť </w:t>
      </w:r>
      <w:r>
        <w:rPr>
          <w:lang w:val="sk-SK"/>
        </w:rPr>
        <w:t>podobnosť jednotlivých pozorova</w:t>
      </w:r>
      <w:r w:rsidRPr="003A7DB1">
        <w:rPr>
          <w:lang w:val="sk-SK"/>
        </w:rPr>
        <w:t>ní. Zaujíma nás aj vzťah tohto popisu a tvaru UFO, keďže predpokladáme, že tieto dve črty budú spolu korelovať</w:t>
      </w:r>
    </w:p>
    <w:p w14:paraId="1DB6E794" w14:textId="77777777" w:rsidR="003A7DB1" w:rsidRDefault="003A7DB1" w:rsidP="003A7DB1">
      <w:pPr>
        <w:pStyle w:val="heading2"/>
        <w:rPr>
          <w:lang w:val="sk-SK"/>
        </w:rPr>
      </w:pPr>
      <w:r w:rsidRPr="003A7DB1">
        <w:rPr>
          <w:lang w:val="sk-SK"/>
        </w:rPr>
        <w:lastRenderedPageBreak/>
        <w:t>Predspracovanie a čistenie dát</w:t>
      </w:r>
    </w:p>
    <w:p w14:paraId="0CDEDFE0" w14:textId="77777777" w:rsidR="003A7DB1" w:rsidRPr="003A7DB1" w:rsidRDefault="003A7DB1" w:rsidP="003A7DB1">
      <w:pPr>
        <w:pStyle w:val="p1a"/>
        <w:rPr>
          <w:lang w:val="sk-SK"/>
        </w:rPr>
      </w:pPr>
      <w:r w:rsidRPr="003A7DB1">
        <w:rPr>
          <w:lang w:val="sk-SK"/>
        </w:rPr>
        <w:t xml:space="preserve">Názvy miest pozorovania sú zadávané používateľom a často obsahujú aj iné slová a znaky, plánujeme preto využiť zemepisnú šírku a dĺžku na kontrolu alebo aj nahradenie parametrov </w:t>
      </w:r>
      <w:r w:rsidRPr="00CD5A53">
        <w:rPr>
          <w:i/>
          <w:lang w:val="sk-SK"/>
        </w:rPr>
        <w:t>city</w:t>
      </w:r>
      <w:r w:rsidRPr="003A7DB1">
        <w:rPr>
          <w:lang w:val="sk-SK"/>
        </w:rPr>
        <w:t xml:space="preserve">, </w:t>
      </w:r>
      <w:r w:rsidRPr="00CD5A53">
        <w:rPr>
          <w:i/>
          <w:lang w:val="sk-SK"/>
        </w:rPr>
        <w:t>state</w:t>
      </w:r>
      <w:r w:rsidRPr="003A7DB1">
        <w:rPr>
          <w:lang w:val="sk-SK"/>
        </w:rPr>
        <w:t xml:space="preserve"> a </w:t>
      </w:r>
      <w:r w:rsidRPr="00CD5A53">
        <w:rPr>
          <w:i/>
          <w:lang w:val="sk-SK"/>
        </w:rPr>
        <w:t>country</w:t>
      </w:r>
      <w:r w:rsidRPr="003A7DB1">
        <w:rPr>
          <w:lang w:val="sk-SK"/>
        </w:rPr>
        <w:t>.</w:t>
      </w:r>
    </w:p>
    <w:p w14:paraId="5D3F564F" w14:textId="77777777" w:rsidR="003A7DB1" w:rsidRPr="003A7DB1" w:rsidRDefault="003A7DB1" w:rsidP="003A7DB1">
      <w:pPr>
        <w:rPr>
          <w:lang w:val="sk-SK"/>
        </w:rPr>
      </w:pPr>
      <w:r w:rsidRPr="003A7DB1">
        <w:rPr>
          <w:lang w:val="sk-SK"/>
        </w:rPr>
        <w:t>Dataset obsahuje dva atribúty týkajúce sa dĺžky pozorovania</w:t>
      </w:r>
      <w:r w:rsidR="00CD5A53">
        <w:rPr>
          <w:lang w:val="sk-SK"/>
        </w:rPr>
        <w:t xml:space="preserve"> -</w:t>
      </w:r>
      <w:r w:rsidRPr="003A7DB1">
        <w:rPr>
          <w:lang w:val="sk-SK"/>
        </w:rPr>
        <w:t xml:space="preserve"> </w:t>
      </w:r>
      <w:r w:rsidRPr="00CD5A53">
        <w:rPr>
          <w:i/>
          <w:lang w:val="sk-SK"/>
        </w:rPr>
        <w:t>duration (seconds)</w:t>
      </w:r>
      <w:r w:rsidRPr="003A7DB1">
        <w:rPr>
          <w:lang w:val="sk-SK"/>
        </w:rPr>
        <w:t xml:space="preserve"> a </w:t>
      </w:r>
      <w:r w:rsidRPr="00CD5A53">
        <w:rPr>
          <w:i/>
          <w:lang w:val="sk-SK"/>
        </w:rPr>
        <w:t>duration (hours/min)</w:t>
      </w:r>
      <w:r w:rsidR="00CD5A53">
        <w:rPr>
          <w:lang w:val="sk-SK"/>
        </w:rPr>
        <w:t>, pričom</w:t>
      </w:r>
      <w:r w:rsidRPr="003A7DB1">
        <w:rPr>
          <w:lang w:val="sk-SK"/>
        </w:rPr>
        <w:t xml:space="preserve"> jeden z nich bol zadávaný používateľom ako voľný text, preto chceme skontrolovať konzistenciu týchto údajov a vybrať vhodnejší na ďalšie spracovanie.</w:t>
      </w:r>
    </w:p>
    <w:p w14:paraId="61DF0EE8" w14:textId="77777777" w:rsidR="00CD5A53" w:rsidRPr="00CD5A53" w:rsidRDefault="00CD5A53" w:rsidP="00CD5A53">
      <w:pPr>
        <w:rPr>
          <w:lang w:val="sk-SK"/>
        </w:rPr>
      </w:pPr>
      <w:r w:rsidRPr="00CD5A53">
        <w:rPr>
          <w:lang w:val="sk-SK"/>
        </w:rPr>
        <w:t xml:space="preserve">Atribút </w:t>
      </w:r>
      <w:r w:rsidRPr="00CD5A53">
        <w:rPr>
          <w:i/>
          <w:lang w:val="sk-SK"/>
        </w:rPr>
        <w:t>shape</w:t>
      </w:r>
      <w:r w:rsidRPr="00CD5A53">
        <w:rPr>
          <w:lang w:val="sk-SK"/>
        </w:rPr>
        <w:t xml:space="preserve"> obsahuje síce limitovaný počet hodnôt – 29 rôznych tvarov, z ktorých však viaceré sú synonymá. Chceme preto ich počet znížiť a manuálne vybrať nie</w:t>
      </w:r>
      <w:r>
        <w:rPr>
          <w:lang w:val="sk-SK"/>
        </w:rPr>
        <w:t>koľko najvhodnejších ‘tvarov’.</w:t>
      </w:r>
      <w:r w:rsidRPr="00CD5A53">
        <w:rPr>
          <w:lang w:val="sk-SK"/>
        </w:rPr>
        <w:t xml:space="preserve"> </w:t>
      </w:r>
      <w:r>
        <w:rPr>
          <w:lang w:val="sk-SK"/>
        </w:rPr>
        <w:t>Z</w:t>
      </w:r>
      <w:r w:rsidRPr="00CD5A53">
        <w:rPr>
          <w:lang w:val="sk-SK"/>
        </w:rPr>
        <w:t>ároveň</w:t>
      </w:r>
      <w:r>
        <w:rPr>
          <w:lang w:val="sk-SK"/>
        </w:rPr>
        <w:t>,</w:t>
      </w:r>
      <w:r w:rsidRPr="00CD5A53">
        <w:rPr>
          <w:lang w:val="sk-SK"/>
        </w:rPr>
        <w:t xml:space="preserve"> pre pozorovania</w:t>
      </w:r>
      <w:r>
        <w:rPr>
          <w:lang w:val="sk-SK"/>
        </w:rPr>
        <w:t>,</w:t>
      </w:r>
      <w:r w:rsidRPr="00CD5A53">
        <w:rPr>
          <w:lang w:val="sk-SK"/>
        </w:rPr>
        <w:t xml:space="preserve"> pre ktoré nebol nahlásený tvar</w:t>
      </w:r>
      <w:r>
        <w:rPr>
          <w:lang w:val="sk-SK"/>
        </w:rPr>
        <w:t>,</w:t>
      </w:r>
      <w:r w:rsidRPr="00CD5A53">
        <w:rPr>
          <w:lang w:val="sk-SK"/>
        </w:rPr>
        <w:t xml:space="preserve"> </w:t>
      </w:r>
      <w:r>
        <w:rPr>
          <w:lang w:val="sk-SK"/>
        </w:rPr>
        <w:t>sa pokúsime chýbajúcu informáciu získať z</w:t>
      </w:r>
      <w:r w:rsidRPr="00CD5A53">
        <w:rPr>
          <w:lang w:val="sk-SK"/>
        </w:rPr>
        <w:t xml:space="preserve"> atribút</w:t>
      </w:r>
      <w:r>
        <w:rPr>
          <w:lang w:val="sk-SK"/>
        </w:rPr>
        <w:t>u</w:t>
      </w:r>
      <w:r w:rsidRPr="00CD5A53">
        <w:rPr>
          <w:lang w:val="sk-SK"/>
        </w:rPr>
        <w:t xml:space="preserve"> </w:t>
      </w:r>
      <w:r w:rsidRPr="00CD5A53">
        <w:rPr>
          <w:i/>
          <w:lang w:val="sk-SK"/>
        </w:rPr>
        <w:t>comment</w:t>
      </w:r>
      <w:r w:rsidRPr="00CD5A53">
        <w:rPr>
          <w:lang w:val="sk-SK"/>
        </w:rPr>
        <w:t>, ktorý môže obsahovať zmienku o tvare - jedno z nami určených slov.</w:t>
      </w:r>
    </w:p>
    <w:p w14:paraId="454BBDF0" w14:textId="77777777" w:rsidR="003A7DB1" w:rsidRPr="003A7DB1" w:rsidRDefault="00CD5A53" w:rsidP="00CD5A53">
      <w:pPr>
        <w:rPr>
          <w:lang w:val="sk-SK"/>
        </w:rPr>
      </w:pPr>
      <w:r w:rsidRPr="00CD5A53">
        <w:rPr>
          <w:lang w:val="sk-SK"/>
        </w:rPr>
        <w:t xml:space="preserve">Rozdiel medzi atribútmi </w:t>
      </w:r>
      <w:r w:rsidRPr="00CD5A53">
        <w:rPr>
          <w:i/>
          <w:lang w:val="sk-SK"/>
        </w:rPr>
        <w:t>datetime</w:t>
      </w:r>
      <w:r w:rsidRPr="00CD5A53">
        <w:rPr>
          <w:lang w:val="sk-SK"/>
        </w:rPr>
        <w:t xml:space="preserve"> a </w:t>
      </w:r>
      <w:r w:rsidRPr="00CD5A53">
        <w:rPr>
          <w:i/>
          <w:lang w:val="sk-SK"/>
        </w:rPr>
        <w:t>date posted</w:t>
      </w:r>
      <w:r w:rsidRPr="00CD5A53">
        <w:rPr>
          <w:lang w:val="sk-SK"/>
        </w:rPr>
        <w:t xml:space="preserve"> zn</w:t>
      </w:r>
      <w:r>
        <w:rPr>
          <w:lang w:val="sk-SK"/>
        </w:rPr>
        <w:t>ačí časový rozdiel medzi pozoro</w:t>
      </w:r>
      <w:r w:rsidRPr="00CD5A53">
        <w:rPr>
          <w:lang w:val="sk-SK"/>
        </w:rPr>
        <w:t>vaním a jeho nahlásením. V prípadoch, keď je príliš veľký, nemusí byť pozorovanie nahlásené v dostatočnej kvalite a teda pre nás nie je významné.</w:t>
      </w:r>
    </w:p>
    <w:p w14:paraId="05C269FF" w14:textId="77777777" w:rsidR="003A7DB1" w:rsidRPr="003A7DB1" w:rsidRDefault="003A7DB1" w:rsidP="003A7DB1">
      <w:pPr>
        <w:pStyle w:val="heading2"/>
        <w:rPr>
          <w:lang w:val="sk-SK"/>
        </w:rPr>
      </w:pPr>
      <w:r w:rsidRPr="003A7DB1">
        <w:rPr>
          <w:lang w:val="sk-SK"/>
        </w:rPr>
        <w:t xml:space="preserve">Hľadanie súvislostí v dátach </w:t>
      </w:r>
    </w:p>
    <w:p w14:paraId="0E690BE5" w14:textId="77777777" w:rsidR="003A7DB1" w:rsidRPr="003A7DB1" w:rsidRDefault="003A7DB1" w:rsidP="003A7DB1">
      <w:pPr>
        <w:rPr>
          <w:lang w:val="sk-SK"/>
        </w:rPr>
      </w:pPr>
      <w:r w:rsidRPr="003A7DB1">
        <w:rPr>
          <w:lang w:val="sk-SK"/>
        </w:rPr>
        <w:t xml:space="preserve">Plánujeme sa zamerať na zhlukovanie podľa dvoch hlavných atribútov </w:t>
      </w:r>
      <w:r w:rsidR="00CD5A53">
        <w:rPr>
          <w:lang w:val="sk-SK"/>
        </w:rPr>
        <w:t>– tvar pozorovaného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korelácie, ktoré pri určovaní </w:t>
      </w:r>
      <w:r w:rsidR="00CD5A53">
        <w:rPr>
          <w:lang w:val="sk-SK"/>
        </w:rPr>
        <w:t>správnych čŕt pre zhlukovanie</w:t>
      </w:r>
      <w:r w:rsidRPr="003A7DB1">
        <w:rPr>
          <w:lang w:val="sk-SK"/>
        </w:rPr>
        <w:t xml:space="preserve"> nie sú žiaduce</w:t>
      </w:r>
      <w:r w:rsidR="00CD5A53">
        <w:rPr>
          <w:lang w:val="sk-SK"/>
        </w:rPr>
        <w:t>.</w:t>
      </w:r>
    </w:p>
    <w:sectPr w:rsidR="003A7DB1" w:rsidRPr="003A7DB1" w:rsidSect="00CE7667">
      <w:footerReference w:type="first" r:id="rId10"/>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0696F" w14:textId="77777777" w:rsidR="002D1E54" w:rsidRDefault="002D1E54">
      <w:r>
        <w:separator/>
      </w:r>
    </w:p>
  </w:endnote>
  <w:endnote w:type="continuationSeparator" w:id="0">
    <w:p w14:paraId="56F3B3BD" w14:textId="77777777" w:rsidR="002D1E54" w:rsidRDefault="002D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26C8" w14:textId="7B7867FD"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D07230">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5E770" w14:textId="77777777" w:rsidR="002D1E54" w:rsidRDefault="002D1E54" w:rsidP="00895F20">
      <w:pPr>
        <w:ind w:firstLine="0"/>
      </w:pPr>
      <w:r>
        <w:separator/>
      </w:r>
    </w:p>
  </w:footnote>
  <w:footnote w:type="continuationSeparator" w:id="0">
    <w:p w14:paraId="4AF7B8BA" w14:textId="77777777" w:rsidR="002D1E54" w:rsidRDefault="002D1E54"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54"/>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37CE"/>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073"/>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D5A53"/>
    <w:rsid w:val="00CE223C"/>
    <w:rsid w:val="00CE7667"/>
    <w:rsid w:val="00CF3131"/>
    <w:rsid w:val="00CF3BE1"/>
    <w:rsid w:val="00D00243"/>
    <w:rsid w:val="00D05ECD"/>
    <w:rsid w:val="00D07230"/>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E62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15:docId w15:val="{8A853A2E-BD8B-4CFF-A84A-5B8D0C4E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A89C-830B-4CC5-9431-521ACDDF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38</TotalTime>
  <Pages>4</Pages>
  <Words>839</Words>
  <Characters>4784</Characters>
  <Application>Microsoft Office Word</Application>
  <DocSecurity>0</DocSecurity>
  <Lines>39</Lines>
  <Paragraphs>11</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Michal Kren</cp:lastModifiedBy>
  <cp:revision>4</cp:revision>
  <dcterms:created xsi:type="dcterms:W3CDTF">2017-03-10T21:21:00Z</dcterms:created>
  <dcterms:modified xsi:type="dcterms:W3CDTF">2017-03-10T22:07:00Z</dcterms:modified>
</cp:coreProperties>
</file>