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F1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200"/>
            </w:pPr>
            <w:r>
              <w:rPr>
                <w:color w:val="C8A951"/>
                <w:sz w:val="16"/>
                <w:szCs w:val="16"/>
                <w:rFonts w:ascii="Courier New" w:cs="Courier New" w:eastAsia="Courier New" w:hAnsi="Courier New"/>
                <w:spacing w:val="160"/>
              </w:rPr>
              <w:t xml:space="preserve">PROPOSAL</w:t>
            </w:r>
          </w:p>
          <w:p>
            <w:pPr>
              <w:spacing w:after="120"/>
            </w:pPr>
            <w:r>
              <w:rPr>
                <w:color w:val="F5F3EE"/>
                <w:sz w:val="72"/>
                <w:szCs w:val="72"/>
                <w:rFonts w:ascii="Palatino Linotype" w:cs="Palatino Linotype" w:eastAsia="Palatino Linotype" w:hAnsi="Palatino Linotype"/>
              </w:rPr>
              <w:t xml:space="preserve">Melbourne CBD</w:t>
            </w:r>
          </w:p>
          <w:p>
            <w:pPr>
              <w:spacing w:after="0"/>
            </w:pPr>
            <w:r>
              <w:rPr>
                <w:i/>
                <w:iCs/>
                <w:color w:val="C8A951"/>
                <w:sz w:val="40"/>
                <w:szCs w:val="40"/>
                <w:rFonts w:ascii="Palatino Linotype" w:cs="Palatino Linotype" w:eastAsia="Palatino Linotype" w:hAnsi="Palatino Linotype"/>
              </w:rPr>
              <w:t xml:space="preserve">Investment Opportunity.</w:t>
            </w:r>
          </w:p>
        </w:tc>
      </w:tr>
    </w:tbl>
    <w:p>
      <w:pPr>
        <w:spacing w:before="0" w:after="240"/>
      </w:pPr>
      <w:r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8A9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color w:val="5A6878"/>
                <w:sz w:val="14"/>
                <w:szCs w:val="14"/>
                <w:rFonts w:ascii="Courier New" w:cs="Courier New" w:eastAsia="Courier New" w:hAnsi="Courier New"/>
                <w:spacing w:val="100"/>
              </w:rPr>
              <w:t xml:space="preserve">PREPARED FOR</w:t>
            </w:r>
          </w:p>
          <w:p>
            <w:pPr>
              <w:spacing w:after="40"/>
            </w:pPr>
            <w:r>
              <w:rPr>
                <w:color w:val="080F1A"/>
                <w:sz w:val="28"/>
                <w:szCs w:val="28"/>
                <w:rFonts w:ascii="Palatino Linotype" w:cs="Palatino Linotype" w:eastAsia="Palatino Linotype" w:hAnsi="Palatino Linotype"/>
              </w:rPr>
              <w:t xml:space="preserve">John Smith</w:t>
            </w:r>
          </w:p>
          <w:p>
            <w:r>
              <w:rPr>
                <w:color w:val="5A6878"/>
                <w:sz w:val="22"/>
                <w:szCs w:val="22"/>
                <w:rFonts w:ascii="Calibri" w:cs="Calibri" w:eastAsia="Calibri" w:hAnsi="Calibri"/>
              </w:rPr>
              <w:t xml:space="preserve">Smith Wealth Advisory</w:t>
            </w:r>
          </w:p>
        </w:tc>
        <w:tc>
          <w:tcPr>
            <w:tcW w:type="dxa" w:w="4500"/>
            <w:tcBorders>
              <w:top w:val="single" w:color="C8A9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4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color w:val="5A6878"/>
                <w:sz w:val="14"/>
                <w:szCs w:val="14"/>
                <w:rFonts w:ascii="Courier New" w:cs="Courier New" w:eastAsia="Courier New" w:hAnsi="Courier New"/>
                <w:spacing w:val="100"/>
              </w:rPr>
              <w:t xml:space="preserve">DATE</w:t>
            </w:r>
          </w:p>
          <w:p>
            <w:pPr>
              <w:spacing w:after="40"/>
            </w:pPr>
            <w:r>
              <w:rPr>
                <w:color w:val="080F1A"/>
                <w:sz w:val="22"/>
                <w:szCs w:val="22"/>
                <w:rFonts w:ascii="Calibri" w:cs="Calibri" w:eastAsia="Calibri" w:hAnsi="Calibri"/>
              </w:rPr>
              <w:t xml:space="preserve">10 April 2026</w:t>
            </w:r>
          </w:p>
          <w:p>
            <w:r>
              <w:rPr>
                <w:color w:val="5A6878"/>
                <w:sz w:val="22"/>
                <w:szCs w:val="22"/>
                <w:rFonts w:ascii="Calibri" w:cs="Calibri" w:eastAsia="Calibri" w:hAnsi="Calibri"/>
              </w:rPr>
              <w:t xml:space="preserve">The Property Clearing House</w:t>
            </w:r>
          </w:p>
        </w:tc>
      </w:tr>
    </w:tbl>
    <w:p>
      <w:pPr>
        <w:spacing w:before="0" w:after="480"/>
      </w:pPr>
      <w:r/>
    </w:p>
    <w:p>
      <w:r>
        <w:br w:type="page"/>
      </w:r>
    </w:p>
    <w:p>
      <w:pPr>
        <w:spacing w:before="480" w:after="80"/>
      </w:pPr>
      <w:r>
        <w:rPr>
          <w:color w:val="C8A951"/>
          <w:sz w:val="16"/>
          <w:szCs w:val="16"/>
          <w:rFonts w:ascii="Courier New" w:cs="Courier New" w:eastAsia="Courier New" w:hAnsi="Courier New"/>
          <w:spacing w:val="120"/>
        </w:rPr>
        <w:t xml:space="preserve">EXECUTIVE SUMMARY</w:t>
      </w:r>
    </w:p>
    <w:p>
      <w:pPr>
        <w:pStyle w:val="Heading1"/>
        <w:pBdr>
          <w:bottom w:val="single" w:color="C8A951" w:sz="6"/>
        </w:pBdr>
        <w:spacing w:before="480" w:after="160"/>
      </w:pPr>
      <w:r>
        <w:rPr>
          <w:b w:val="false"/>
          <w:bCs w:val="false"/>
          <w:color w:val="080F1A"/>
          <w:sz w:val="48"/>
          <w:szCs w:val="48"/>
          <w:rFonts w:ascii="Palatino Linotype" w:cs="Palatino Linotype" w:eastAsia="Palatino Linotype" w:hAnsi="Palatino Linotype"/>
        </w:rPr>
        <w:t xml:space="preserve">The Opportunity</w:t>
      </w:r>
    </w:p>
    <w:p>
      <w:pPr>
        <w:spacing w:before="0" w:after="160" w:line="336"/>
        <w:jc w:val="left"/>
      </w:pPr>
      <w:r>
        <w:rPr>
          <w:b w:val="false"/>
          <w:bCs w:val="false"/>
          <w:i w:val="false"/>
          <w:iCs w:val="false"/>
          <w:color w:val="1A1A1A"/>
          <w:sz w:val="24"/>
          <w:szCs w:val="24"/>
          <w:rFonts w:ascii="Calibri" w:cs="Calibri" w:eastAsia="Calibri" w:hAnsi="Calibri"/>
        </w:rPr>
        <w:t xml:space="preserve">Melbourne CBD continues to represent one of Australia's highest-conviction investment precincts for off-the-plan apartments.</w:t>
      </w:r>
    </w:p>
    <w:p>
      <w:pPr>
        <w:spacing w:before="0" w:after="160" w:line="336"/>
        <w:jc w:val="left"/>
      </w:pPr>
      <w:r>
        <w:rPr>
          <w:b w:val="false"/>
          <w:bCs w:val="false"/>
          <w:i w:val="false"/>
          <w:iCs w:val="false"/>
          <w:color w:val="1A1A1A"/>
          <w:sz w:val="24"/>
          <w:szCs w:val="24"/>
          <w:rFonts w:ascii="Calibri" w:cs="Calibri" w:eastAsia="Calibri" w:hAnsi="Calibri"/>
        </w:rPr>
        <w:t xml:space="preserve">With net overseas migration into Victoria at decade highs and apartment completions at their lowest in 10 years, the supply-demand imbalance creates a rare entry point for SMSF and investor clients.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8A951" w:sz="6"/>
              <w:left w:val="none" w:color="FFFFFF" w:sz="0"/>
              <w:bottom w:val="none" w:color="FFFFFF" w:sz="0"/>
              <w:right w:val="single" w:color="E8D48B" w:sz="4"/>
            </w:tcBorders>
            <w:shd w:fill="F5F3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 w:val="false"/>
                <w:bCs w:val="false"/>
                <w:color w:val="C8A951"/>
                <w:sz w:val="56"/>
                <w:szCs w:val="56"/>
                <w:rFonts w:ascii="Palatino Linotype" w:cs="Palatino Linotype" w:eastAsia="Palatino Linotype" w:hAnsi="Palatino Linotype"/>
              </w:rPr>
              <w:t xml:space="preserve">9.0%</w:t>
            </w:r>
          </w:p>
          <w:p>
            <w:r>
              <w:rPr>
                <w:color w:val="5A6878"/>
                <w:sz w:val="14"/>
                <w:szCs w:val="14"/>
                <w:rFonts w:ascii="Courier New" w:cs="Courier New" w:eastAsia="Courier New" w:hAnsi="Courier New"/>
                <w:spacing w:val="80"/>
              </w:rPr>
              <w:t xml:space="preserve">RENTAL GROWTH YOY</w:t>
            </w:r>
          </w:p>
        </w:tc>
        <w:tc>
          <w:tcPr>
            <w:tcW w:type="dxa" w:w="2250"/>
            <w:tcBorders>
              <w:top w:val="single" w:color="C8A951" w:sz="6"/>
              <w:left w:val="none" w:color="FFFFFF" w:sz="0"/>
              <w:bottom w:val="none" w:color="FFFFFF" w:sz="0"/>
              <w:right w:val="single" w:color="E8D48B" w:sz="4"/>
            </w:tcBorders>
            <w:shd w:fill="F5F3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 w:val="false"/>
                <w:bCs w:val="false"/>
                <w:color w:val="C8A951"/>
                <w:sz w:val="56"/>
                <w:szCs w:val="56"/>
                <w:rFonts w:ascii="Palatino Linotype" w:cs="Palatino Linotype" w:eastAsia="Palatino Linotype" w:hAnsi="Palatino Linotype"/>
              </w:rPr>
              <w:t xml:space="preserve">5.1%</w:t>
            </w:r>
          </w:p>
          <w:p>
            <w:r>
              <w:rPr>
                <w:color w:val="5A6878"/>
                <w:sz w:val="14"/>
                <w:szCs w:val="14"/>
                <w:rFonts w:ascii="Courier New" w:cs="Courier New" w:eastAsia="Courier New" w:hAnsi="Courier New"/>
                <w:spacing w:val="80"/>
              </w:rPr>
              <w:t xml:space="preserve">NET YIELD</w:t>
            </w:r>
          </w:p>
        </w:tc>
        <w:tc>
          <w:tcPr>
            <w:tcW w:type="dxa" w:w="2250"/>
            <w:tcBorders>
              <w:top w:val="single" w:color="C8A951" w:sz="6"/>
              <w:left w:val="none" w:color="FFFFFF" w:sz="0"/>
              <w:bottom w:val="none" w:color="FFFFFF" w:sz="0"/>
              <w:right w:val="single" w:color="E8D48B" w:sz="4"/>
            </w:tcBorders>
            <w:shd w:fill="F5F3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 w:val="false"/>
                <w:bCs w:val="false"/>
                <w:color w:val="C8A951"/>
                <w:sz w:val="56"/>
                <w:szCs w:val="56"/>
                <w:rFonts w:ascii="Palatino Linotype" w:cs="Palatino Linotype" w:eastAsia="Palatino Linotype" w:hAnsi="Palatino Linotype"/>
              </w:rPr>
              <w:t xml:space="preserve">41%</w:t>
            </w:r>
          </w:p>
          <w:p>
            <w:r>
              <w:rPr>
                <w:color w:val="5A6878"/>
                <w:sz w:val="14"/>
                <w:szCs w:val="14"/>
                <w:rFonts w:ascii="Courier New" w:cs="Courier New" w:eastAsia="Courier New" w:hAnsi="Courier New"/>
                <w:spacing w:val="80"/>
              </w:rPr>
              <w:t xml:space="preserve">DISCOUNT VS SYDNEY</w:t>
            </w:r>
          </w:p>
        </w:tc>
        <w:tc>
          <w:tcPr>
            <w:tcW w:type="dxa" w:w="2250"/>
            <w:tcBorders>
              <w:top w:val="single" w:color="C8A951" w:sz="6"/>
              <w:left w:val="none" w:color="FFFFFF" w:sz="0"/>
              <w:bottom w:val="none" w:color="FFFFFF" w:sz="0"/>
              <w:right w:val="single" w:color="E8D48B" w:sz="4"/>
            </w:tcBorders>
            <w:shd w:fill="F5F3E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 w:val="false"/>
                <w:bCs w:val="false"/>
                <w:color w:val="C8A951"/>
                <w:sz w:val="56"/>
                <w:szCs w:val="56"/>
                <w:rFonts w:ascii="Palatino Linotype" w:cs="Palatino Linotype" w:eastAsia="Palatino Linotype" w:hAnsi="Palatino Linotype"/>
              </w:rPr>
              <w:t xml:space="preserve">✓</w:t>
            </w:r>
          </w:p>
          <w:p>
            <w:r>
              <w:rPr>
                <w:color w:val="5A6878"/>
                <w:sz w:val="14"/>
                <w:szCs w:val="14"/>
                <w:rFonts w:ascii="Courier New" w:cs="Courier New" w:eastAsia="Courier New" w:hAnsi="Courier New"/>
                <w:spacing w:val="80"/>
              </w:rPr>
              <w:t xml:space="preserve">SMSF ELIGIBLE</w:t>
            </w:r>
          </w:p>
        </w:tc>
      </w:tr>
    </w:tbl>
    <w:p>
      <w:pPr>
        <w:spacing w:before="0" w:after="240"/>
      </w:pPr>
      <w:r/>
    </w:p>
    <w:p>
      <w:pPr>
        <w:pBdr>
          <w:bottom w:val="single" w:color="C8A951" w:sz="6"/>
        </w:pBdr>
        <w:spacing w:before="320" w:after="320"/>
      </w:pPr>
      <w:r/>
    </w:p>
    <w:p>
      <w:pPr>
        <w:spacing w:before="480" w:after="80"/>
      </w:pPr>
      <w:r>
        <w:rPr>
          <w:color w:val="C8A951"/>
          <w:sz w:val="16"/>
          <w:szCs w:val="16"/>
          <w:rFonts w:ascii="Courier New" w:cs="Courier New" w:eastAsia="Courier New" w:hAnsi="Courier New"/>
          <w:spacing w:val="120"/>
        </w:rPr>
        <w:t xml:space="preserve">MARKET CONTEXT</w:t>
      </w:r>
    </w:p>
    <w:p>
      <w:pPr>
        <w:pStyle w:val="Heading1"/>
        <w:pBdr>
          <w:bottom w:val="single" w:color="C8A951" w:sz="6"/>
        </w:pBdr>
        <w:spacing w:before="480" w:after="160"/>
      </w:pPr>
      <w:r>
        <w:rPr>
          <w:b w:val="false"/>
          <w:bCs w:val="false"/>
          <w:color w:val="080F1A"/>
          <w:sz w:val="48"/>
          <w:szCs w:val="48"/>
          <w:rFonts w:ascii="Palatino Linotype" w:cs="Palatino Linotype" w:eastAsia="Palatino Linotype" w:hAnsi="Palatino Linotype"/>
        </w:rPr>
        <w:t xml:space="preserve">Demand Drivers</w:t>
      </w:r>
    </w:p>
    <w:p>
      <w:pPr>
        <w:pStyle w:val="ListParagraph"/>
        <w:numPr>
          <w:ilvl w:val="0"/>
          <w:numId w:val="1"/>
        </w:numPr>
        <w:spacing w:before="60" w:after="60" w:line="300"/>
      </w:pPr>
      <w:r>
        <w:rPr>
          <w:color w:val="1A1A1A"/>
          <w:sz w:val="24"/>
          <w:szCs w:val="24"/>
          <w:rFonts w:ascii="Calibri" w:cs="Calibri" w:eastAsia="Calibri" w:hAnsi="Calibri"/>
        </w:rPr>
        <w:t xml:space="preserve">Net overseas migration into Victoria at decade highs — 140,000+ per annum (ABS, VIF23)</w:t>
      </w:r>
    </w:p>
    <w:p>
      <w:pPr>
        <w:pStyle w:val="ListParagraph"/>
        <w:numPr>
          <w:ilvl w:val="0"/>
          <w:numId w:val="1"/>
        </w:numPr>
        <w:spacing w:before="60" w:after="60" w:line="300"/>
      </w:pPr>
      <w:r>
        <w:rPr>
          <w:color w:val="1A1A1A"/>
          <w:sz w:val="24"/>
          <w:szCs w:val="24"/>
          <w:rFonts w:ascii="Calibri" w:cs="Calibri" w:eastAsia="Calibri" w:hAnsi="Calibri"/>
        </w:rPr>
        <w:t xml:space="preserve">FY2025 apartment completions the lowest on record — just 3,070 BTS apartments (Urbis)</w:t>
      </w:r>
    </w:p>
    <w:p>
      <w:pPr>
        <w:pStyle w:val="ListParagraph"/>
        <w:numPr>
          <w:ilvl w:val="0"/>
          <w:numId w:val="1"/>
        </w:numPr>
        <w:spacing w:before="60" w:after="60" w:line="300"/>
      </w:pPr>
      <w:r>
        <w:rPr>
          <w:color w:val="1A1A1A"/>
          <w:sz w:val="24"/>
          <w:szCs w:val="24"/>
          <w:rFonts w:ascii="Calibri" w:cs="Calibri" w:eastAsia="Calibri" w:hAnsi="Calibri"/>
        </w:rPr>
        <w:t xml:space="preserve">Melbourne median house prices 41% cheaper than Sydney — largest discount in 20 years</w:t>
      </w:r>
    </w:p>
    <w:p>
      <w:pPr>
        <w:pStyle w:val="ListParagraph"/>
        <w:numPr>
          <w:ilvl w:val="0"/>
          <w:numId w:val="1"/>
        </w:numPr>
        <w:spacing w:before="60" w:after="60" w:line="300"/>
      </w:pPr>
      <w:r>
        <w:rPr>
          <w:color w:val="1A1A1A"/>
          <w:sz w:val="24"/>
          <w:szCs w:val="24"/>
          <w:rFonts w:ascii="Calibri" w:cs="Calibri" w:eastAsia="Calibri" w:hAnsi="Calibri"/>
        </w:rPr>
        <w:t xml:space="preserve">$107 billion Victorian Infrastructure Plan — Suburban Rail Loop, Greenline, QVM renewal</w:t>
      </w:r>
    </w:p>
    <w:p>
      <w:pPr>
        <w:pStyle w:val="ListParagraph"/>
        <w:numPr>
          <w:ilvl w:val="0"/>
          <w:numId w:val="1"/>
        </w:numPr>
        <w:spacing w:before="60" w:after="60" w:line="300"/>
      </w:pPr>
      <w:r>
        <w:rPr>
          <w:color w:val="1A1A1A"/>
          <w:sz w:val="24"/>
          <w:szCs w:val="24"/>
          <w:rFonts w:ascii="Calibri" w:cs="Calibri" w:eastAsia="Calibri" w:hAnsi="Calibri"/>
        </w:rPr>
        <w:t xml:space="preserve">Major banks forecasting RBA cash rate to fall to 3.35–3.85% by Dec 2025</w:t>
      </w:r>
    </w:p>
    <w:p>
      <w:pPr>
        <w:pBdr>
          <w:bottom w:val="single" w:color="C8A951" w:sz="6"/>
        </w:pBdr>
        <w:spacing w:before="320" w:after="320"/>
      </w:pPr>
      <w:r/>
    </w:p>
    <w:p>
      <w:pPr>
        <w:spacing w:before="480" w:after="80"/>
      </w:pPr>
      <w:r>
        <w:rPr>
          <w:color w:val="C8A951"/>
          <w:sz w:val="16"/>
          <w:szCs w:val="16"/>
          <w:rFonts w:ascii="Courier New" w:cs="Courier New" w:eastAsia="Courier New" w:hAnsi="Courier New"/>
          <w:spacing w:val="120"/>
        </w:rPr>
        <w:t xml:space="preserve">STOCK DETAIL</w:t>
      </w:r>
    </w:p>
    <w:p>
      <w:pPr>
        <w:pStyle w:val="Heading1"/>
        <w:pBdr>
          <w:bottom w:val="single" w:color="C8A951" w:sz="6"/>
        </w:pBdr>
        <w:spacing w:before="480" w:after="160"/>
      </w:pPr>
      <w:r>
        <w:rPr>
          <w:b w:val="false"/>
          <w:bCs w:val="false"/>
          <w:color w:val="080F1A"/>
          <w:sz w:val="48"/>
          <w:szCs w:val="48"/>
          <w:rFonts w:ascii="Palatino Linotype" w:cs="Palatino Linotype" w:eastAsia="Palatino Linotype" w:hAnsi="Palatino Linotype"/>
        </w:rPr>
        <w:t xml:space="preserve">Property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single" w:color="C8A951" w:sz="6"/>
              <w:right w:val="none" w:color="FFFFFF" w:sz="0"/>
            </w:tcBorders>
            <w:shd w:fill="080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C8A951"/>
                <w:sz w:val="16"/>
                <w:szCs w:val="16"/>
                <w:rFonts w:ascii="Courier New" w:cs="Courier New" w:eastAsia="Courier New" w:hAnsi="Courier New"/>
                <w:spacing w:val="80"/>
              </w:rPr>
              <w:t xml:space="preserve">DETAIL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8A951" w:sz="6"/>
              <w:right w:val="none" w:color="FFFFFF" w:sz="0"/>
            </w:tcBorders>
            <w:shd w:fill="080F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C8A951"/>
                <w:sz w:val="16"/>
                <w:szCs w:val="16"/>
                <w:rFonts w:ascii="Courier New" w:cs="Courier New" w:eastAsia="Courier New" w:hAnsi="Courier New"/>
                <w:spacing w:val="80"/>
              </w:rPr>
              <w:t xml:space="preserve">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Project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Example Tower, Melbourne CBD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Type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2 Bedroom Apartment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Price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$650,000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Net Yield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5.1%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Rental Estimate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$640–$680 p/w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SMSF Eligible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Estimated Completion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9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Q4 2027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Commission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8D8C0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2"/>
                <w:szCs w:val="22"/>
                <w:rFonts w:ascii="Calibri" w:cs="Calibri" w:eastAsia="Calibri" w:hAnsi="Calibri"/>
              </w:rPr>
              <w:t xml:space="preserve">4.0% + GST</w:t>
            </w:r>
          </w:p>
        </w:tc>
      </w:tr>
    </w:tbl>
    <w:p>
      <w:pPr>
        <w:spacing w:before="0" w:after="240"/>
      </w:pPr>
      <w:r/>
    </w:p>
    <w:p>
      <w:r>
        <w:br w:type="page"/>
      </w:r>
    </w:p>
    <w:p>
      <w:pPr>
        <w:spacing w:before="480" w:after="80"/>
      </w:pPr>
      <w:r>
        <w:rPr>
          <w:color w:val="C8A951"/>
          <w:sz w:val="16"/>
          <w:szCs w:val="16"/>
          <w:rFonts w:ascii="Courier New" w:cs="Courier New" w:eastAsia="Courier New" w:hAnsi="Courier New"/>
          <w:spacing w:val="120"/>
        </w:rPr>
        <w:t xml:space="preserve">NEXT STEPS</w:t>
      </w:r>
    </w:p>
    <w:p>
      <w:pPr>
        <w:pStyle w:val="Heading1"/>
        <w:pBdr>
          <w:bottom w:val="single" w:color="C8A951" w:sz="6"/>
        </w:pBdr>
        <w:spacing w:before="480" w:after="160"/>
      </w:pPr>
      <w:r>
        <w:rPr>
          <w:b w:val="false"/>
          <w:bCs w:val="false"/>
          <w:color w:val="080F1A"/>
          <w:sz w:val="48"/>
          <w:szCs w:val="48"/>
          <w:rFonts w:ascii="Palatino Linotype" w:cs="Palatino Linotype" w:eastAsia="Palatino Linotype" w:hAnsi="Palatino Linotype"/>
        </w:rPr>
        <w:t xml:space="preserve">How to Proceed</w:t>
      </w:r>
    </w:p>
    <w:p>
      <w:pPr>
        <w:spacing w:before="0" w:after="160" w:line="336"/>
        <w:jc w:val="left"/>
      </w:pPr>
      <w:r>
        <w:rPr>
          <w:b w:val="false"/>
          <w:bCs w:val="false"/>
          <w:i w:val="false"/>
          <w:iCs w:val="false"/>
          <w:color w:val="1A1A1A"/>
          <w:sz w:val="24"/>
          <w:szCs w:val="24"/>
          <w:rFonts w:ascii="Calibri" w:cs="Calibri" w:eastAsia="Calibri" w:hAnsi="Calibri"/>
        </w:rPr>
        <w:t xml:space="preserve">To reserve this property for your client, please log in to the TPCH Partner Portal and submit a 48-hour hold request. Stock is updated in real time from our Monday.com project management system.</w:t>
      </w:r>
    </w:p>
    <w:p>
      <w:pPr>
        <w:pBdr>
          <w:left w:val="single" w:color="C8A951" w:sz="6"/>
        </w:pBdr>
        <w:spacing w:before="160" w:after="160" w:line="336"/>
        <w:ind w:left="720"/>
      </w:pPr>
      <w:r>
        <w:rPr>
          <w:i/>
          <w:iCs/>
          <w:color w:val="5A6878"/>
          <w:sz w:val="24"/>
          <w:szCs w:val="24"/>
          <w:rFonts w:ascii="Calibri" w:cs="Calibri" w:eastAsia="Calibri" w:hAnsi="Calibri"/>
        </w:rPr>
        <w:t xml:space="preserve">Properties at this price point and yield are moving quickly. TPCH recommends presentation within 5 business days of receipt of this document.</w:t>
      </w:r>
    </w:p>
    <w:p>
      <w:pPr>
        <w:pBdr>
          <w:bottom w:val="single" w:color="C8A951" w:sz="6"/>
        </w:pBdr>
        <w:spacing w:before="320" w:after="320"/>
      </w:pPr>
      <w:r/>
    </w:p>
    <w:p>
      <w:pPr>
        <w:spacing w:before="0" w:after="160" w:line="336"/>
        <w:jc w:val="left"/>
      </w:pPr>
      <w:r>
        <w:rPr>
          <w:b w:val="false"/>
          <w:bCs w:val="false"/>
          <w:i/>
          <w:iCs/>
          <w:color w:val="5A6878"/>
          <w:sz w:val="24"/>
          <w:szCs w:val="24"/>
          <w:rFonts w:ascii="Calibri" w:cs="Calibri" w:eastAsia="Calibri" w:hAnsi="Calibri"/>
        </w:rPr>
        <w:t xml:space="preserve">This document is prepared by The Property Clearing House for channel partner use only and does not constitute financial advice. Always conduct your own due diligence. © TPCH 2026</w:t>
      </w:r>
    </w:p>
    <w:sectPr>
      <w:headerReference w:type="default" r:id="rId6"/>
      <w:footerReference w:type="default" r:id="rId7"/>
      <w:pgSz w:w="11906" w:h="16838" w:orient="portrait"/>
      <w:pgMar w:top="1440" w:right="1152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51" w:sz="4"/>
      </w:pBdr>
      <w:spacing w:before="60"/>
      <w:jc w:val="right"/>
    </w:pPr>
    <w:r>
      <w:rPr>
        <w:color w:val="5A6878"/>
        <w:sz w:val="16"/>
        <w:szCs w:val="16"/>
        <w:rFonts w:ascii="Calibri" w:cs="Calibri" w:eastAsia="Calibri" w:hAnsi="Calibri"/>
      </w:rPr>
      <w:t xml:space="preserve">The Property Clearing House  ·  Channel Partner Intelligence — Australia  ·  tpch.com.au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4"/>
      </w:pBdr>
      <w:spacing w:after="0"/>
    </w:pPr>
    <w:r>
      <w:rPr>
        <w:b/>
        <w:bCs/>
        <w:color w:val="080F1A"/>
        <w:sz w:val="20"/>
        <w:szCs w:val="20"/>
        <w:rFonts w:ascii="Palatino Linotype" w:cs="Palatino Linotype" w:eastAsia="Palatino Linotype" w:hAnsi="Palatino Linotype"/>
      </w:rPr>
      <w:t xml:space="preserve">TPCH  </w:t>
    </w:r>
    <w:r>
      <w:rPr>
        <w:color w:val="C8A951"/>
        <w:sz w:val="20"/>
        <w:szCs w:val="20"/>
        <w:rFonts w:ascii="Calibri" w:cs="Calibri" w:eastAsia="Calibri" w:hAnsi="Calibri"/>
      </w:rPr>
      <w:t xml:space="preserve">|  </w:t>
    </w:r>
    <w:r>
      <w:rPr>
        <w:color w:val="5A6878"/>
        <w:sz w:val="20"/>
        <w:szCs w:val="20"/>
        <w:rFonts w:ascii="Calibri" w:cs="Calibri" w:eastAsia="Calibri" w:hAnsi="Calibri"/>
      </w:rPr>
      <w:t xml:space="preserve">Investment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Calibri" w:cs="Calibri" w:eastAsia="Calibri" w:hAnsi="Calibri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Proposal</dc:title>
  <dc:creator>The Property Clearing House</dc:creator>
  <dc:description>TPCH Branded Document</dc:description>
  <cp:lastModifiedBy>Un-named</cp:lastModifiedBy>
  <cp:revision>1</cp:revision>
  <dcterms:created xsi:type="dcterms:W3CDTF">2026-04-10T04:44:10.395Z</dcterms:created>
  <dcterms:modified xsi:type="dcterms:W3CDTF">2026-04-10T04:44:10.395Z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