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6F807" w14:textId="1DC8B87A" w:rsidR="00753308" w:rsidRDefault="008B06A8" w:rsidP="008B06A8">
      <w:pPr>
        <w:jc w:val="center"/>
      </w:pPr>
      <w:r w:rsidRPr="00C121DB">
        <w:rPr>
          <w:noProof/>
        </w:rPr>
        <w:drawing>
          <wp:inline distT="0" distB="0" distL="0" distR="0" wp14:anchorId="5E033102" wp14:editId="1BF0FEEB">
            <wp:extent cx="4200525" cy="857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9E794" w14:textId="0CC2D4C2" w:rsidR="008B06A8" w:rsidRPr="00E1451D" w:rsidRDefault="008B06A8" w:rsidP="008B06A8">
      <w:pPr>
        <w:jc w:val="center"/>
        <w:rPr>
          <w:b/>
          <w:bCs/>
          <w:color w:val="4472C4" w:themeColor="accent1"/>
          <w:sz w:val="32"/>
          <w:szCs w:val="32"/>
        </w:rPr>
      </w:pPr>
      <w:r w:rsidRPr="00E1451D">
        <w:rPr>
          <w:b/>
          <w:bCs/>
          <w:color w:val="4472C4" w:themeColor="accent1"/>
          <w:sz w:val="32"/>
          <w:szCs w:val="32"/>
        </w:rPr>
        <w:t xml:space="preserve">Wprowadzenie do fizyki
Sylabus kursu</w:t>
      </w:r>
      <w:r w:rsidRPr="00E1451D">
        <w:rPr>
          <w:b/>
          <w:bCs/>
          <w:color w:val="4472C4" w:themeColor="accent1"/>
          <w:sz w:val="32"/>
          <w:szCs w:val="32"/>
        </w:rPr>
        <w:br/>
        <w:t/>
      </w:r>
    </w:p>
    <w:p w14:paraId="7EBDDDE4" w14:textId="715053BA" w:rsidR="008B06A8" w:rsidRPr="00E1451D" w:rsidRDefault="008B06A8">
      <w:pPr>
        <w:rPr>
          <w:b/>
          <w:bCs/>
          <w:color w:val="4472C4" w:themeColor="accent1"/>
          <w:sz w:val="28"/>
          <w:szCs w:val="28"/>
        </w:rPr>
      </w:pPr>
      <w:r w:rsidRPr="00E1451D">
        <w:rPr>
          <w:b/>
          <w:bCs/>
          <w:color w:val="4472C4" w:themeColor="accent1"/>
          <w:sz w:val="28"/>
          <w:szCs w:val="28"/>
        </w:rPr>
        <w:t xml:space="preserve">Podręcznik</w:t>
      </w:r>
    </w:p>
    <w:p w14:paraId="31A909EC" w14:textId="74AD18F1" w:rsidR="008B06A8" w:rsidRDefault="008B06A8">
      <w:r>
        <w:t xml:space="preserve">Jedynym podręcznikiem do tego kursu będzie </w:t>
      </w:r>
      <w:hyperlink r:id="rId6" w:history="1">
        <w:r w:rsidRPr="001546E2">
          <w:rPr>
            <w:rStyle w:val="Hyperlink"/>
          </w:rPr>
          <w:t>Wprowadzenie do fizyki, wydanie drugie</w:t>
        </w:r>
      </w:hyperlink>
      <w:r>
        <w:t xml:space="preserve">, autorstwa prowadzącego. </w:t>
      </w:r>
    </w:p>
    <w:p w14:paraId="32E1A90C" w14:textId="0262C3DA" w:rsidR="008B06A8" w:rsidRDefault="008B06A8">
      <w:r>
        <w:t xml:space="preserve">Cele kursu</w:t>
      </w:r>
    </w:p>
    <w:p w14:paraId="22003825" w14:textId="76A33863" w:rsidR="008B06A8" w:rsidRDefault="008B06A8" w:rsidP="00026957">
      <w:pPr>
        <w:spacing w:after="0"/>
        <w:ind w:firstLine="360"/>
        <w:rPr>
          <w:rFonts w:cstheme="minorHAnsi"/>
        </w:rPr>
      </w:pPr>
      <w:r>
        <w:rPr>
          <w:rFonts w:ascii="Cascadia Mono" w:hAnsi="Cascadia Mono" w:cs="Cascadia Mono"/>
        </w:rPr>
        <w:t xml:space="preserve">● Zapoznanie studentów z podstawowymi zasadami fizyki</w:t>
      </w:r>
      <w:r w:rsidR="00A629D4">
        <w:rPr>
          <w:rFonts w:ascii="Cascadia Mono" w:hAnsi="Cascadia Mono" w:cs="Cascadia Mono"/>
        </w:rPr>
        <w:t xml:space="preserve"/>
      </w:r>
      <w:r w:rsidRPr="008B06A8">
        <w:rPr>
          <w:rFonts w:cstheme="minorHAnsi"/>
        </w:rPr>
        <w:t/>
      </w:r>
      <w:r>
        <w:rPr>
          <w:rFonts w:cstheme="minorHAnsi"/>
        </w:rPr>
        <w:t xml:space="preserve"/>
      </w:r>
    </w:p>
    <w:p w14:paraId="65EED31A" w14:textId="5B75B482" w:rsidR="008B06A8" w:rsidRDefault="008B06A8" w:rsidP="00026957">
      <w:pPr>
        <w:spacing w:after="0"/>
        <w:ind w:firstLine="360"/>
        <w:rPr>
          <w:rFonts w:cstheme="minorHAnsi"/>
        </w:rPr>
      </w:pPr>
      <w:r>
        <w:rPr>
          <w:rFonts w:ascii="Cascadia Mono" w:hAnsi="Cascadia Mono" w:cs="Cascadia Mono"/>
        </w:rPr>
        <w:t xml:space="preserve">● Zapewnienie studentom bogatych, skłaniających do myślenia dyskusji podczas wykładów</w:t>
      </w:r>
      <w:r w:rsidRPr="00A629D4">
        <w:rPr>
          <w:rFonts w:ascii="Cascadia Mono" w:hAnsi="Cascadia Mono" w:cs="Cascadia Mono"/>
        </w:rPr>
        <w:t xml:space="preserve"/>
      </w:r>
      <w:r>
        <w:rPr>
          <w:rFonts w:cstheme="minorHAnsi"/>
        </w:rPr>
        <w:t/>
      </w:r>
    </w:p>
    <w:p w14:paraId="4BE4290D" w14:textId="13F1893B" w:rsidR="008B06A8" w:rsidRDefault="008B06A8" w:rsidP="00026957">
      <w:pPr>
        <w:spacing w:after="0"/>
        <w:ind w:firstLine="360"/>
        <w:rPr>
          <w:rFonts w:cstheme="minorHAnsi"/>
        </w:rPr>
      </w:pPr>
      <w:r>
        <w:rPr>
          <w:rFonts w:ascii="Cascadia Mono" w:hAnsi="Cascadia Mono" w:cs="Cascadia Mono"/>
        </w:rPr>
        <w:t xml:space="preserve">● Zapewnienie studentom możliwości uczenia się przez doświadczenie podczas zajęć laboratoryjnych</w:t>
      </w:r>
      <w:r w:rsidRPr="00A629D4">
        <w:rPr>
          <w:rFonts w:ascii="Cascadia Mono" w:hAnsi="Cascadia Mono" w:cs="Cascadia Mono"/>
        </w:rPr>
        <w:t xml:space="preserve"/>
      </w:r>
      <w:r>
        <w:rPr>
          <w:rFonts w:cstheme="minorHAnsi"/>
        </w:rPr>
        <w:t/>
      </w:r>
    </w:p>
    <w:p w14:paraId="342A6856" w14:textId="77777777" w:rsidR="00026957" w:rsidRDefault="00026957" w:rsidP="00026957">
      <w:pPr>
        <w:spacing w:after="0"/>
        <w:ind w:firstLine="360"/>
        <w:rPr>
          <w:rFonts w:cstheme="minorHAnsi"/>
        </w:rPr>
      </w:pPr>
    </w:p>
    <w:p w14:paraId="5611EEBC" w14:textId="0C3CF144" w:rsidR="008B06A8" w:rsidRPr="00E1451D" w:rsidRDefault="008B06A8" w:rsidP="008B06A8">
      <w:pPr>
        <w:rPr>
          <w:b/>
          <w:bCs/>
          <w:color w:val="4472C4" w:themeColor="accent1"/>
          <w:sz w:val="28"/>
          <w:szCs w:val="28"/>
        </w:rPr>
      </w:pPr>
      <w:r w:rsidRPr="00E1451D">
        <w:rPr>
          <w:b/>
          <w:bCs/>
          <w:color w:val="4472C4" w:themeColor="accent1"/>
          <w:sz w:val="28"/>
          <w:szCs w:val="28"/>
        </w:rPr>
        <w:t xml:space="preserve">Harmonogram zajęć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B06A8" w14:paraId="7D6B70BE" w14:textId="77777777" w:rsidTr="00114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  <w:tcBorders>
              <w:bottom w:val="none" w:sz="0" w:space="0" w:color="auto"/>
              <w:right w:val="none" w:sz="0" w:space="0" w:color="auto"/>
            </w:tcBorders>
          </w:tcPr>
          <w:p w14:paraId="73A0E849" w14:textId="4C8B51D6" w:rsidR="008B06A8" w:rsidRDefault="008B06A8" w:rsidP="008B06A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Tydzień</w:t>
            </w:r>
          </w:p>
        </w:tc>
        <w:tc>
          <w:tcPr>
            <w:tcW w:w="3117" w:type="dxa"/>
          </w:tcPr>
          <w:p w14:paraId="7EFC3E57" w14:textId="7E44A788" w:rsidR="008B06A8" w:rsidRDefault="008B06A8" w:rsidP="008B06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Temat</w:t>
            </w:r>
          </w:p>
        </w:tc>
        <w:tc>
          <w:tcPr>
            <w:tcW w:w="3117" w:type="dxa"/>
          </w:tcPr>
          <w:p w14:paraId="2DF07955" w14:textId="495EAA21" w:rsidR="008B06A8" w:rsidRDefault="008B06A8" w:rsidP="008B06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Zadana lektura</w:t>
            </w:r>
          </w:p>
        </w:tc>
      </w:tr>
      <w:tr w:rsidR="008B06A8" w:rsidRPr="00060994" w14:paraId="67B65F02" w14:textId="77777777" w:rsidTr="00114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DD11213" w14:textId="4FB17DCB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1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78AF2FDA" w14:textId="3E56DB78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Course Introduction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73CBACF0" w14:textId="2CC71EF0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 xml:space="preserve">Rozdział 1</w:t>
            </w:r>
          </w:p>
        </w:tc>
      </w:tr>
      <w:tr w:rsidR="008B06A8" w:rsidRPr="00060994" w14:paraId="2B9D3B2D" w14:textId="77777777" w:rsidTr="00114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right w:val="none" w:sz="0" w:space="0" w:color="auto"/>
            </w:tcBorders>
          </w:tcPr>
          <w:p w14:paraId="5A67B840" w14:textId="6733AB5C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2</w:t>
            </w:r>
          </w:p>
        </w:tc>
        <w:tc>
          <w:tcPr>
            <w:tcW w:w="3117" w:type="dxa"/>
          </w:tcPr>
          <w:p w14:paraId="58145800" w14:textId="7F36580D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Inertia, equilibrium, kinematics</w:t>
            </w:r>
          </w:p>
        </w:tc>
        <w:tc>
          <w:tcPr>
            <w:tcW w:w="3117" w:type="dxa"/>
          </w:tcPr>
          <w:p w14:paraId="1F80CF4B" w14:textId="4D78669F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 xml:space="preserve">Rozdziały 2-3</w:t>
            </w:r>
          </w:p>
        </w:tc>
      </w:tr>
      <w:tr w:rsidR="008B06A8" w:rsidRPr="00060994" w14:paraId="3B453A3B" w14:textId="77777777" w:rsidTr="00114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9F3F966" w14:textId="4441E7BA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3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2FB3A5E8" w14:textId="7EF49800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Newton’s laws, vectors, momentum, energy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19F085AF" w14:textId="7FE6AEB3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 xml:space="preserve">Rozdziały 4-7</w:t>
            </w:r>
          </w:p>
        </w:tc>
      </w:tr>
      <w:tr w:rsidR="008B06A8" w:rsidRPr="00060994" w14:paraId="0DE84A7F" w14:textId="77777777" w:rsidTr="00114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right w:val="none" w:sz="0" w:space="0" w:color="auto"/>
            </w:tcBorders>
          </w:tcPr>
          <w:p w14:paraId="69D7B0FD" w14:textId="2F63955A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4</w:t>
            </w:r>
          </w:p>
        </w:tc>
        <w:tc>
          <w:tcPr>
            <w:tcW w:w="3117" w:type="dxa"/>
          </w:tcPr>
          <w:p w14:paraId="12ADC5A9" w14:textId="085AB0D3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Matter, elasticity, scaling</w:t>
            </w:r>
          </w:p>
        </w:tc>
        <w:tc>
          <w:tcPr>
            <w:tcW w:w="3117" w:type="dxa"/>
          </w:tcPr>
          <w:p w14:paraId="2F849F84" w14:textId="44FEE425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 xml:space="preserve">Rozdziały 8-10</w:t>
            </w:r>
          </w:p>
        </w:tc>
      </w:tr>
      <w:tr w:rsidR="008B06A8" w:rsidRPr="00060994" w14:paraId="6BF4FAE9" w14:textId="77777777" w:rsidTr="00114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37E9ED0" w14:textId="1A655BD0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5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4B9F5FA3" w14:textId="228AE2FB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Wave kinematics, sound, electricity, magnetism, induction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3C24D465" w14:textId="3DEE9B1B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Chapters 11-15</w:t>
            </w:r>
          </w:p>
        </w:tc>
      </w:tr>
      <w:tr w:rsidR="008B06A8" w:rsidRPr="00060994" w14:paraId="68B7C6F1" w14:textId="77777777" w:rsidTr="00114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right w:val="none" w:sz="0" w:space="0" w:color="auto"/>
            </w:tcBorders>
          </w:tcPr>
          <w:p w14:paraId="304A9CC7" w14:textId="3D80044B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6</w:t>
            </w:r>
          </w:p>
        </w:tc>
        <w:tc>
          <w:tcPr>
            <w:tcW w:w="3117" w:type="dxa"/>
          </w:tcPr>
          <w:p w14:paraId="396D59EE" w14:textId="2D341A17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Ligh</w:t>
            </w:r>
            <w:r w:rsidR="00DD769F">
              <w:rPr>
                <w:rFonts w:cstheme="minorHAnsi"/>
              </w:rPr>
              <w:t>t</w:t>
            </w:r>
            <w:r w:rsidRPr="00060994">
              <w:rPr>
                <w:rFonts w:cstheme="minorHAnsi"/>
              </w:rPr>
              <w:t>, reflection and refraction, emission</w:t>
            </w:r>
          </w:p>
        </w:tc>
        <w:tc>
          <w:tcPr>
            <w:tcW w:w="3117" w:type="dxa"/>
          </w:tcPr>
          <w:p w14:paraId="331FDEEC" w14:textId="0CA140C8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 xml:space="preserve">Rozdziały 15-18</w:t>
            </w:r>
          </w:p>
        </w:tc>
      </w:tr>
      <w:tr w:rsidR="008B06A8" w:rsidRPr="00060994" w14:paraId="0ABB2726" w14:textId="77777777" w:rsidTr="00114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D580921" w14:textId="733180E4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7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6563214F" w14:textId="1D64E79C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Review, final exam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2701CA50" w14:textId="77777777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14:paraId="19007D18" w14:textId="42FFA876" w:rsidR="008B06A8" w:rsidRPr="00060994" w:rsidRDefault="008B06A8" w:rsidP="008B06A8">
      <w:pPr>
        <w:rPr>
          <w:rFonts w:cstheme="minorHAnsi"/>
        </w:rPr>
      </w:pPr>
    </w:p>
    <w:p w14:paraId="64EE889D" w14:textId="085331CA" w:rsidR="00E1451D" w:rsidRPr="00E1451D" w:rsidRDefault="00E1451D" w:rsidP="008B06A8">
      <w:pPr>
        <w:rPr>
          <w:b/>
          <w:bCs/>
          <w:color w:val="4472C4" w:themeColor="accent1"/>
          <w:sz w:val="28"/>
          <w:szCs w:val="28"/>
        </w:rPr>
      </w:pPr>
      <w:r w:rsidRPr="00E1451D">
        <w:rPr>
          <w:b/>
          <w:bCs/>
          <w:color w:val="4472C4" w:themeColor="accent1"/>
          <w:sz w:val="28"/>
          <w:szCs w:val="28"/>
        </w:rPr>
        <w:t xml:space="preserve">Oceny</w:t>
      </w:r>
    </w:p>
    <w:p w14:paraId="72688947" w14:textId="77777777" w:rsidR="00E1451D" w:rsidRDefault="00E1451D" w:rsidP="00E1451D">
      <w:pPr>
        <w:rPr>
          <w:rFonts w:cstheme="minorHAnsi"/>
        </w:rPr>
      </w:pPr>
      <w:r>
        <w:rPr>
          <w:rFonts w:cstheme="minorHAnsi"/>
        </w:rPr>
        <w:t xml:space="preserve">Oceny będą przyznawane w skali dziesięciopunktowej (90 do 100 to 5, 80 do 89 to 4 itd.). Prace domowe, egzaminy i projekty będą ważone następująco: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E1451D" w14:paraId="25586DAE" w14:textId="77777777" w:rsidTr="002C168F">
        <w:trPr>
          <w:jc w:val="center"/>
        </w:trPr>
        <w:tc>
          <w:tcPr>
            <w:tcW w:w="1335" w:type="dxa"/>
            <w:vMerge w:val="restart"/>
            <w:shd w:val="clear" w:color="auto" w:fill="4472C4" w:themeFill="accent1"/>
            <w:vAlign w:val="center"/>
          </w:tcPr>
          <w:p w14:paraId="2F675E5B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D04A5">
              <w:rPr>
                <w:rFonts w:cstheme="minorHAnsi"/>
                <w:b/>
                <w:bCs/>
                <w:color w:val="FFFFFF" w:themeColor="background1"/>
              </w:rPr>
              <w:t xml:space="preserve">Prace domowe</w:t>
            </w:r>
          </w:p>
        </w:tc>
        <w:tc>
          <w:tcPr>
            <w:tcW w:w="4007" w:type="dxa"/>
            <w:gridSpan w:val="3"/>
            <w:shd w:val="clear" w:color="auto" w:fill="4472C4" w:themeFill="accent1"/>
            <w:vAlign w:val="center"/>
          </w:tcPr>
          <w:p w14:paraId="2B9BA2C0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D04A5">
              <w:rPr>
                <w:rFonts w:cstheme="minorHAnsi"/>
                <w:b/>
                <w:bCs/>
                <w:color w:val="FFFFFF" w:themeColor="background1"/>
              </w:rPr>
              <w:t xml:space="preserve">Egzaminy</w:t>
            </w:r>
          </w:p>
        </w:tc>
        <w:tc>
          <w:tcPr>
            <w:tcW w:w="4008" w:type="dxa"/>
            <w:gridSpan w:val="3"/>
            <w:shd w:val="clear" w:color="auto" w:fill="4472C4" w:themeFill="accent1"/>
            <w:vAlign w:val="center"/>
          </w:tcPr>
          <w:p w14:paraId="0CBF637D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D04A5">
              <w:rPr>
                <w:rFonts w:cstheme="minorHAnsi"/>
                <w:b/>
                <w:bCs/>
                <w:color w:val="FFFFFF" w:themeColor="background1"/>
              </w:rPr>
              <w:t xml:space="preserve">Projekty</w:t>
            </w:r>
          </w:p>
        </w:tc>
      </w:tr>
      <w:tr w:rsidR="00E1451D" w14:paraId="4F42BB29" w14:textId="77777777" w:rsidTr="002C168F">
        <w:trPr>
          <w:jc w:val="center"/>
        </w:trPr>
        <w:tc>
          <w:tcPr>
            <w:tcW w:w="1335" w:type="dxa"/>
            <w:vMerge/>
          </w:tcPr>
          <w:p w14:paraId="4C7479B0" w14:textId="77777777" w:rsidR="00E1451D" w:rsidRDefault="00E1451D" w:rsidP="002C168F">
            <w:pPr>
              <w:jc w:val="center"/>
              <w:rPr>
                <w:rFonts w:cstheme="minorHAnsi"/>
              </w:rPr>
            </w:pPr>
          </w:p>
        </w:tc>
        <w:tc>
          <w:tcPr>
            <w:tcW w:w="1335" w:type="dxa"/>
          </w:tcPr>
          <w:p w14:paraId="2B6D27BC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1336" w:type="dxa"/>
          </w:tcPr>
          <w:p w14:paraId="159A2620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1336" w:type="dxa"/>
          </w:tcPr>
          <w:p w14:paraId="55B55066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 xml:space="preserve">Końcowy</w:t>
            </w:r>
          </w:p>
        </w:tc>
        <w:tc>
          <w:tcPr>
            <w:tcW w:w="1336" w:type="dxa"/>
          </w:tcPr>
          <w:p w14:paraId="27DA2A6E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1336" w:type="dxa"/>
          </w:tcPr>
          <w:p w14:paraId="779A7B79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1336" w:type="dxa"/>
          </w:tcPr>
          <w:p w14:paraId="7C7FD607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 xml:space="preserve">Końcowy</w:t>
            </w:r>
          </w:p>
        </w:tc>
      </w:tr>
      <w:tr w:rsidR="00E1451D" w14:paraId="2D5FCF90" w14:textId="77777777" w:rsidTr="002C168F">
        <w:trPr>
          <w:jc w:val="center"/>
        </w:trPr>
        <w:tc>
          <w:tcPr>
            <w:tcW w:w="1335" w:type="dxa"/>
          </w:tcPr>
          <w:p w14:paraId="4E12EE08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15%</w:t>
            </w:r>
          </w:p>
        </w:tc>
        <w:tc>
          <w:tcPr>
            <w:tcW w:w="1335" w:type="dxa"/>
          </w:tcPr>
          <w:p w14:paraId="47429674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15%</w:t>
            </w:r>
          </w:p>
        </w:tc>
        <w:tc>
          <w:tcPr>
            <w:tcW w:w="1336" w:type="dxa"/>
          </w:tcPr>
          <w:p w14:paraId="6092A90B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15%</w:t>
            </w:r>
          </w:p>
        </w:tc>
        <w:tc>
          <w:tcPr>
            <w:tcW w:w="1336" w:type="dxa"/>
          </w:tcPr>
          <w:p w14:paraId="756C0115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20%</w:t>
            </w:r>
          </w:p>
        </w:tc>
        <w:tc>
          <w:tcPr>
            <w:tcW w:w="1336" w:type="dxa"/>
          </w:tcPr>
          <w:p w14:paraId="4B7266A8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10%</w:t>
            </w:r>
          </w:p>
        </w:tc>
        <w:tc>
          <w:tcPr>
            <w:tcW w:w="1336" w:type="dxa"/>
          </w:tcPr>
          <w:p w14:paraId="7ED927C0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10%</w:t>
            </w:r>
          </w:p>
        </w:tc>
        <w:tc>
          <w:tcPr>
            <w:tcW w:w="1336" w:type="dxa"/>
          </w:tcPr>
          <w:p w14:paraId="6BD6E017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15%</w:t>
            </w:r>
          </w:p>
        </w:tc>
      </w:tr>
    </w:tbl>
    <w:p w14:paraId="0756FF49" w14:textId="77777777" w:rsidR="00E1451D" w:rsidRDefault="00E1451D" w:rsidP="00E1451D">
      <w:pPr>
        <w:rPr>
          <w:rFonts w:cstheme="minorHAnsi"/>
        </w:rPr>
      </w:pPr>
    </w:p>
    <w:p w14:paraId="7AA9C747" w14:textId="1F433A8F" w:rsidR="00E1451D" w:rsidRPr="00E1451D" w:rsidRDefault="00E1451D" w:rsidP="00E1451D">
      <w:r w:rsidRPr="00E1451D">
        <w:t xml:space="preserve">Ce </w:t>
      </w:r>
      <w:proofErr w:type="spellStart"/>
      <w:r w:rsidRPr="00E1451D">
        <w:t>programme</w:t>
      </w:r>
      <w:proofErr w:type="spellEnd"/>
      <w:r w:rsidRPr="00E1451D">
        <w:t xml:space="preserve"> </w:t>
      </w:r>
      <w:proofErr w:type="spellStart"/>
      <w:r w:rsidRPr="00E1451D">
        <w:t>est</w:t>
      </w:r>
      <w:proofErr w:type="spellEnd"/>
      <w:r w:rsidRPr="00E1451D">
        <w:t xml:space="preserve"> </w:t>
      </w:r>
      <w:proofErr w:type="spellStart"/>
      <w:r w:rsidRPr="00E1451D">
        <w:t>également</w:t>
      </w:r>
      <w:proofErr w:type="spellEnd"/>
      <w:r w:rsidRPr="00E1451D">
        <w:t xml:space="preserve"> disponible </w:t>
      </w:r>
      <w:proofErr w:type="spellStart"/>
      <w:r w:rsidRPr="00E1451D">
        <w:t>en</w:t>
      </w:r>
      <w:proofErr w:type="spellEnd"/>
      <w:r w:rsidRPr="00E1451D">
        <w:t xml:space="preserve"> </w:t>
      </w:r>
      <w:proofErr w:type="spellStart"/>
      <w:r w:rsidRPr="00E1451D">
        <w:t>français</w:t>
      </w:r>
      <w:proofErr w:type="spellEnd"/>
      <w:r w:rsidRPr="00E1451D">
        <w:t xml:space="preserve"> sur </w:t>
      </w:r>
      <w:proofErr w:type="spellStart"/>
      <w:r w:rsidRPr="00E1451D">
        <w:t>demande</w:t>
      </w:r>
      <w:proofErr w:type="spellEnd"/>
      <w:r w:rsidRPr="00E1451D">
        <w:t>.</w:t>
      </w:r>
    </w:p>
    <w:sectPr w:rsidR="00E1451D" w:rsidRPr="00E14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altName w:val="Segoe UI Symbol"/>
    <w:panose1 w:val="020B0604020202020204"/>
    <w:charset w:val="00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83CC7"/>
    <w:multiLevelType w:val="hybridMultilevel"/>
    <w:tmpl w:val="BBB0D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83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6A8"/>
    <w:rsid w:val="00026957"/>
    <w:rsid w:val="00060994"/>
    <w:rsid w:val="00114128"/>
    <w:rsid w:val="001546E2"/>
    <w:rsid w:val="001B0A2E"/>
    <w:rsid w:val="00672991"/>
    <w:rsid w:val="00753308"/>
    <w:rsid w:val="007D134E"/>
    <w:rsid w:val="008B06A8"/>
    <w:rsid w:val="008F359A"/>
    <w:rsid w:val="00A629D4"/>
    <w:rsid w:val="00DD769F"/>
    <w:rsid w:val="00E1451D"/>
    <w:rsid w:val="00E3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45780"/>
  <w15:chartTrackingRefBased/>
  <w15:docId w15:val="{6CCA4BD8-295C-4AFF-97D8-8F179B260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06A8"/>
    <w:pPr>
      <w:ind w:left="720"/>
      <w:contextualSpacing/>
    </w:pPr>
  </w:style>
  <w:style w:type="table" w:styleId="TableGrid">
    <w:name w:val="Table Grid"/>
    <w:basedOn w:val="TableNormal"/>
    <w:uiPriority w:val="39"/>
    <w:rsid w:val="008B0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B06A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1546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ashington.edu/accesscomputing/AU/after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176</Words>
  <Characters>1002</Characters>
  <Application>Microsoft Office Word</Application>
  <DocSecurity>0</DocSecurity>
  <Lines>66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 de Jongh</dc:creator>
  <cp:keywords/>
  <dc:description/>
  <cp:lastModifiedBy>Gaby de Jongh</cp:lastModifiedBy>
  <cp:revision>11</cp:revision>
  <dcterms:created xsi:type="dcterms:W3CDTF">2022-11-10T18:03:00Z</dcterms:created>
  <dcterms:modified xsi:type="dcterms:W3CDTF">2022-12-08T19:18:00Z</dcterms:modified>
</cp:coreProperties>
</file>