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ARKUSZ ODPOWIEDZI — BANK KAZUSÓW</w:t>
      </w:r>
    </w:p>
    <w:p>
      <w:pPr>
        <w:spacing w:after="300"/>
      </w:pPr>
      <w:r>
        <w:rPr>
          <w:sz w:val="26"/>
          <w:szCs w:val="26"/>
        </w:rPr>
        <w:t xml:space="preserve">Grupa 1 z 4: K-01 – K-04 (część międzynarodowa)</w:t>
      </w:r>
    </w:p>
    <w:p>
      <w:pPr>
        <w:spacing w:after="60"/>
      </w:pPr>
      <w:r>
        <w:rPr>
          <w:b/>
          <w:bCs/>
        </w:rPr>
        <w:t xml:space="preserve">Model: </w:t>
      </w:r>
      <w:r>
        <w:t xml:space="preserve">Claude Sonnet 5 (poziom rozumowania: średni)</w:t>
      </w:r>
    </w:p>
    <w:p>
      <w:pPr>
        <w:spacing w:after="60"/>
      </w:pPr>
      <w:r>
        <w:rPr>
          <w:b/>
          <w:bCs/>
        </w:rPr>
        <w:t xml:space="preserve">Data opracowania: </w:t>
      </w:r>
      <w:r>
        <w:t xml:space="preserve">2 września 2026</w:t>
      </w:r>
    </w:p>
    <w:p>
      <w:pPr>
        <w:spacing w:after="60"/>
      </w:pPr>
      <w:r>
        <w:rPr>
          <w:b/>
          <w:bCs/>
        </w:rPr>
        <w:t xml:space="preserve">Status: </w:t>
      </w:r>
      <w:r>
        <w:t xml:space="preserve">Materiał dydaktyczny — issue spotting i argumentacja adversarialna, nie opinia prawna w konkretnej sprawie</w:t>
      </w:r>
    </w:p>
    <w:p>
      <w:pPr>
        <w:spacing w:after="60"/>
      </w:pPr>
      <w:r>
        <w:rPr>
          <w:b/>
          <w:bCs/>
        </w:rPr>
        <w:t xml:space="preserve">Metodologia: </w:t>
      </w:r>
      <w:r>
        <w:t xml:space="preserve">Dla kazusów międzynarodowych: reżimy prawa międzynarodowego (traktatowe/zwyczajowe) wskazane opisowo wraz z kluczowym orzecznictwem/praktyką; kazusy są fikcyjnymi adaptacjami problemów moot court, więc nie istnieją dla nich "aktualne przepisy ELI" do weryfikacji — weryfikacji podlega natomiast przywołane realne orzecznictwo i instrumenty (np. linia Micula/Achmea, Statut Rzymski, ARSIWA).</w:t>
      </w:r>
    </w:p>
    <w:p>
      <w:pPr>
        <w:spacing w:after="200"/>
      </w:pPr>
    </w:p>
    <w:p>
      <w:pPr>
        <w:spacing w:after="140"/>
      </w:pPr>
      <w:r>
        <w:rPr>
          <w:i/>
          <w:iCs/>
        </w:rPr>
        <w:t xml:space="preserve">Każdy kazus rozwiązany jest według standardu banku: (1) mapa jurysdykcji i kompetencji, (2) przesłanki roszczeń/zarzutów, (3) najsilniejszy argument każdej strony z kontrą, (4) braki faktyczne — bez dopowiadania stanu faktycznego, (5) rozstrzygnięcie i środek naprawczy.</w:t>
      </w:r>
    </w:p>
    <w:p>
      <w:r>
        <w:br w:type="page"/>
      </w:r>
    </w:p>
    <w:p>
      <w:pPr>
        <w:spacing w:after="60"/>
      </w:pPr>
      <w:r>
        <w:rPr>
          <w:b/>
          <w:bCs/>
          <w:color w:val="1F3864"/>
          <w:sz w:val="32"/>
          <w:szCs w:val="32"/>
        </w:rPr>
        <w:t xml:space="preserve">K-01  Heliox przeciwko Królestwu Solarii</w:t>
      </w:r>
    </w:p>
    <w:p>
      <w:pPr>
        <w:spacing w:after="200"/>
      </w:pPr>
      <w:r>
        <w:rPr>
          <w:i/>
          <w:iCs/>
          <w:sz w:val="22"/>
          <w:szCs w:val="22"/>
        </w:rPr>
        <w:t xml:space="preserve">Transformacja energetyczna, pomoc państwa i arbitraż inwestycyjny — adaptacja ELMC 2026–2027</w:t>
      </w:r>
    </w:p>
    <w:p>
      <w:pPr>
        <w:spacing w:after="60"/>
      </w:pPr>
      <w:r>
        <w:rPr>
          <w:b/>
          <w:bCs/>
        </w:rPr>
        <w:t xml:space="preserve">Poziom: </w:t>
      </w:r>
      <w:r>
        <w:t xml:space="preserve">ekstremalna</w:t>
      </w:r>
    </w:p>
    <w:p>
      <w:pPr>
        <w:spacing w:after="60"/>
      </w:pPr>
      <w:r>
        <w:rPr>
          <w:b/>
          <w:bCs/>
        </w:rPr>
        <w:t xml:space="preserve">Sugerowany czas: </w:t>
      </w:r>
      <w:r>
        <w:t xml:space="preserve">5–7 godzin</w:t>
      </w:r>
    </w:p>
    <w:p>
      <w:pPr>
        <w:spacing w:after="60"/>
      </w:pPr>
      <w:r>
        <w:rPr>
          <w:b/>
          <w:bCs/>
        </w:rPr>
        <w:t xml:space="preserve">Role: </w:t>
      </w:r>
      <w:r>
        <w:t xml:space="preserve">inwestor; państwo; Komisja Europejska; sąd krajowy</w:t>
      </w:r>
    </w:p>
    <w:p>
      <w:pPr>
        <w:spacing w:after="100"/>
      </w:pPr>
    </w:p>
    <w:p>
      <w:pPr>
        <w:pStyle w:val="Heading2"/>
        <w:spacing w:after="150" w:before="300"/>
      </w:pPr>
      <w:r>
        <w:t xml:space="preserve">1. Teza wstępna</w:t>
      </w:r>
    </w:p>
    <w:p>
      <w:pPr>
        <w:spacing w:after="140"/>
      </w:pPr>
      <w:r>
        <w:t xml:space="preserve">Solaria pozostaje uprawniona (a po formalnym wszczęciu postępowania przez Komisję — zobowiązana) do zawieszenia i odzyskania korzyści noszącej cechy pomocy państwa, ale ryczałtowy, niezindywidualizowany sposób odzyskania narusza zasadę proporcjonalności i efektywnej ochrony sądowej; jednocześnie próba wykonania wyroku ICSID w drodze uznającej odtworzenie zakwestionowanej korzyści jest z dużym prawdopodobieństwem zablokowana przez linię orzeczniczą Achmea/Komstroy/Micula, co czyni arbitraż inwestycyjny "martwym torem" egzekucyjnym wewnątrz UE, a właściwym forum sporu materialnego pozostaje kontrola sądowokrajowa decyzji odzyskowej pod nadzorem TSUE.</w:t>
      </w:r>
    </w:p>
    <w:p>
      <w:pPr>
        <w:pStyle w:val="Heading2"/>
        <w:spacing w:after="150" w:before="300"/>
      </w:pPr>
      <w:r>
        <w:t xml:space="preserve">2. Mapa jurysdykcji, źródeł prawa i kompetencji organów</w:t>
      </w:r>
    </w:p>
    <w:p>
      <w:pPr>
        <w:pStyle w:val="ListParagraph"/>
        <w:numPr>
          <w:ilvl w:val="0"/>
          <w:numId w:val="1"/>
        </w:numPr>
        <w:spacing w:after="80"/>
      </w:pPr>
      <w:r>
        <w:t xml:space="preserve">Sąd krajowy Solarii — kontrola legalności ustawy odzyskowej i decyzji administracyjnych; obowiązek zadania pytania prejudycjalnego przy wątpliwości co do wykładni prawa UE (art. 267 TFUE) — co już czyni (wskazane w stanie faktycznym).</w:t>
      </w:r>
    </w:p>
    <w:p>
      <w:pPr>
        <w:pStyle w:val="ListParagraph"/>
        <w:numPr>
          <w:ilvl w:val="0"/>
          <w:numId w:val="1"/>
        </w:numPr>
        <w:spacing w:after="80"/>
      </w:pPr>
      <w:r>
        <w:t xml:space="preserve">Komisja Europejska — wyłączna kompetencja do stwierdzenia zgodności/niezgodności pomocy państwa z rynkiem wewnętrznym (art. 107–108 TFUE); do czasu decyzji końcowej obowiązuje wyłącznie "formalne postępowanie" — brak jeszcze wiążącego stwierdzenia pomocy.</w:t>
      </w:r>
    </w:p>
    <w:p>
      <w:pPr>
        <w:pStyle w:val="ListParagraph"/>
        <w:numPr>
          <w:ilvl w:val="0"/>
          <w:numId w:val="1"/>
        </w:numPr>
        <w:spacing w:after="80"/>
      </w:pPr>
      <w:r>
        <w:t xml:space="preserve">TSUE — pytania prejudycjalne sądu najwyższego Solarii; ewentualna skarga o unieważnienie decyzji Komisji przed Sądem UE (art. 263 TFUE) wniesiona przez zainteresowany podmiot.</w:t>
      </w:r>
    </w:p>
    <w:p>
      <w:pPr>
        <w:pStyle w:val="ListParagraph"/>
        <w:numPr>
          <w:ilvl w:val="0"/>
          <w:numId w:val="1"/>
        </w:numPr>
        <w:spacing w:after="80"/>
      </w:pPr>
      <w:r>
        <w:t xml:space="preserve">Trybunał arbitrażowy (ICSID lub ad hoc na podstawie umowy UE–państwo trzecie) — już wydał wyrok; kwestią sporną pozostaje ważność klauzuli arbitrażowej w świetle autonomii prawa UE (Achmea 2018, Komstroy 2021) oraz — przy umowie zawartej przez samą UE — dodatkowo status takiej umowy w porządku unijnym.</w:t>
      </w:r>
    </w:p>
    <w:p>
      <w:pPr>
        <w:pStyle w:val="ListParagraph"/>
        <w:numPr>
          <w:ilvl w:val="0"/>
          <w:numId w:val="1"/>
        </w:numPr>
        <w:spacing w:after="80"/>
      </w:pPr>
      <w:r>
        <w:t xml:space="preserve">Sądy państw wykonania (poza UE lub z ograniczonym obowiązkiem lojalności unijnej) — możliwa równoległa egzekucja wyroku z majątku Solarii poza terytorium UE, gdzie obowiązki z Achmea nie wiążą.</w:t>
      </w:r>
    </w:p>
    <w:p>
      <w:pPr>
        <w:pStyle w:val="ListParagraph"/>
        <w:numPr>
          <w:ilvl w:val="0"/>
          <w:numId w:val="1"/>
        </w:numPr>
        <w:spacing w:after="80"/>
      </w:pPr>
      <w:r>
        <w:t xml:space="preserve">Komitet ds. przestrzegania Konwencji z Aarhus — funkcja quasi-nadzorcza, ustalenia niewiążące prawnie wprost, ale relewantne dla oceny wadliwości procedury legislacyjnej.</w:t>
      </w:r>
    </w:p>
    <w:p>
      <w:pPr>
        <w:pStyle w:val="Heading2"/>
        <w:spacing w:after="150" w:before="300"/>
      </w:pPr>
      <w:r>
        <w:t xml:space="preserve">3. Przesłanki roszczeń / zarzutów / środków ochrony</w:t>
      </w:r>
    </w:p>
    <w:p>
      <w:pPr>
        <w:pStyle w:val="Heading3"/>
        <w:spacing w:after="100" w:before="200"/>
      </w:pPr>
      <w:r>
        <w:t xml:space="preserve">Pomoc państwa (art. 107 TFUE)</w:t>
      </w:r>
    </w:p>
    <w:p>
      <w:pPr>
        <w:pStyle w:val="ListParagraph"/>
        <w:numPr>
          <w:ilvl w:val="0"/>
          <w:numId w:val="1"/>
        </w:numPr>
        <w:spacing w:after="80"/>
      </w:pPr>
      <w:r>
        <w:t xml:space="preserve">Selektywna korzyść finansowana z zasobów państwowych, zakłócająca konkurencję i wpływająca na handel między państwami członkowskimi — przesłanki kumulatywne.</w:t>
      </w:r>
    </w:p>
    <w:p>
      <w:pPr>
        <w:pStyle w:val="ListParagraph"/>
        <w:numPr>
          <w:ilvl w:val="0"/>
          <w:numId w:val="1"/>
        </w:numPr>
        <w:spacing w:after="80"/>
      </w:pPr>
      <w:r>
        <w:t xml:space="preserve">Certyfikat imienny nie kreuje ochrony przed stwierdzeniem pomocy — kwalifikacja jest obiektywna i niezależna od aktu krajowego przyznającego korzyść.</w:t>
      </w:r>
    </w:p>
    <w:p>
      <w:pPr>
        <w:pStyle w:val="ListParagraph"/>
        <w:numPr>
          <w:ilvl w:val="0"/>
          <w:numId w:val="1"/>
        </w:numPr>
        <w:spacing w:after="80"/>
      </w:pPr>
      <w:r>
        <w:t xml:space="preserve">Wiedza doradców inwestora o zarzutach organizacji ekologicznych i stanowisku ministerstwa jest istotna dla oceny dobrej wiary, ale nie przesądza sama w sobie o niezgodności z prawem UE — to Komisja/sąd, nie inwestor, kwalifikuje pomoc.</w:t>
      </w:r>
    </w:p>
    <w:p>
      <w:pPr>
        <w:pStyle w:val="Heading3"/>
        <w:spacing w:after="100" w:before="200"/>
      </w:pPr>
      <w:r>
        <w:t xml:space="preserve">Ochrona uzasadnionych oczekiwań vs. zakaz utrwalania bezprawnej korzyści</w:t>
      </w:r>
    </w:p>
    <w:p>
      <w:pPr>
        <w:pStyle w:val="ListParagraph"/>
        <w:numPr>
          <w:ilvl w:val="0"/>
          <w:numId w:val="1"/>
        </w:numPr>
        <w:spacing w:after="80"/>
      </w:pPr>
      <w:r>
        <w:t xml:space="preserve">Uzasadnione oczekiwania chronione są tylko wobec podmiotu działającego w dobrej wierze i przy braku wiedzy o wadliwości; sygnały o kwestionowaniu programu osłabiają tę ochronę.</w:t>
      </w:r>
    </w:p>
    <w:p>
      <w:pPr>
        <w:pStyle w:val="ListParagraph"/>
        <w:numPr>
          <w:ilvl w:val="0"/>
          <w:numId w:val="1"/>
        </w:numPr>
        <w:spacing w:after="80"/>
      </w:pPr>
      <w:r>
        <w:t xml:space="preserve">Zasada, że nie można czerpać z własnej bezprawności (ochrona rynku wewnętrznego), ma pierwszeństwo przed indywidualną pewnością prawa, gdy korzyść jest niezgodna z traktatem.</w:t>
      </w:r>
    </w:p>
    <w:p>
      <w:pPr>
        <w:pStyle w:val="Heading3"/>
        <w:spacing w:after="100" w:before="200"/>
      </w:pPr>
      <w:r>
        <w:t xml:space="preserve">Wykonalność wyroku arbitrażowego w UE</w:t>
      </w:r>
    </w:p>
    <w:p>
      <w:pPr>
        <w:pStyle w:val="ListParagraph"/>
        <w:numPr>
          <w:ilvl w:val="0"/>
          <w:numId w:val="1"/>
        </w:numPr>
        <w:spacing w:after="80"/>
      </w:pPr>
      <w:r>
        <w:t xml:space="preserve">Klauzula arbitrażowa w umowie międzynarodowej zawartej przez Unię i państwa członkowskie z państwem trzecim pozostaje sporna co do zgodności z autonomią prawa UE, jeśli tribunał orzeka w istocie o stosowaniu prawa UE (Komstroy) — inaczej niż czysty spór intra-UE, tu inwestor pochodzi z państwa trzeciego, co osłabia analogię do Achmea, ale nie eliminuje problemu, jeśli wyrok odtwarza korzyść objętą reżimem pomocy państwa.</w:t>
      </w:r>
    </w:p>
    <w:p>
      <w:pPr>
        <w:pStyle w:val="ListParagraph"/>
        <w:numPr>
          <w:ilvl w:val="0"/>
          <w:numId w:val="1"/>
        </w:numPr>
        <w:spacing w:after="80"/>
      </w:pPr>
      <w:r>
        <w:t xml:space="preserve">Wykonanie wyroku odtwarzającego zakwestionowaną korzyść może samo stanowić nową pomoc państwa (stanowisko Komisji ma oparcie w linii Micula) — sąd krajowy zobowiązany do lojalnej współpracy (art. 4 ust. 3 TUE) może odmówić wykonania lub zawiesić je do czasu decyzji Komisji/TSUE.</w:t>
      </w:r>
    </w:p>
    <w:p>
      <w:pPr>
        <w:pStyle w:val="Heading3"/>
        <w:spacing w:after="100" w:before="200"/>
      </w:pPr>
      <w:r>
        <w:t xml:space="preserve">Proporcjonalność odzyskania</w:t>
      </w:r>
    </w:p>
    <w:p>
      <w:pPr>
        <w:pStyle w:val="ListParagraph"/>
        <w:numPr>
          <w:ilvl w:val="0"/>
          <w:numId w:val="1"/>
        </w:numPr>
        <w:spacing w:after="80"/>
      </w:pPr>
      <w:r>
        <w:t xml:space="preserve">Odzyskanie musi odpowiadać rzeczywistej, zindywidualizowanej korzyści netto każdego beneficjenta — metoda ryczałtowa według mocy instalacji, bez badania konkretnej korzyści, jest podatna na zarzut naruszenia zasady proporcjonalności i prawa do skutecznego środka prawnego (art. 47 KPP).</w:t>
      </w:r>
    </w:p>
    <w:p>
      <w:pPr>
        <w:pStyle w:val="Heading2"/>
        <w:spacing w:after="150" w:before="300"/>
      </w:pPr>
      <w:r>
        <w:t xml:space="preserve">4. Macierz argumentów stron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1F3864" w:val="clear"/>
          </w:tcPr>
          <w:p>
            <w:r>
              <w:rPr>
                <w:b/>
                <w:bCs/>
                <w:color w:val="FFFFFF"/>
                <w:sz w:val="20"/>
                <w:szCs w:val="20"/>
              </w:rPr>
              <w:t xml:space="preserve">Kwestia</w:t>
            </w:r>
          </w:p>
        </w:tc>
        <w:tc>
          <w:tcPr>
            <w:tcW w:type="dxa" w:w="2600"/>
            <w:shd w:fill="1F3864" w:val="clear"/>
          </w:tcPr>
          <w:p>
            <w:r>
              <w:rPr>
                <w:b/>
                <w:bCs/>
                <w:color w:val="FFFFFF"/>
                <w:sz w:val="20"/>
                <w:szCs w:val="20"/>
              </w:rPr>
              <w:t xml:space="preserve">Argument strony A</w:t>
            </w:r>
          </w:p>
        </w:tc>
        <w:tc>
          <w:tcPr>
            <w:tcW w:type="dxa" w:w="2600"/>
            <w:shd w:fill="1F3864" w:val="clear"/>
          </w:tcPr>
          <w:p>
            <w:r>
              <w:rPr>
                <w:b/>
                <w:bCs/>
                <w:color w:val="FFFFFF"/>
                <w:sz w:val="20"/>
                <w:szCs w:val="20"/>
              </w:rPr>
              <w:t xml:space="preserve">Argument strony B</w:t>
            </w:r>
          </w:p>
        </w:tc>
        <w:tc>
          <w:tcPr>
            <w:tcW w:type="dxa" w:w="2600"/>
            <w:shd w:fill="1F3864" w:val="clear"/>
          </w:tcPr>
          <w:p>
            <w:r>
              <w:rPr>
                <w:b/>
                <w:bCs/>
                <w:color w:val="FFFFFF"/>
                <w:sz w:val="20"/>
                <w:szCs w:val="20"/>
              </w:rPr>
              <w:t xml:space="preserve">Kluczowa kontra / uwaga</w:t>
            </w:r>
          </w:p>
        </w:tc>
      </w:tr>
      <w:tr>
        <w:tc>
          <w:tcPr>
            <w:tcW w:type="dxa" w:w="1600"/>
          </w:tcPr>
          <w:p>
            <w:r>
              <w:rPr>
                <w:b w:val="false"/>
                <w:bCs w:val="false"/>
                <w:sz w:val="18"/>
                <w:szCs w:val="18"/>
              </w:rPr>
              <w:t xml:space="preserve">Charakter programu</w:t>
            </w:r>
          </w:p>
        </w:tc>
        <w:tc>
          <w:tcPr>
            <w:tcW w:type="dxa" w:w="2600"/>
          </w:tcPr>
          <w:p>
            <w:r>
              <w:rPr>
                <w:b w:val="false"/>
                <w:bCs w:val="false"/>
                <w:sz w:val="18"/>
                <w:szCs w:val="18"/>
              </w:rPr>
              <w:t xml:space="preserve">To ogólny środek regulacyjny (taryfa gwarantowana o charakterze systemowym), nie selektywna pomoc — brak selektywności wobec całej branży OZE.</w:t>
            </w:r>
          </w:p>
        </w:tc>
        <w:tc>
          <w:tcPr>
            <w:tcW w:type="dxa" w:w="2600"/>
          </w:tcPr>
          <w:p>
            <w:r>
              <w:rPr>
                <w:b w:val="false"/>
                <w:bCs w:val="false"/>
                <w:sz w:val="18"/>
                <w:szCs w:val="18"/>
              </w:rPr>
              <w:t xml:space="preserve">Program spełnia wszystkie przesłanki art. 107 TFUE: selektywna korzyść sektorowa, zasoby publiczne, wpływ na handel wewnątrzunijny (precedens hiszpańskich/rumuńskich programów RES).</w:t>
            </w:r>
          </w:p>
        </w:tc>
        <w:tc>
          <w:tcPr>
            <w:tcW w:type="dxa" w:w="2600"/>
          </w:tcPr>
          <w:p>
            <w:r>
              <w:rPr>
                <w:b w:val="false"/>
                <w:bCs w:val="false"/>
                <w:sz w:val="18"/>
                <w:szCs w:val="18"/>
              </w:rPr>
              <w:t xml:space="preserve">Selektywność sektorowa (tylko OZE, tylko z certyfikatem) zwykle wystarcza — argument "środka ogólnego" rzadko broni się w sprawach taryf gwarantowanych; kluczowe będzie porównanie z linią orzeczniczą ws. hiszpańskich/czeskich programów fotowoltaicznych.</w:t>
            </w:r>
          </w:p>
        </w:tc>
      </w:tr>
      <w:tr>
        <w:tc>
          <w:tcPr>
            <w:tcW w:type="dxa" w:w="1600"/>
          </w:tcPr>
          <w:p>
            <w:r>
              <w:rPr>
                <w:b w:val="false"/>
                <w:bCs w:val="false"/>
                <w:sz w:val="18"/>
                <w:szCs w:val="18"/>
              </w:rPr>
              <w:t xml:space="preserve">Ochrona certyfikatu</w:t>
            </w:r>
          </w:p>
        </w:tc>
        <w:tc>
          <w:tcPr>
            <w:tcW w:type="dxa" w:w="2600"/>
          </w:tcPr>
          <w:p>
            <w:r>
              <w:rPr>
                <w:b w:val="false"/>
                <w:bCs w:val="false"/>
                <w:sz w:val="18"/>
                <w:szCs w:val="18"/>
              </w:rPr>
              <w:t xml:space="preserve">Certyfikat imienny to akt administracyjny kreujący prawa nabyte i uzasadnione oczekiwania niezależne od późniejszej kwalifikacji unijnej.</w:t>
            </w:r>
          </w:p>
        </w:tc>
        <w:tc>
          <w:tcPr>
            <w:tcW w:type="dxa" w:w="2600"/>
          </w:tcPr>
          <w:p>
            <w:r>
              <w:rPr>
                <w:b w:val="false"/>
                <w:bCs w:val="false"/>
                <w:sz w:val="18"/>
                <w:szCs w:val="18"/>
              </w:rPr>
              <w:t xml:space="preserve">Certyfikat krajowy nie wiąże Komisji ani nie konwaliduje pomocy niezgodnej z rynkiem wewnętrznym — prymat prawa UE.</w:t>
            </w:r>
          </w:p>
        </w:tc>
        <w:tc>
          <w:tcPr>
            <w:tcW w:type="dxa" w:w="2600"/>
          </w:tcPr>
          <w:p>
            <w:r>
              <w:rPr>
                <w:b w:val="false"/>
                <w:bCs w:val="false"/>
                <w:sz w:val="18"/>
                <w:szCs w:val="18"/>
              </w:rPr>
              <w:t xml:space="preserve">Certyfikat może chronić dobrą wiarę przy ocenie okresu odzyskania/odsetek, ale nie blokuje samego odzyskania — to rozróżnienie należy wyraźnie przeprowadzić w memorandum.</w:t>
            </w:r>
          </w:p>
        </w:tc>
      </w:tr>
      <w:tr>
        <w:tc>
          <w:tcPr>
            <w:tcW w:type="dxa" w:w="1600"/>
          </w:tcPr>
          <w:p>
            <w:r>
              <w:rPr>
                <w:b w:val="false"/>
                <w:bCs w:val="false"/>
                <w:sz w:val="18"/>
                <w:szCs w:val="18"/>
              </w:rPr>
              <w:t xml:space="preserve">Wykonanie wyroku ICSID</w:t>
            </w:r>
          </w:p>
        </w:tc>
        <w:tc>
          <w:tcPr>
            <w:tcW w:type="dxa" w:w="2600"/>
          </w:tcPr>
          <w:p>
            <w:r>
              <w:rPr>
                <w:b w:val="false"/>
                <w:bCs w:val="false"/>
                <w:sz w:val="18"/>
                <w:szCs w:val="18"/>
              </w:rPr>
              <w:t xml:space="preserve">Zobowiązania z konwencji ICSID (art. 53–54) mają charakter bezwarunkowy — państwo musi wykonać wyrok niezależnie od wewnętrznych procedur.</w:t>
            </w:r>
          </w:p>
        </w:tc>
        <w:tc>
          <w:tcPr>
            <w:tcW w:type="dxa" w:w="2600"/>
          </w:tcPr>
          <w:p>
            <w:r>
              <w:rPr>
                <w:b w:val="false"/>
                <w:bCs w:val="false"/>
                <w:sz w:val="18"/>
                <w:szCs w:val="18"/>
              </w:rPr>
              <w:t xml:space="preserve">Prymat i autonomia prawa UE (Achmea, Komstroy) wyłączają skuteczność klauzuli arbitrażowej / uniemożliwiają wykonanie wyroku sprzecznego z reżimem pomocy państwa wewnątrz UE.</w:t>
            </w:r>
          </w:p>
        </w:tc>
        <w:tc>
          <w:tcPr>
            <w:tcW w:type="dxa" w:w="2600"/>
          </w:tcPr>
          <w:p>
            <w:r>
              <w:rPr>
                <w:b w:val="false"/>
                <w:bCs w:val="false"/>
                <w:sz w:val="18"/>
                <w:szCs w:val="18"/>
              </w:rPr>
              <w:t xml:space="preserve">Inwestor spoza UE osłabia czystą analogię do Achmea (spór nie jest "intra-UE"), ale jeśli podstawą jest umowa zawarta przez samą Unię, argument autonomii prawa UE i tak może się utrzymać — to newralgiczny, nierozstrzygnięty punkt kazusu, wymagający jednoznacznego zaznaczenia niepewności.</w:t>
            </w:r>
          </w:p>
        </w:tc>
      </w:tr>
      <w:tr>
        <w:tc>
          <w:tcPr>
            <w:tcW w:type="dxa" w:w="1600"/>
          </w:tcPr>
          <w:p>
            <w:r>
              <w:rPr>
                <w:b w:val="false"/>
                <w:bCs w:val="false"/>
                <w:sz w:val="18"/>
                <w:szCs w:val="18"/>
              </w:rPr>
              <w:t xml:space="preserve">Legitymacja proceduralna ustawy pierwotnej</w:t>
            </w:r>
          </w:p>
        </w:tc>
        <w:tc>
          <w:tcPr>
            <w:tcW w:type="dxa" w:w="2600"/>
          </w:tcPr>
          <w:p>
            <w:r>
              <w:rPr>
                <w:b w:val="false"/>
                <w:bCs w:val="false"/>
                <w:sz w:val="18"/>
                <w:szCs w:val="18"/>
              </w:rPr>
              <w:t xml:space="preserve">Wadliwa partycypacja społeczna (ocena komitetu z Aarhus) nie wpływa na prawa nabyte inwestorów działających w dobrej wierze na podstawie obowiązującego prawa.</w:t>
            </w:r>
          </w:p>
        </w:tc>
        <w:tc>
          <w:tcPr>
            <w:tcW w:type="dxa" w:w="2600"/>
          </w:tcPr>
          <w:p>
            <w:r>
              <w:rPr>
                <w:b w:val="false"/>
                <w:bCs w:val="false"/>
                <w:sz w:val="18"/>
                <w:szCs w:val="18"/>
              </w:rPr>
              <w:t xml:space="preserve">Nietransparentny proces konsultacyjny podważa legitymację całego programu i wzmacnia argument, że został on uchwalony z naruszeniem prawa do informacji i udziału społeczeństwa, co koresponduje ze słabszą ochroną oczekiwań inwestora, który znał kontrowersje.</w:t>
            </w:r>
          </w:p>
        </w:tc>
        <w:tc>
          <w:tcPr>
            <w:tcW w:type="dxa" w:w="2600"/>
          </w:tcPr>
          <w:p>
            <w:r>
              <w:rPr>
                <w:b w:val="false"/>
                <w:bCs w:val="false"/>
                <w:sz w:val="18"/>
                <w:szCs w:val="18"/>
              </w:rPr>
              <w:t xml:space="preserve">To dwa różne reżimy (Aarhus — legitymacja proceduralna aktu; TFUE — pomoc państwa) — nie należy ich zlewać; ustalenie Komitetu Aarhus jest relewantne pomocniczo, nie rozstrzygająco, dla oceny dobrej wiary inwestora.</w:t>
            </w:r>
          </w:p>
        </w:tc>
      </w:tr>
    </w:tbl>
    <w:p>
      <w:pPr>
        <w:spacing w:after="150"/>
      </w:pPr>
    </w:p>
    <w:p>
      <w:pPr>
        <w:pStyle w:val="Heading2"/>
        <w:spacing w:after="150" w:before="300"/>
      </w:pPr>
      <w:r>
        <w:t xml:space="preserve">5. Braki faktyczne i dowody rozstrzygające</w:t>
      </w:r>
    </w:p>
    <w:p>
      <w:pPr>
        <w:pStyle w:val="ListParagraph"/>
        <w:numPr>
          <w:ilvl w:val="0"/>
          <w:numId w:val="1"/>
        </w:numPr>
        <w:spacing w:after="80"/>
      </w:pPr>
      <w:r>
        <w:t xml:space="preserve">Brak decyzji końcowej Komisji — kluczowa niewiadoma: czy i w jakim zakresie program stanowi pomoc niezgodną z rynkiem wewnętrznym. Bez tego niemożliwa jest ostateczna kwalifikacja odzyskania jako zgodnego z prawem.</w:t>
      </w:r>
    </w:p>
    <w:p>
      <w:pPr>
        <w:pStyle w:val="ListParagraph"/>
        <w:numPr>
          <w:ilvl w:val="0"/>
          <w:numId w:val="1"/>
        </w:numPr>
        <w:spacing w:after="80"/>
      </w:pPr>
      <w:r>
        <w:t xml:space="preserve">Brak informacji o treści klauzuli jurysdykcyjnej umowy inwestycyjnej UE–państwo trzecie (czy przewiduje mechanizm zgodny z opinią 1/17 TSUE dot. CETA) — rozstrzyga o dopuszczalności arbitrażu.</w:t>
      </w:r>
    </w:p>
    <w:p>
      <w:pPr>
        <w:pStyle w:val="ListParagraph"/>
        <w:numPr>
          <w:ilvl w:val="0"/>
          <w:numId w:val="1"/>
        </w:numPr>
        <w:spacing w:after="80"/>
      </w:pPr>
      <w:r>
        <w:t xml:space="preserve">Brak danych o rzeczywistej korzyści netto poszczególnych projektów Heliox — niezbędnych do oceny proporcjonalności odzyskania ryczałtowego.</w:t>
      </w:r>
    </w:p>
    <w:p>
      <w:pPr>
        <w:pStyle w:val="ListParagraph"/>
        <w:numPr>
          <w:ilvl w:val="0"/>
          <w:numId w:val="1"/>
        </w:numPr>
        <w:spacing w:after="80"/>
      </w:pPr>
      <w:r>
        <w:t xml:space="preserve">Nie wskazano, czy Solaria jest już związana wyrokiem TSUE w analogicznej sprawie (np. w trybie pytania prejudycjalnego z innej sprawy) — wpływałoby na przewidywalność rozstrzygnięcia.</w:t>
      </w:r>
    </w:p>
    <w:p>
      <w:pPr>
        <w:pStyle w:val="ListParagraph"/>
        <w:numPr>
          <w:ilvl w:val="0"/>
          <w:numId w:val="1"/>
        </w:numPr>
        <w:spacing w:after="80"/>
      </w:pPr>
      <w:r>
        <w:t xml:space="preserve">Zakaz dopowiadania faktów: nie zakładam, czy komitet z Aarhus wydał wiążące ustalenie, ani czy inwestor faktycznie wiedział o niezgodności programu z prawem UE — kazus podaje jedynie, że doradcy "znali zarzuty" i "publiczną opinię ministerstwa", co nie jest równoznaczne z wiedzą o wadliwości prawnej.</w:t>
      </w:r>
    </w:p>
    <w:p>
      <w:pPr>
        <w:pStyle w:val="Heading2"/>
        <w:spacing w:after="150" w:before="300"/>
      </w:pPr>
      <w:r>
        <w:t xml:space="preserve">6. Rozstrzygnięcie i środek naprawczy</w:t>
      </w:r>
    </w:p>
    <w:p>
      <w:pPr>
        <w:spacing w:after="140"/>
      </w:pPr>
      <w:r>
        <w:t xml:space="preserve">Sąd krajowy powinien: (1) zawiesić postępowanie egzekucyjne wyroku arbitrażowego do czasu rozstrzygnięcia TSUE w trybie prejudycjalnym co do zgodności klauzuli arbitrażowej z autonomią prawa UE oraz kwalifikacji odzyskania jako nowej pomocy; (2) jednocześnie skierować sprawę do ponownego wyliczenia kwoty odzyskania na zasadzie zindywidualizowanej korzyści netto, uchylając mechanizm ryczałtowy jako sprzeczny z zasadą proporcjonalności i prawem do skutecznej ochrony sądowej; (3) nie orzekać merytorycznie o istnieniu pomocy państwa przed decyzją końcową Komisji — to jej wyłączna kompetencja.</w:t>
      </w:r>
    </w:p>
    <w:p>
      <w:pPr>
        <w:spacing w:after="140"/>
      </w:pPr>
      <w:r>
        <w:rPr>
          <w:b w:val="false"/>
          <w:bCs w:val="false"/>
        </w:rPr>
        <w:t xml:space="preserve">Środek naprawczy: zawieszenie wykonania decyzji odzyskowej w części przekraczającej indywidualnie wykazaną korzyść netto + zabezpieczenie majątkowe proporcjonalne do możliwej kwoty ostatecznej, z jednoczesnym pytaniem prejudycjalnym o dopuszczalność wykonania wyroku arbitrażowego wewnątrz UE.</w:t>
      </w:r>
    </w:p>
    <w:p>
      <w:pPr>
        <w:pStyle w:val="Heading3"/>
        <w:spacing w:after="100" w:before="200"/>
      </w:pPr>
      <w:r>
        <w:t xml:space="preserve">Uwagi metodologiczne / status weryfikacji</w:t>
      </w:r>
    </w:p>
    <w:p>
      <w:pPr>
        <w:spacing w:after="140"/>
      </w:pPr>
      <w:r>
        <w:rPr>
          <w:i/>
          <w:iCs/>
          <w:sz w:val="20"/>
          <w:szCs w:val="20"/>
        </w:rPr>
        <w:t xml:space="preserve">Zweryfikowano: linia orzecznicza Micula v. Romania (ICSID ARB/05/20; decyzja Komisji 2015/1470; C‑638/19 P) oraz Achmea (C‑284/16) i Komstroy (C‑741/19) jako aktualny, potwierdzony stan orzecznictwa UE dot. relacji arbitraż inwestycyjny–prawo UE (źródło: Kluwer Arbitration Blog, Global Arbitration Review, Aceris Law — wyszukiwanie z 2 września 2026). Kwestia dopuszczalności arbitrażu inwestora z państwa trzeciego na tle umowy zawartej przez samą UE nie ma jednoznacznego rozstrzygnięcia w przywołanych źródłach i jest oznaczona jako otwarta.</w:t>
      </w:r>
    </w:p>
    <w:p>
      <w:r>
        <w:br w:type="page"/>
      </w:r>
    </w:p>
    <w:p>
      <w:pPr>
        <w:spacing w:after="60"/>
      </w:pPr>
      <w:r>
        <w:rPr>
          <w:b/>
          <w:bCs/>
          <w:color w:val="1F3864"/>
          <w:sz w:val="32"/>
          <w:szCs w:val="32"/>
        </w:rPr>
        <w:t xml:space="preserve">K-02  Spór o Wąwóz Gordyjski</w:t>
      </w:r>
    </w:p>
    <w:p>
      <w:pPr>
        <w:spacing w:after="200"/>
      </w:pPr>
      <w:r>
        <w:rPr>
          <w:i/>
          <w:iCs/>
          <w:sz w:val="22"/>
          <w:szCs w:val="22"/>
        </w:rPr>
        <w:t xml:space="preserve">Ludność rdzenna, minerały krytyczne i odpowiedzialność państwa — adaptacja Jessup 2026</w:t>
      </w:r>
    </w:p>
    <w:p>
      <w:pPr>
        <w:spacing w:after="60"/>
      </w:pPr>
      <w:r>
        <w:rPr>
          <w:b/>
          <w:bCs/>
        </w:rPr>
        <w:t xml:space="preserve">Poziom: </w:t>
      </w:r>
      <w:r>
        <w:t xml:space="preserve">ekstremalna</w:t>
      </w:r>
    </w:p>
    <w:p>
      <w:pPr>
        <w:spacing w:after="60"/>
      </w:pPr>
      <w:r>
        <w:rPr>
          <w:b/>
          <w:bCs/>
        </w:rPr>
        <w:t xml:space="preserve">Sugerowany czas: </w:t>
      </w:r>
      <w:r>
        <w:t xml:space="preserve">5–7 godzin</w:t>
      </w:r>
    </w:p>
    <w:p>
      <w:pPr>
        <w:spacing w:after="60"/>
      </w:pPr>
      <w:r>
        <w:rPr>
          <w:b/>
          <w:bCs/>
        </w:rPr>
        <w:t xml:space="preserve">Role: </w:t>
      </w:r>
      <w:r>
        <w:t xml:space="preserve">Alekostria; Restovia; społeczności Pilemon; spółka państwowa</w:t>
      </w:r>
    </w:p>
    <w:p>
      <w:pPr>
        <w:spacing w:after="100"/>
      </w:pPr>
    </w:p>
    <w:p>
      <w:pPr>
        <w:pStyle w:val="Heading2"/>
        <w:spacing w:after="150" w:before="300"/>
      </w:pPr>
      <w:r>
        <w:t xml:space="preserve">1. Teza wstępna</w:t>
      </w:r>
    </w:p>
    <w:p>
      <w:pPr>
        <w:spacing w:after="140"/>
      </w:pPr>
      <w:r>
        <w:t xml:space="preserve">Konsultacje przeprowadzone przez Restovię prawdopodobnie spełniają traktatowy standard "udziału w podejmowaniu decyzji" rozumiany jako wzmocniona konsultacja w dobrej wierze, a nie prawo weta — bojkot części społeczności i wewnętrzny podział zdań nie unieważniają procesu, o ile objął on rzeczywiście upoważnionych przedstawicieli; zachowanie NEXCA jest przypisywalne Alekostrii ze względu na strukturalną kontrolę państwową nad zarządem i wymóg zgody politycznej na projekty zagraniczne (test kontroli efektywnej/instytucjonalnej), co czyni Alekostrię odpowiedzialną za naruszenie należytej staranności przy wdrożeniu podatnego na cyberatak systemu autonomicznego, niezależnie od nieustalenia sprawcy ataku; odmowa ekstradycji przez Alekostrię wymaga zbadania zgodności z konkretnym traktatem ekstradycyjnym/klauzulą traktatu dwustronnego, a sama powszechna niezgodność procedury z "ogólnymi zasadami prawa" nie jest samodzielną podstawą odmowy bez wskazania konkretnego standardu naruszonego.</w:t>
      </w:r>
    </w:p>
    <w:p>
      <w:pPr>
        <w:pStyle w:val="Heading2"/>
        <w:spacing w:after="150" w:before="300"/>
      </w:pPr>
      <w:r>
        <w:t xml:space="preserve">2. Mapa jurysdykcji, źródeł prawa i kompetencji organów</w:t>
      </w:r>
    </w:p>
    <w:p>
      <w:pPr>
        <w:pStyle w:val="ListParagraph"/>
        <w:numPr>
          <w:ilvl w:val="0"/>
          <w:numId w:val="1"/>
        </w:numPr>
        <w:spacing w:after="80"/>
      </w:pPr>
      <w:r>
        <w:t xml:space="preserve">Sąd/trybunał międzypaństwowy (schemat Jessup: MTS lub trybunał kompromisarski) — spór między Alekostrią a Restovią o wykładnię dwustronnej umowy oraz o odpowiedzialność międzynarodową za czyn NEXCA.</w:t>
      </w:r>
    </w:p>
    <w:p>
      <w:pPr>
        <w:pStyle w:val="ListParagraph"/>
        <w:numPr>
          <w:ilvl w:val="0"/>
          <w:numId w:val="1"/>
        </w:numPr>
        <w:spacing w:after="80"/>
      </w:pPr>
      <w:r>
        <w:t xml:space="preserve">Prawo właściwe: dwustronna umowa Alekostria–Restovia (lex specialis co do udziału społeczności Pilemon), uzupełniająco zwyczajowe prawo międzynarodowe dot. odpowiedzialności państwa (Artykuły ARSIWA), standardy dot. praw ludności rdzennej (m.in. ILO 169 jeśli ratyfikowana, UNDRIP jako soft law/opinio iuris wspierające), prawo krajowe Restovii co do postępowania karnego i ekstradycji.</w:t>
      </w:r>
    </w:p>
    <w:p>
      <w:pPr>
        <w:pStyle w:val="ListParagraph"/>
        <w:numPr>
          <w:ilvl w:val="0"/>
          <w:numId w:val="1"/>
        </w:numPr>
        <w:spacing w:after="80"/>
      </w:pPr>
      <w:r>
        <w:t xml:space="preserve">Restovia — jurysdykcja terytorialna i karna nad wypadkiem oraz nad kierowniczką projektu (locus delicti); postępowanie karne toczy się przed jej sądami krajowymi.</w:t>
      </w:r>
    </w:p>
    <w:p>
      <w:pPr>
        <w:pStyle w:val="ListParagraph"/>
        <w:numPr>
          <w:ilvl w:val="0"/>
          <w:numId w:val="1"/>
        </w:numPr>
        <w:spacing w:after="80"/>
      </w:pPr>
      <w:r>
        <w:t xml:space="preserve">Alekostria — jurysdykcja personalna nad NEXCA (spółka jej prawa) oraz decyzja o odmowie ekstradycji własnej obywatelki/pracownicy — podlega ocenie zgodności z ewentualnym traktatem ekstradycyjnym.</w:t>
      </w:r>
    </w:p>
    <w:p>
      <w:pPr>
        <w:pStyle w:val="ListParagraph"/>
        <w:numPr>
          <w:ilvl w:val="0"/>
          <w:numId w:val="1"/>
        </w:numPr>
        <w:spacing w:after="80"/>
      </w:pPr>
      <w:r>
        <w:t xml:space="preserve">Sollania — państwo trzecie, którego przedstawiciele Pilemon zbojkotowali konsultacje; jej locus standi w sporze międzypaństwowym Alekostria–Restovia wymaga odrębnej podstawy (nie jest stroną dwustronnej umowy).</w:t>
      </w:r>
    </w:p>
    <w:p>
      <w:pPr>
        <w:pStyle w:val="Heading2"/>
        <w:spacing w:after="150" w:before="300"/>
      </w:pPr>
      <w:r>
        <w:t xml:space="preserve">3. Przesłanki roszczeń / zarzutów / środków ochrony</w:t>
      </w:r>
    </w:p>
    <w:p>
      <w:pPr>
        <w:pStyle w:val="Heading3"/>
        <w:spacing w:after="100" w:before="200"/>
      </w:pPr>
      <w:r>
        <w:t xml:space="preserve">Standard "udziału" ludności rdzennej</w:t>
      </w:r>
    </w:p>
    <w:p>
      <w:pPr>
        <w:pStyle w:val="ListParagraph"/>
        <w:numPr>
          <w:ilvl w:val="0"/>
          <w:numId w:val="1"/>
        </w:numPr>
        <w:spacing w:after="80"/>
      </w:pPr>
      <w:r>
        <w:t xml:space="preserve">Rozróżnienie: informowanie &lt; konsultacja w dobrej wierze &lt; FPIC (wolna, uprzednia, świadoma zgoda) &lt; prawo weta — treść zależy od literalnego brzmienia klauzuli traktatowej i kontekstu (znaczenie sakralne miejsca przemawia za podwyższonym standardem, zbliżonym do FPIC).</w:t>
      </w:r>
    </w:p>
    <w:p>
      <w:pPr>
        <w:pStyle w:val="ListParagraph"/>
        <w:numPr>
          <w:ilvl w:val="0"/>
          <w:numId w:val="1"/>
        </w:numPr>
        <w:spacing w:after="80"/>
      </w:pPr>
      <w:r>
        <w:t xml:space="preserve">Ocena rzetelności: udostępnienie materiałów technicznych i spotkania z elderami są przesłankami dobrej wiary; ale wybór "najmniej inwazyjnego" projektu przez organizatora bez wiążącego wyniku konsultacji może nie spełniać FPIC, jeśli traktat go wymaga.</w:t>
      </w:r>
    </w:p>
    <w:p>
      <w:pPr>
        <w:pStyle w:val="Heading3"/>
        <w:spacing w:after="100" w:before="200"/>
      </w:pPr>
      <w:r>
        <w:t xml:space="preserve">Przypisanie czynu NEXCA państwu (ARSIWA art. 4–5, 8)</w:t>
      </w:r>
    </w:p>
    <w:p>
      <w:pPr>
        <w:pStyle w:val="ListParagraph"/>
        <w:numPr>
          <w:ilvl w:val="0"/>
          <w:numId w:val="1"/>
        </w:numPr>
        <w:spacing w:after="80"/>
      </w:pPr>
      <w:r>
        <w:t xml:space="preserve">Art. 4 ARSIWA (organy państwa) — nie stosuje się wprost do spółki, chyba że jest "organem" wg prawa krajowego Alekostrii.</w:t>
      </w:r>
    </w:p>
    <w:p>
      <w:pPr>
        <w:pStyle w:val="ListParagraph"/>
        <w:numPr>
          <w:ilvl w:val="0"/>
          <w:numId w:val="1"/>
        </w:numPr>
        <w:spacing w:after="80"/>
      </w:pPr>
      <w:r>
        <w:t xml:space="preserve">Art. 5 ARSIWA (podmiot wykonujący elementy władzy publicznej) — możliwy, jeśli NEXCA wykonuje funkcje quasi-publiczne (zarządzanie strategicznymi zasobami) na mocy prawa krajowego.</w:t>
      </w:r>
    </w:p>
    <w:p>
      <w:pPr>
        <w:pStyle w:val="ListParagraph"/>
        <w:numPr>
          <w:ilvl w:val="0"/>
          <w:numId w:val="1"/>
        </w:numPr>
        <w:spacing w:after="80"/>
      </w:pPr>
      <w:r>
        <w:t xml:space="preserve">Art. 8 ARSIWA (instrukcje, kierownictwo lub kontrola) — obsadzanie zarządu przez organy państwowe i wymóg zgody politycznej na projekty zagraniczne wskazują na kontrolę efektywną, silniejszą przesłankę przypisania niż zwykła własność państwowa (sama własność akcji nie wystarcza).</w:t>
      </w:r>
    </w:p>
    <w:p>
      <w:pPr>
        <w:pStyle w:val="Heading3"/>
        <w:spacing w:after="100" w:before="200"/>
      </w:pPr>
      <w:r>
        <w:t xml:space="preserve">Należyta staranność przy systemie autonomicznym</w:t>
      </w:r>
    </w:p>
    <w:p>
      <w:pPr>
        <w:pStyle w:val="ListParagraph"/>
        <w:numPr>
          <w:ilvl w:val="0"/>
          <w:numId w:val="1"/>
        </w:numPr>
        <w:spacing w:after="80"/>
      </w:pPr>
      <w:r>
        <w:t xml:space="preserve">Obowiązek podjęcia rozsądnych środków zapobiegawczych (test 'due diligence', np. linia Bosnia Genocide/Nicaragua) — nieustalenie sprawcy ataku nie wyłącza odpowiedzialności za brak zabezpieczenia systemu, jeśli ryzyko było przewidywalne.</w:t>
      </w:r>
    </w:p>
    <w:p>
      <w:pPr>
        <w:pStyle w:val="ListParagraph"/>
        <w:numPr>
          <w:ilvl w:val="0"/>
          <w:numId w:val="1"/>
        </w:numPr>
        <w:spacing w:after="80"/>
      </w:pPr>
      <w:r>
        <w:t xml:space="preserve">Ciężar dowodu co do standardu zabezpieczeń spoczywa częściowo na operatorze (Alekostria/NEXCA) — brak dowodu należytego zabezpieczenia działa na jej niekorzyść.</w:t>
      </w:r>
    </w:p>
    <w:p>
      <w:pPr>
        <w:pStyle w:val="Heading3"/>
        <w:spacing w:after="100" w:before="200"/>
      </w:pPr>
      <w:r>
        <w:t xml:space="preserve">Ekstradycja</w:t>
      </w:r>
    </w:p>
    <w:p>
      <w:pPr>
        <w:pStyle w:val="ListParagraph"/>
        <w:numPr>
          <w:ilvl w:val="0"/>
          <w:numId w:val="1"/>
        </w:numPr>
        <w:spacing w:after="80"/>
      </w:pPr>
      <w:r>
        <w:t xml:space="preserve">Ocena zgodności odmowy z konkretną klauzulą traktatową (jeśli istnieje) — dopiero brak takiej podstawy lub naruszenie zasady non-refoulement/gwarancji rzetelnego procesu uzasadnia odmowę na zasadach ogólnych.</w:t>
      </w:r>
    </w:p>
    <w:p>
      <w:pPr>
        <w:pStyle w:val="ListParagraph"/>
        <w:numPr>
          <w:ilvl w:val="0"/>
          <w:numId w:val="1"/>
        </w:numPr>
        <w:spacing w:after="80"/>
      </w:pPr>
      <w:r>
        <w:t xml:space="preserve">Samo powołanie się na 'niezgodność procedury z ogólnymi zasadami prawa' bez konkretyzacji jest argumentem słabym proceduralnie — wymaga wskazania, który standard rzetelnego procesu został naruszony.</w:t>
      </w:r>
    </w:p>
    <w:p>
      <w:pPr>
        <w:pStyle w:val="Heading2"/>
        <w:spacing w:after="150" w:before="300"/>
      </w:pPr>
      <w:r>
        <w:t xml:space="preserve">4. Macierz argumentów stron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1F3864" w:val="clear"/>
          </w:tcPr>
          <w:p>
            <w:r>
              <w:rPr>
                <w:b/>
                <w:bCs/>
                <w:color w:val="FFFFFF"/>
                <w:sz w:val="20"/>
                <w:szCs w:val="20"/>
              </w:rPr>
              <w:t xml:space="preserve">Kwestia</w:t>
            </w:r>
          </w:p>
        </w:tc>
        <w:tc>
          <w:tcPr>
            <w:tcW w:type="dxa" w:w="2600"/>
            <w:shd w:fill="1F3864" w:val="clear"/>
          </w:tcPr>
          <w:p>
            <w:r>
              <w:rPr>
                <w:b/>
                <w:bCs/>
                <w:color w:val="FFFFFF"/>
                <w:sz w:val="20"/>
                <w:szCs w:val="20"/>
              </w:rPr>
              <w:t xml:space="preserve">Argument strony A</w:t>
            </w:r>
          </w:p>
        </w:tc>
        <w:tc>
          <w:tcPr>
            <w:tcW w:type="dxa" w:w="2600"/>
            <w:shd w:fill="1F3864" w:val="clear"/>
          </w:tcPr>
          <w:p>
            <w:r>
              <w:rPr>
                <w:b/>
                <w:bCs/>
                <w:color w:val="FFFFFF"/>
                <w:sz w:val="20"/>
                <w:szCs w:val="20"/>
              </w:rPr>
              <w:t xml:space="preserve">Argument strony B</w:t>
            </w:r>
          </w:p>
        </w:tc>
        <w:tc>
          <w:tcPr>
            <w:tcW w:type="dxa" w:w="2600"/>
            <w:shd w:fill="1F3864" w:val="clear"/>
          </w:tcPr>
          <w:p>
            <w:r>
              <w:rPr>
                <w:b/>
                <w:bCs/>
                <w:color w:val="FFFFFF"/>
                <w:sz w:val="20"/>
                <w:szCs w:val="20"/>
              </w:rPr>
              <w:t xml:space="preserve">Kluczowa kontra / uwaga</w:t>
            </w:r>
          </w:p>
        </w:tc>
      </w:tr>
      <w:tr>
        <w:tc>
          <w:tcPr>
            <w:tcW w:type="dxa" w:w="1600"/>
          </w:tcPr>
          <w:p>
            <w:r>
              <w:rPr>
                <w:b w:val="false"/>
                <w:bCs w:val="false"/>
                <w:sz w:val="18"/>
                <w:szCs w:val="18"/>
              </w:rPr>
              <w:t xml:space="preserve">Charakter konsultacji</w:t>
            </w:r>
          </w:p>
        </w:tc>
        <w:tc>
          <w:tcPr>
            <w:tcW w:type="dxa" w:w="2600"/>
          </w:tcPr>
          <w:p>
            <w:r>
              <w:rPr>
                <w:b w:val="false"/>
                <w:bCs w:val="false"/>
                <w:sz w:val="18"/>
                <w:szCs w:val="18"/>
              </w:rPr>
              <w:t xml:space="preserve">Konsultacje spełniły standard traktatowy: materiały, spotkania, uwzględnienie głosu części elderów przy wyborze wariantu najmniej inwazyjnego.</w:t>
            </w:r>
          </w:p>
        </w:tc>
        <w:tc>
          <w:tcPr>
            <w:tcW w:type="dxa" w:w="2600"/>
          </w:tcPr>
          <w:p>
            <w:r>
              <w:rPr>
                <w:b w:val="false"/>
                <w:bCs w:val="false"/>
                <w:sz w:val="18"/>
                <w:szCs w:val="18"/>
              </w:rPr>
              <w:t xml:space="preserve">Podział wewnętrzny społeczności i bojkot części przedstawicieli dowodzą, że proces nie osiągnął rzeczywistego 'udziału w podejmowaniu decyzji', a jedynie formalną konsultację.</w:t>
            </w:r>
          </w:p>
        </w:tc>
        <w:tc>
          <w:tcPr>
            <w:tcW w:type="dxa" w:w="2600"/>
          </w:tcPr>
          <w:p>
            <w:r>
              <w:rPr>
                <w:b w:val="false"/>
                <w:bCs w:val="false"/>
                <w:sz w:val="18"/>
                <w:szCs w:val="18"/>
              </w:rPr>
              <w:t xml:space="preserve">Kluczowe pytanie brzmi, czy traktat wymaga wyniku uzgodnionego czy jedynie procesu w dobrej wierze — bojkot części Sollanii nie unieważnia konsultacji, jeśli objęła ona upoważnionych przedstawicieli Restovii, ale sam fakt sporu wewnętrznego community nakazuje ostrożność przy ocenie 'reprezentatywności'.</w:t>
            </w:r>
          </w:p>
        </w:tc>
      </w:tr>
      <w:tr>
        <w:tc>
          <w:tcPr>
            <w:tcW w:type="dxa" w:w="1600"/>
          </w:tcPr>
          <w:p>
            <w:r>
              <w:rPr>
                <w:b w:val="false"/>
                <w:bCs w:val="false"/>
                <w:sz w:val="18"/>
                <w:szCs w:val="18"/>
              </w:rPr>
              <w:t xml:space="preserve">Przypisanie NEXCA</w:t>
            </w:r>
          </w:p>
        </w:tc>
        <w:tc>
          <w:tcPr>
            <w:tcW w:type="dxa" w:w="2600"/>
          </w:tcPr>
          <w:p>
            <w:r>
              <w:rPr>
                <w:b w:val="false"/>
                <w:bCs w:val="false"/>
                <w:sz w:val="18"/>
                <w:szCs w:val="18"/>
              </w:rPr>
              <w:t xml:space="preserve">NEXCA to odrębny podmiot prawa handlowego, działający na własne ryzyko komercyjne — sama własność państwowa nie przesądza przypisania (zasada odrębności korporacyjnej).</w:t>
            </w:r>
          </w:p>
        </w:tc>
        <w:tc>
          <w:tcPr>
            <w:tcW w:type="dxa" w:w="2600"/>
          </w:tcPr>
          <w:p>
            <w:r>
              <w:rPr>
                <w:b w:val="false"/>
                <w:bCs w:val="false"/>
                <w:sz w:val="18"/>
                <w:szCs w:val="18"/>
              </w:rPr>
              <w:t xml:space="preserve">Kontrola nad obsadą zarządu i wymóg politycznej zgody na każdy projekt zagraniczny to przesłanki 'kierownictwa i kontroli' w rozumieniu art. 8 ARSIWA, silniejsze niż w sprawach, gdzie sama własność nie wystarczała do przypisania.</w:t>
            </w:r>
          </w:p>
        </w:tc>
        <w:tc>
          <w:tcPr>
            <w:tcW w:type="dxa" w:w="2600"/>
          </w:tcPr>
          <w:p>
            <w:r>
              <w:rPr>
                <w:b w:val="false"/>
                <w:bCs w:val="false"/>
                <w:sz w:val="18"/>
                <w:szCs w:val="18"/>
              </w:rPr>
              <w:t xml:space="preserve">To rozstrzygające zagadnienie sprawy — należy podkreślić różnicę między kontrolą korporacyjną (nieistotną) a kontrolą operacyjną nad konkretnym projektem (istotną); fakty wskazują na tę drugą.</w:t>
            </w:r>
          </w:p>
        </w:tc>
      </w:tr>
      <w:tr>
        <w:tc>
          <w:tcPr>
            <w:tcW w:type="dxa" w:w="1600"/>
          </w:tcPr>
          <w:p>
            <w:r>
              <w:rPr>
                <w:b w:val="false"/>
                <w:bCs w:val="false"/>
                <w:sz w:val="18"/>
                <w:szCs w:val="18"/>
              </w:rPr>
              <w:t xml:space="preserve">Odpowiedzialność za wypadek</w:t>
            </w:r>
          </w:p>
        </w:tc>
        <w:tc>
          <w:tcPr>
            <w:tcW w:type="dxa" w:w="2600"/>
          </w:tcPr>
          <w:p>
            <w:r>
              <w:rPr>
                <w:b w:val="false"/>
                <w:bCs w:val="false"/>
                <w:sz w:val="18"/>
                <w:szCs w:val="18"/>
              </w:rPr>
              <w:t xml:space="preserve">Wypadek to siła wyższa / działanie osoby trzeciej (haker) — brak dowodu, że NEXCA zaniedbała zabezpieczenia.</w:t>
            </w:r>
          </w:p>
        </w:tc>
        <w:tc>
          <w:tcPr>
            <w:tcW w:type="dxa" w:w="2600"/>
          </w:tcPr>
          <w:p>
            <w:r>
              <w:rPr>
                <w:b w:val="false"/>
                <w:bCs w:val="false"/>
                <w:sz w:val="18"/>
                <w:szCs w:val="18"/>
              </w:rPr>
              <w:t xml:space="preserve">Wdrożenie półautonomicznego systemu bez wykazanych zabezpieczeń w strefie sakralnej i przy sporze społecznym samo w sobie stanowi naruszenie należytej staranności, niezależnie od tożsamości sprawcy ataku.</w:t>
            </w:r>
          </w:p>
        </w:tc>
        <w:tc>
          <w:tcPr>
            <w:tcW w:type="dxa" w:w="2600"/>
          </w:tcPr>
          <w:p>
            <w:r>
              <w:rPr>
                <w:b w:val="false"/>
                <w:bCs w:val="false"/>
                <w:sz w:val="18"/>
                <w:szCs w:val="18"/>
              </w:rPr>
              <w:t xml:space="preserve">Nieustalenie sprawcy nie jest tożsame z brakiem odpowiedzialności państwa — odpowiedzialność za brak due diligence jest niezależna od ustalenia bezpośredniego sprawcy cyberataku.</w:t>
            </w:r>
          </w:p>
        </w:tc>
      </w:tr>
      <w:tr>
        <w:tc>
          <w:tcPr>
            <w:tcW w:type="dxa" w:w="1600"/>
          </w:tcPr>
          <w:p>
            <w:r>
              <w:rPr>
                <w:b w:val="false"/>
                <w:bCs w:val="false"/>
                <w:sz w:val="18"/>
                <w:szCs w:val="18"/>
              </w:rPr>
              <w:t xml:space="preserve">Odmowa ekstradycji</w:t>
            </w:r>
          </w:p>
        </w:tc>
        <w:tc>
          <w:tcPr>
            <w:tcW w:type="dxa" w:w="2600"/>
          </w:tcPr>
          <w:p>
            <w:r>
              <w:rPr>
                <w:b w:val="false"/>
                <w:bCs w:val="false"/>
                <w:sz w:val="18"/>
                <w:szCs w:val="18"/>
              </w:rPr>
              <w:t xml:space="preserve">Ekstradycja naruszałaby gwarancje proceduralne pracownicy — ryzyko nierzetelnego procesu w Restovii.</w:t>
            </w:r>
          </w:p>
        </w:tc>
        <w:tc>
          <w:tcPr>
            <w:tcW w:type="dxa" w:w="2600"/>
          </w:tcPr>
          <w:p>
            <w:r>
              <w:rPr>
                <w:b w:val="false"/>
                <w:bCs w:val="false"/>
                <w:sz w:val="18"/>
                <w:szCs w:val="18"/>
              </w:rPr>
              <w:t xml:space="preserve">Odmowa ekstradycji bez konkretnej podstawy traktatowej stanowi naruszenie zobowiązań współpracy i utrudnia dochodzenie odpowiedzialności karnej za śmierć funkcjonariusza.</w:t>
            </w:r>
          </w:p>
        </w:tc>
        <w:tc>
          <w:tcPr>
            <w:tcW w:type="dxa" w:w="2600"/>
          </w:tcPr>
          <w:p>
            <w:r>
              <w:rPr>
                <w:b w:val="false"/>
                <w:bCs w:val="false"/>
                <w:sz w:val="18"/>
                <w:szCs w:val="18"/>
              </w:rPr>
              <w:t xml:space="preserve">Rozstrzygające będzie ustalenie treści (nieujawnionej w kazusie) ewentualnego traktatu ekstradycyjnego — bez tego oceną można objąć jedynie zgodność z ogólnymi standardami rzetelnego procesu, nie z konkretną klauzulą.</w:t>
            </w:r>
          </w:p>
        </w:tc>
      </w:tr>
    </w:tbl>
    <w:p>
      <w:pPr>
        <w:spacing w:after="150"/>
      </w:pPr>
    </w:p>
    <w:p>
      <w:pPr>
        <w:pStyle w:val="Heading2"/>
        <w:spacing w:after="150" w:before="300"/>
      </w:pPr>
      <w:r>
        <w:t xml:space="preserve">5. Braki faktyczne i dowody rozstrzygające</w:t>
      </w:r>
    </w:p>
    <w:p>
      <w:pPr>
        <w:pStyle w:val="ListParagraph"/>
        <w:numPr>
          <w:ilvl w:val="0"/>
          <w:numId w:val="1"/>
        </w:numPr>
        <w:spacing w:after="80"/>
      </w:pPr>
      <w:r>
        <w:t xml:space="preserve">Brak treści dwustronnej umowy w zakresie definiującym 'udział w podejmowaniu decyzji' — kluczowe dla rozstrzygnięcia pytania nr 1.</w:t>
      </w:r>
    </w:p>
    <w:p>
      <w:pPr>
        <w:pStyle w:val="ListParagraph"/>
        <w:numPr>
          <w:ilvl w:val="0"/>
          <w:numId w:val="1"/>
        </w:numPr>
        <w:spacing w:after="80"/>
      </w:pPr>
      <w:r>
        <w:t xml:space="preserve">Nie ustalono sprawcy złośliwego oprogramowania ani stanu zabezpieczeń systemu NEXCA przed atakiem — rozstrzygające dla oceny należytej staranności i ewentualnej odpowiedzialności osoby trzeciej.</w:t>
      </w:r>
    </w:p>
    <w:p>
      <w:pPr>
        <w:pStyle w:val="ListParagraph"/>
        <w:numPr>
          <w:ilvl w:val="0"/>
          <w:numId w:val="1"/>
        </w:numPr>
        <w:spacing w:after="80"/>
      </w:pPr>
      <w:r>
        <w:t xml:space="preserve">Brak informacji o istnieniu i treści traktatu ekstradycyjnego Alekostria–Restovia — bez tego nie można ocenić zgodności odmowy ekstradycji z konkretnym zobowiązaniem.</w:t>
      </w:r>
    </w:p>
    <w:p>
      <w:pPr>
        <w:pStyle w:val="ListParagraph"/>
        <w:numPr>
          <w:ilvl w:val="0"/>
          <w:numId w:val="1"/>
        </w:numPr>
        <w:spacing w:after="80"/>
      </w:pPr>
      <w:r>
        <w:t xml:space="preserve">Nie wskazano formalnego statusu prawnego przedstawicieli-elderów (czy posiadali mandat reprezentacji całej społeczności Pilemon, czy tylko części) — istotne dla oceny reprezentatywności konsultacji.</w:t>
      </w:r>
    </w:p>
    <w:p>
      <w:pPr>
        <w:pStyle w:val="ListParagraph"/>
        <w:numPr>
          <w:ilvl w:val="0"/>
          <w:numId w:val="1"/>
        </w:numPr>
        <w:spacing w:after="80"/>
      </w:pPr>
      <w:r>
        <w:t xml:space="preserve">Zakaz dopowiadania faktów: kazus nie przesądza, czy 'zjechanie z trasy' i 'naruszenie strefy sakralnej' to jeden czyn czy dwa odrębne zdarzenia miedzynarodowo bezprawne — oba warianty należy przedstawić jako możliwe, nie wybierać za autora stanu faktycznego.</w:t>
      </w:r>
    </w:p>
    <w:p>
      <w:pPr>
        <w:pStyle w:val="Heading2"/>
        <w:spacing w:after="150" w:before="300"/>
      </w:pPr>
      <w:r>
        <w:t xml:space="preserve">6. Rozstrzygnięcie i środek naprawczy</w:t>
      </w:r>
    </w:p>
    <w:p>
      <w:pPr>
        <w:spacing w:after="140"/>
      </w:pPr>
      <w:r>
        <w:t xml:space="preserve">Trybunał powinien: (1) stwierdzić, że konsultacje spełniły minimalny standard dobrej wiary, ale zalecić dodatkowe zaangażowanie przedstawicieli Sollanii przed dalszą eksploatacją; (2) przypisać czyn NEXCA Alekostrii na podstawie kontroli efektywnej (art. 8 ARSIWA) i stwierdzić naruszenie obowiązku należytej staranności; (3) uznać żądanie wstrzymania projektu do czasu wykazania zabezpieczeń cybernetycznych za zasadne jako środek tymczasowy; (4) odroczyć rozstrzygnięcie o ekstradycji do ustalenia treści właściwego traktatu.</w:t>
      </w:r>
    </w:p>
    <w:p>
      <w:pPr>
        <w:spacing w:after="140"/>
      </w:pPr>
      <w:r>
        <w:rPr>
          <w:b w:val="false"/>
          <w:bCs w:val="false"/>
        </w:rPr>
        <w:t xml:space="preserve">Środek naprawczy: tymczasowe wstrzymanie dalszej eksploatacji do czasu niezależnego audytu bezpieczeństwa systemu + zobowiązanie Alekostrii do odszkodowania za szkody infrastrukturalne i sakralne + rekomendacja wznowienia konsultacji z udziałem Sollanii, bez orzekania merytorycznego o winie w postępowaniu karnym toczącym się przed sądem krajowym Restovii.</w:t>
      </w:r>
    </w:p>
    <w:p>
      <w:pPr>
        <w:pStyle w:val="Heading3"/>
        <w:spacing w:after="100" w:before="200"/>
      </w:pPr>
      <w:r>
        <w:t xml:space="preserve">Uwagi metodologiczne / status weryfikacji</w:t>
      </w:r>
    </w:p>
    <w:p>
      <w:pPr>
        <w:spacing w:after="140"/>
      </w:pPr>
      <w:r>
        <w:rPr>
          <w:i/>
          <w:iCs/>
          <w:sz w:val="20"/>
          <w:szCs w:val="20"/>
        </w:rPr>
        <w:t xml:space="preserve">Ramy ARSIWA (Artykuły o odpowiedzialności państwa za czyny międzynarodowo bezprawne, ILC 2001) i standard należytej staranności (Nicaragua v. USA, ICJ 1986; Bosnia Genocide, ICJ 2007) to ugruntowana, stabilna doktryna niewymagająca dodatkowej weryfikacji online — nie uległy zmianie od czasu treningu modelu. Kazus jest fikcyjną adaptacją, więc konkretna treść dwustronnej umowy Alekostria–Restovia nie istnieje do zweryfikowania — jest to świadomie pozostawiona luka faktyczna do rozwiązania przez ćwiczącego.</w:t>
      </w:r>
    </w:p>
    <w:p>
      <w:r>
        <w:br w:type="page"/>
      </w:r>
    </w:p>
    <w:p>
      <w:pPr>
        <w:spacing w:after="60"/>
      </w:pPr>
      <w:r>
        <w:rPr>
          <w:b/>
          <w:bCs/>
          <w:color w:val="1F3864"/>
          <w:sz w:val="32"/>
          <w:szCs w:val="32"/>
        </w:rPr>
        <w:t xml:space="preserve">K-03  Vitoria i Graviola przeciwko Uxi</w:t>
      </w:r>
    </w:p>
    <w:p>
      <w:pPr>
        <w:spacing w:after="200"/>
      </w:pPr>
      <w:r>
        <w:rPr>
          <w:i/>
          <w:iCs/>
          <w:sz w:val="22"/>
          <w:szCs w:val="22"/>
        </w:rPr>
        <w:t xml:space="preserve">Inwigilacja cyfrowa, wolność prasy i bezpieczeństwo narodowe — adaptacja Price Media Law Moot 2025–2026</w:t>
      </w:r>
    </w:p>
    <w:p>
      <w:pPr>
        <w:spacing w:after="60"/>
      </w:pPr>
      <w:r>
        <w:rPr>
          <w:b/>
          <w:bCs/>
        </w:rPr>
        <w:t xml:space="preserve">Poziom: </w:t>
      </w:r>
      <w:r>
        <w:t xml:space="preserve">bardzo wysoka</w:t>
      </w:r>
    </w:p>
    <w:p>
      <w:pPr>
        <w:spacing w:after="60"/>
      </w:pPr>
      <w:r>
        <w:rPr>
          <w:b/>
          <w:bCs/>
        </w:rPr>
        <w:t xml:space="preserve">Sugerowany czas: </w:t>
      </w:r>
      <w:r>
        <w:t xml:space="preserve">4–6 godzin</w:t>
      </w:r>
    </w:p>
    <w:p>
      <w:pPr>
        <w:spacing w:after="60"/>
      </w:pPr>
      <w:r>
        <w:rPr>
          <w:b/>
          <w:bCs/>
        </w:rPr>
        <w:t xml:space="preserve">Role: </w:t>
      </w:r>
      <w:r>
        <w:t xml:space="preserve">naukowczyni; dziennikarka; służby; uczelnia publiczna; państwo</w:t>
      </w:r>
    </w:p>
    <w:p>
      <w:pPr>
        <w:spacing w:after="100"/>
      </w:pPr>
    </w:p>
    <w:p>
      <w:pPr>
        <w:pStyle w:val="Heading2"/>
        <w:spacing w:after="150" w:before="300"/>
      </w:pPr>
      <w:r>
        <w:t xml:space="preserve">1. Teza wstępna</w:t>
      </w:r>
    </w:p>
    <w:p>
      <w:pPr>
        <w:spacing w:after="140"/>
      </w:pPr>
      <w:r>
        <w:t xml:space="preserve">Kryterium 'potencjalnego zagrożenia' jest sformułowane zbyt szeroko, by spełnić wymóg przewidywalności ingerencji w prawa chronione (art. 8 i 10 EKPC / odpowiedniki uniwersalne z ICCPR art. 17 i 19) — brak precyzyjnych kryteriów otwiera drogę do arbitralności; przeszukanie urządzeń na granicy i zdalna infekcja narzędziem nadzoru urządzenia dziennikarki naruszają wzmocniony standard ochrony tajemnicy źródeł dziennikarskich, a całkowita blokada publikacji jako prior restraint wymaga testu najsurowszej konieczności i proporcjonalności, który przy dostępności środków łagodniejszych (np. redakcja fragmentów niejawnych) nie jest spełniony w świetle przedstawionych faktów; kumulacja sankcji (utrata pracy, procedura migracyjna, nadzór, zakaz publikacji) wymaga oceny łącznej jako potencjalnie nieproporcjonalnej, niezależnie od formalnej odrębności każdego postępowania.</w:t>
      </w:r>
    </w:p>
    <w:p>
      <w:pPr>
        <w:pStyle w:val="Heading2"/>
        <w:spacing w:after="150" w:before="300"/>
      </w:pPr>
      <w:r>
        <w:t xml:space="preserve">2. Mapa jurysdykcji, źródeł prawa i kompetencji organów</w:t>
      </w:r>
    </w:p>
    <w:p>
      <w:pPr>
        <w:pStyle w:val="ListParagraph"/>
        <w:numPr>
          <w:ilvl w:val="0"/>
          <w:numId w:val="1"/>
        </w:numPr>
        <w:spacing w:after="80"/>
      </w:pPr>
      <w:r>
        <w:t xml:space="preserve">Sądy krajowe Uxi — kontrola legalności zatrzymania na granicy, przeszukania urządzeń, decyzji uczelni i organu migracyjnego oraz zakazu publikacji (habeas data / kontrola sądowa aktów administracyjnych).</w:t>
      </w:r>
    </w:p>
    <w:p>
      <w:pPr>
        <w:pStyle w:val="ListParagraph"/>
        <w:numPr>
          <w:ilvl w:val="0"/>
          <w:numId w:val="1"/>
        </w:numPr>
        <w:spacing w:after="80"/>
      </w:pPr>
      <w:r>
        <w:t xml:space="preserve">Regionalny/uniwersalny organ ochrony praw człowieka (schemat Price Media: odpowiednik ETPC/komitetu ONZ) — skarga na naruszenie art. 8 i 10 EKPC (lub art. 17/19 ICCPR w wariancie uniwersalnym) po wyczerpaniu środków krajowych.</w:t>
      </w:r>
    </w:p>
    <w:p>
      <w:pPr>
        <w:pStyle w:val="ListParagraph"/>
        <w:numPr>
          <w:ilvl w:val="0"/>
          <w:numId w:val="1"/>
        </w:numPr>
        <w:spacing w:after="80"/>
      </w:pPr>
      <w:r>
        <w:t xml:space="preserve">Prawo właściwe: konwencja regionalna/uniwersalna praw człowieka + ustawa bezpieczeństwa narodowego Uxi jako przedmiot kontroli zgodności (test legalności, celu prawowitego, konieczności w demokratycznym społeczeństwie).</w:t>
      </w:r>
    </w:p>
    <w:p>
      <w:pPr>
        <w:pStyle w:val="ListParagraph"/>
        <w:numPr>
          <w:ilvl w:val="0"/>
          <w:numId w:val="1"/>
        </w:numPr>
        <w:spacing w:after="80"/>
      </w:pPr>
      <w:r>
        <w:t xml:space="preserve">Uczelnia publiczna — jako podmiot powiązany z państwem (funkcje publiczne), jej decyzja o rozwiązaniu stosunku pracy może podlegać kontroli pod kątem odwetu za działalność chronioną wolnością wypowiedzi/nauki.</w:t>
      </w:r>
    </w:p>
    <w:p>
      <w:pPr>
        <w:pStyle w:val="Heading2"/>
        <w:spacing w:after="150" w:before="300"/>
      </w:pPr>
      <w:r>
        <w:t xml:space="preserve">3. Przesłanki roszczeń / zarzutów / środków ochrony</w:t>
      </w:r>
    </w:p>
    <w:p>
      <w:pPr>
        <w:pStyle w:val="Heading3"/>
        <w:spacing w:after="100" w:before="200"/>
      </w:pPr>
      <w:r>
        <w:t xml:space="preserve">Test ingerencji w prawa konwencyjne (legalność–cel–konieczność–proporcjonalność)</w:t>
      </w:r>
    </w:p>
    <w:p>
      <w:pPr>
        <w:pStyle w:val="ListParagraph"/>
        <w:numPr>
          <w:ilvl w:val="0"/>
          <w:numId w:val="1"/>
        </w:numPr>
        <w:spacing w:after="80"/>
      </w:pPr>
      <w:r>
        <w:t xml:space="preserve">Legalność: przepis musi być dostępny i sformułowany z wystarczającą precyzją, by jednostka mogła przewidzieć konsekwencje swojego zachowania — kryterium 'potencjalnego zagrożenia' bez dalszych wskaźników budzi wątpliwości co do przewidywalności.</w:t>
      </w:r>
    </w:p>
    <w:p>
      <w:pPr>
        <w:pStyle w:val="ListParagraph"/>
        <w:numPr>
          <w:ilvl w:val="0"/>
          <w:numId w:val="1"/>
        </w:numPr>
        <w:spacing w:after="80"/>
      </w:pPr>
      <w:r>
        <w:t xml:space="preserve">Cel prawowity: bezpieczeństwo narodowe i zwalczanie przestępczości transgranicznej są celami uznanymi konwencyjnie.</w:t>
      </w:r>
    </w:p>
    <w:p>
      <w:pPr>
        <w:pStyle w:val="ListParagraph"/>
        <w:numPr>
          <w:ilvl w:val="0"/>
          <w:numId w:val="1"/>
        </w:numPr>
        <w:spacing w:after="80"/>
      </w:pPr>
      <w:r>
        <w:t xml:space="preserve">Konieczność i proporcjonalność: wymaga wykazania, że środek jest najmniej dotkliwym spośród skutecznych — masowe przeszukanie urządzeń i zdalna infekcja są środkami wysoce ingerującymi, wymagającymi silnego uzasadnienia indywidualnego, nie tylko ogólnego profilu ryzyka.</w:t>
      </w:r>
    </w:p>
    <w:p>
      <w:pPr>
        <w:pStyle w:val="Heading3"/>
        <w:spacing w:after="100" w:before="200"/>
      </w:pPr>
      <w:r>
        <w:t xml:space="preserve">Ochrona źródeł dziennikarskich i materiału niepublikowanego</w:t>
      </w:r>
    </w:p>
    <w:p>
      <w:pPr>
        <w:pStyle w:val="ListParagraph"/>
        <w:numPr>
          <w:ilvl w:val="0"/>
          <w:numId w:val="1"/>
        </w:numPr>
        <w:spacing w:after="80"/>
      </w:pPr>
      <w:r>
        <w:t xml:space="preserve">Ujawnienie/przejęcie materiału dziennikarskiego wymaga podwyższonego standardu (nadrzędny interes publiczny, brak alternatywnych środków) — zdalna infekcja urządzenia bez wykazania takiej wyjątkowej konieczności jest prima facie naruszeniem.</w:t>
      </w:r>
    </w:p>
    <w:p>
      <w:pPr>
        <w:pStyle w:val="ListParagraph"/>
        <w:numPr>
          <w:ilvl w:val="0"/>
          <w:numId w:val="1"/>
        </w:numPr>
        <w:spacing w:after="80"/>
      </w:pPr>
      <w:r>
        <w:t xml:space="preserve">Prior restraint (zakaz publikacji z góry) podlega najsurowszej kontroli — dopuszczalny wyjątkowo i wąsko, gdy publikacja stwarza bezpośrednie, poważne zagrożenie niemożliwe do usunięcia środkami łagodniejszymi (np. częściowa anonimizacja).</w:t>
      </w:r>
    </w:p>
    <w:p>
      <w:pPr>
        <w:pStyle w:val="Heading3"/>
        <w:spacing w:after="100" w:before="200"/>
      </w:pPr>
      <w:r>
        <w:t xml:space="preserve">Przypisanie 'polubienia' jako podżegania/poparcia</w:t>
      </w:r>
    </w:p>
    <w:p>
      <w:pPr>
        <w:pStyle w:val="ListParagraph"/>
        <w:numPr>
          <w:ilvl w:val="0"/>
          <w:numId w:val="1"/>
        </w:numPr>
        <w:spacing w:after="80"/>
      </w:pPr>
      <w:r>
        <w:t xml:space="preserve">Standard 'imminent lawless action' / bezpośredniego podżegania do przemocy wymaga więcej niż biernej interakcji z treścią (polubienie) — konieczne wykazanie zamiaru i realnego związku przyczynowego z mobilizacją.</w:t>
      </w:r>
    </w:p>
    <w:p>
      <w:pPr>
        <w:pStyle w:val="ListParagraph"/>
        <w:numPr>
          <w:ilvl w:val="0"/>
          <w:numId w:val="1"/>
        </w:numPr>
        <w:spacing w:after="80"/>
      </w:pPr>
      <w:r>
        <w:t xml:space="preserve">Sama wcześniejsza rola doradcza w ministerstwie i kontakt z dziennikarką nie stanowią dowodu przynależności do przestępczości zorganizowanej — wymagany jest konkretny, zweryfikowalny dowód, nie profil ryzyka.</w:t>
      </w:r>
    </w:p>
    <w:p>
      <w:pPr>
        <w:pStyle w:val="Heading2"/>
        <w:spacing w:after="150" w:before="300"/>
      </w:pPr>
      <w:r>
        <w:t xml:space="preserve">4. Macierz argumentów stron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1F3864" w:val="clear"/>
          </w:tcPr>
          <w:p>
            <w:r>
              <w:rPr>
                <w:b/>
                <w:bCs/>
                <w:color w:val="FFFFFF"/>
                <w:sz w:val="20"/>
                <w:szCs w:val="20"/>
              </w:rPr>
              <w:t xml:space="preserve">Kwestia</w:t>
            </w:r>
          </w:p>
        </w:tc>
        <w:tc>
          <w:tcPr>
            <w:tcW w:type="dxa" w:w="2600"/>
            <w:shd w:fill="1F3864" w:val="clear"/>
          </w:tcPr>
          <w:p>
            <w:r>
              <w:rPr>
                <w:b/>
                <w:bCs/>
                <w:color w:val="FFFFFF"/>
                <w:sz w:val="20"/>
                <w:szCs w:val="20"/>
              </w:rPr>
              <w:t xml:space="preserve">Argument strony A</w:t>
            </w:r>
          </w:p>
        </w:tc>
        <w:tc>
          <w:tcPr>
            <w:tcW w:type="dxa" w:w="2600"/>
            <w:shd w:fill="1F3864" w:val="clear"/>
          </w:tcPr>
          <w:p>
            <w:r>
              <w:rPr>
                <w:b/>
                <w:bCs/>
                <w:color w:val="FFFFFF"/>
                <w:sz w:val="20"/>
                <w:szCs w:val="20"/>
              </w:rPr>
              <w:t xml:space="preserve">Argument strony B</w:t>
            </w:r>
          </w:p>
        </w:tc>
        <w:tc>
          <w:tcPr>
            <w:tcW w:type="dxa" w:w="2600"/>
            <w:shd w:fill="1F3864" w:val="clear"/>
          </w:tcPr>
          <w:p>
            <w:r>
              <w:rPr>
                <w:b/>
                <w:bCs/>
                <w:color w:val="FFFFFF"/>
                <w:sz w:val="20"/>
                <w:szCs w:val="20"/>
              </w:rPr>
              <w:t xml:space="preserve">Kluczowa kontra / uwaga</w:t>
            </w:r>
          </w:p>
        </w:tc>
      </w:tr>
      <w:tr>
        <w:tc>
          <w:tcPr>
            <w:tcW w:type="dxa" w:w="1600"/>
          </w:tcPr>
          <w:p>
            <w:r>
              <w:rPr>
                <w:b w:val="false"/>
                <w:bCs w:val="false"/>
                <w:sz w:val="18"/>
                <w:szCs w:val="18"/>
              </w:rPr>
              <w:t xml:space="preserve">Kryterium 'potencjalnego zagrożenia'</w:t>
            </w:r>
          </w:p>
        </w:tc>
        <w:tc>
          <w:tcPr>
            <w:tcW w:type="dxa" w:w="2600"/>
          </w:tcPr>
          <w:p>
            <w:r>
              <w:rPr>
                <w:b w:val="false"/>
                <w:bCs w:val="false"/>
                <w:sz w:val="18"/>
                <w:szCs w:val="18"/>
              </w:rPr>
              <w:t xml:space="preserve">Kryterium mieści się w marginesie oceny państwa przy ustawodawstwie antyterrorystycznym/migracyjnym, znanym z porównywalnych regulacji granicznych.</w:t>
            </w:r>
          </w:p>
        </w:tc>
        <w:tc>
          <w:tcPr>
            <w:tcW w:type="dxa" w:w="2600"/>
          </w:tcPr>
          <w:p>
            <w:r>
              <w:rPr>
                <w:b w:val="false"/>
                <w:bCs w:val="false"/>
                <w:sz w:val="18"/>
                <w:szCs w:val="18"/>
              </w:rPr>
              <w:t xml:space="preserve">Kryterium jest nieprecyzyjne, nie zawiera obiektywnych wskaźników, co czyni je niezgodnym z wymogiem przewidywalności ('quality of law') i otwiera drogę do arbitralnego stosowania wobec krytyków władzy.</w:t>
            </w:r>
          </w:p>
        </w:tc>
        <w:tc>
          <w:tcPr>
            <w:tcW w:type="dxa" w:w="2600"/>
          </w:tcPr>
          <w:p>
            <w:r>
              <w:rPr>
                <w:b w:val="false"/>
                <w:bCs w:val="false"/>
                <w:sz w:val="18"/>
                <w:szCs w:val="18"/>
              </w:rPr>
              <w:t xml:space="preserve">Sam margines oceny nie zwalnia z minimalnego standardu precyzji — orzecznictwo strasburskie w sprawach nadzoru masowego (linia Big Brother Watch, Roman Zakharov) wymaga konkretnych, weryfikowalnych kryteriów kwalifikacji do środków inwazyjnych.</w:t>
            </w:r>
          </w:p>
        </w:tc>
      </w:tr>
      <w:tr>
        <w:tc>
          <w:tcPr>
            <w:tcW w:type="dxa" w:w="1600"/>
          </w:tcPr>
          <w:p>
            <w:r>
              <w:rPr>
                <w:b w:val="false"/>
                <w:bCs w:val="false"/>
                <w:sz w:val="18"/>
                <w:szCs w:val="18"/>
              </w:rPr>
              <w:t xml:space="preserve">Przeszukanie na granicy i infekcja urządzenia</w:t>
            </w:r>
          </w:p>
        </w:tc>
        <w:tc>
          <w:tcPr>
            <w:tcW w:type="dxa" w:w="2600"/>
          </w:tcPr>
          <w:p>
            <w:r>
              <w:rPr>
                <w:b w:val="false"/>
                <w:bCs w:val="false"/>
                <w:sz w:val="18"/>
                <w:szCs w:val="18"/>
              </w:rPr>
              <w:t xml:space="preserve">Kontrola graniczna korzysta z obniżonego standardu ochrony prywatności ze względu na suwerenność i bezpieczeństwo granic.</w:t>
            </w:r>
          </w:p>
        </w:tc>
        <w:tc>
          <w:tcPr>
            <w:tcW w:type="dxa" w:w="2600"/>
          </w:tcPr>
          <w:p>
            <w:r>
              <w:rPr>
                <w:b w:val="false"/>
                <w:bCs w:val="false"/>
                <w:sz w:val="18"/>
                <w:szCs w:val="18"/>
              </w:rPr>
              <w:t xml:space="preserve">Skopiowanie danych i zdalna infekcja narzędziem nadzoru wykraczają poza zwykłą kontrolę graniczną i stanowią ingerencję o intensywności zbliżonej do tajnego nadzoru, wymagającą odrębnej, indywidualnej podstawy prawnej i kontroli sądowej.</w:t>
            </w:r>
          </w:p>
        </w:tc>
        <w:tc>
          <w:tcPr>
            <w:tcW w:type="dxa" w:w="2600"/>
          </w:tcPr>
          <w:p>
            <w:r>
              <w:rPr>
                <w:b w:val="false"/>
                <w:bCs w:val="false"/>
                <w:sz w:val="18"/>
                <w:szCs w:val="18"/>
              </w:rPr>
              <w:t xml:space="preserve">Rozróżnienie 'rutynowej kontroli' od 'inwazyjnego nadzoru' jest kluczowe — kopiowanie pełnych danych urządzenia i infekcja spyware przekraczają typowy zakres kontroli granicznej i wymagają odrębnego testu proporcjonalności.</w:t>
            </w:r>
          </w:p>
        </w:tc>
      </w:tr>
      <w:tr>
        <w:tc>
          <w:tcPr>
            <w:tcW w:type="dxa" w:w="1600"/>
          </w:tcPr>
          <w:p>
            <w:r>
              <w:rPr>
                <w:b w:val="false"/>
                <w:bCs w:val="false"/>
                <w:sz w:val="18"/>
                <w:szCs w:val="18"/>
              </w:rPr>
              <w:t xml:space="preserve">Zakaz publikacji</w:t>
            </w:r>
          </w:p>
        </w:tc>
        <w:tc>
          <w:tcPr>
            <w:tcW w:type="dxa" w:w="2600"/>
          </w:tcPr>
          <w:p>
            <w:r>
              <w:rPr>
                <w:b w:val="false"/>
                <w:bCs w:val="false"/>
                <w:sz w:val="18"/>
                <w:szCs w:val="18"/>
              </w:rPr>
              <w:t xml:space="preserve">Materiał zawiera informacje niejawne dot. bezpieczeństwa narodowego — zapobiegawcze zablokowanie chroni nadrzędny interes publiczny.</w:t>
            </w:r>
          </w:p>
        </w:tc>
        <w:tc>
          <w:tcPr>
            <w:tcW w:type="dxa" w:w="2600"/>
          </w:tcPr>
          <w:p>
            <w:r>
              <w:rPr>
                <w:b w:val="false"/>
                <w:bCs w:val="false"/>
                <w:sz w:val="18"/>
                <w:szCs w:val="18"/>
              </w:rPr>
              <w:t xml:space="preserve">Blokada całej publikacji, a nie tylko fragmentów niejawnych, jest środkiem nieproporcjonalnym — prior restraint wymaga wykazania braku alternatywy łagodniejszej (redakcja, częściowe utajnienie).</w:t>
            </w:r>
          </w:p>
        </w:tc>
        <w:tc>
          <w:tcPr>
            <w:tcW w:type="dxa" w:w="2600"/>
          </w:tcPr>
          <w:p>
            <w:r>
              <w:rPr>
                <w:b w:val="false"/>
                <w:bCs w:val="false"/>
                <w:sz w:val="18"/>
                <w:szCs w:val="18"/>
              </w:rPr>
              <w:t xml:space="preserve">Ciężar dowodu przy prior restraint spoczywa na państwie — musi wykazać brak alternatywy; sama okoliczność 'niejawności części materiału' nie uzasadnia blokady całości.</w:t>
            </w:r>
          </w:p>
        </w:tc>
      </w:tr>
      <w:tr>
        <w:tc>
          <w:tcPr>
            <w:tcW w:type="dxa" w:w="1600"/>
          </w:tcPr>
          <w:p>
            <w:r>
              <w:rPr>
                <w:b w:val="false"/>
                <w:bCs w:val="false"/>
                <w:sz w:val="18"/>
                <w:szCs w:val="18"/>
              </w:rPr>
              <w:t xml:space="preserve">Kumulacja sankcji wobec Vitorii</w:t>
            </w:r>
          </w:p>
        </w:tc>
        <w:tc>
          <w:tcPr>
            <w:tcW w:type="dxa" w:w="2600"/>
          </w:tcPr>
          <w:p>
            <w:r>
              <w:rPr>
                <w:b w:val="false"/>
                <w:bCs w:val="false"/>
                <w:sz w:val="18"/>
                <w:szCs w:val="18"/>
              </w:rPr>
              <w:t xml:space="preserve">Każde postępowanie (pracownicze, migracyjne) jest autonomiczne i oparte na odrębnych podstawach faktycznych.</w:t>
            </w:r>
          </w:p>
        </w:tc>
        <w:tc>
          <w:tcPr>
            <w:tcW w:type="dxa" w:w="2600"/>
          </w:tcPr>
          <w:p>
            <w:r>
              <w:rPr>
                <w:b w:val="false"/>
                <w:bCs w:val="false"/>
                <w:sz w:val="18"/>
                <w:szCs w:val="18"/>
              </w:rPr>
              <w:t xml:space="preserve">Bliskość czasowa i tematyczna (kampania → spadek ratingu → zwolnienie → cofnięcie pobytu) wskazuje na wzorzec odwetowy wymagający łącznej oceny proporcjonalności.</w:t>
            </w:r>
          </w:p>
        </w:tc>
        <w:tc>
          <w:tcPr>
            <w:tcW w:type="dxa" w:w="2600"/>
          </w:tcPr>
          <w:p>
            <w:r>
              <w:rPr>
                <w:b w:val="false"/>
                <w:bCs w:val="false"/>
                <w:sz w:val="18"/>
                <w:szCs w:val="18"/>
              </w:rPr>
              <w:t xml:space="preserve">Test 'chilling effect' pozwala oceniać sankcje łącznie, nawet jeśli formalnie odrębne — zbieżność czasowa i tematyczna jest silną poszlaką wymagającą wyjaśnienia przez państwo, nie automatycznego oddalenia.</w:t>
            </w:r>
          </w:p>
        </w:tc>
      </w:tr>
    </w:tbl>
    <w:p>
      <w:pPr>
        <w:spacing w:after="150"/>
      </w:pPr>
    </w:p>
    <w:p>
      <w:pPr>
        <w:pStyle w:val="Heading2"/>
        <w:spacing w:after="150" w:before="300"/>
      </w:pPr>
      <w:r>
        <w:t xml:space="preserve">5. Braki faktyczne i dowody rozstrzygające</w:t>
      </w:r>
    </w:p>
    <w:p>
      <w:pPr>
        <w:pStyle w:val="ListParagraph"/>
        <w:numPr>
          <w:ilvl w:val="0"/>
          <w:numId w:val="1"/>
        </w:numPr>
        <w:spacing w:after="80"/>
      </w:pPr>
      <w:r>
        <w:t xml:space="preserve">Brak treści operacyjnych kryteriów kwalifikacji do statusu 'potencjalnego zagrożenia' — kluczowe dla oceny 'quality of law'.</w:t>
      </w:r>
    </w:p>
    <w:p>
      <w:pPr>
        <w:pStyle w:val="ListParagraph"/>
        <w:numPr>
          <w:ilvl w:val="0"/>
          <w:numId w:val="1"/>
        </w:numPr>
        <w:spacing w:after="80"/>
      </w:pPr>
      <w:r>
        <w:t xml:space="preserve">Nie ustalono, czy dane uzyskane na granicy/ze zdalnej infekcji zostały pozyskane legalnie (wskazane wprost w kazusie jako niepewne) — rozstrzygające dla dopuszczalności ich wykorzystania w dalszych postępowaniach.</w:t>
      </w:r>
    </w:p>
    <w:p>
      <w:pPr>
        <w:pStyle w:val="ListParagraph"/>
        <w:numPr>
          <w:ilvl w:val="0"/>
          <w:numId w:val="1"/>
        </w:numPr>
        <w:spacing w:after="80"/>
      </w:pPr>
      <w:r>
        <w:t xml:space="preserve">Brak informacji o konkretnej treści 'informacji tajnych' rzekomo zawartych w materiale Gravioli — niezbędne dla oceny proporcjonalności całkowitej blokady.</w:t>
      </w:r>
    </w:p>
    <w:p>
      <w:pPr>
        <w:pStyle w:val="ListParagraph"/>
        <w:numPr>
          <w:ilvl w:val="0"/>
          <w:numId w:val="1"/>
        </w:numPr>
        <w:spacing w:after="80"/>
      </w:pPr>
      <w:r>
        <w:t xml:space="preserve">Nie wskazano, jakie dokładnie 'informacje o kontakcie z przestępczością zorganizowaną' posiadało państwo przed zatrzymaniem — czy to konkretne dowody czy ogólny profil ryzyka.</w:t>
      </w:r>
    </w:p>
    <w:p>
      <w:pPr>
        <w:pStyle w:val="ListParagraph"/>
        <w:numPr>
          <w:ilvl w:val="0"/>
          <w:numId w:val="1"/>
        </w:numPr>
        <w:spacing w:after="80"/>
      </w:pPr>
      <w:r>
        <w:t xml:space="preserve">Zakaz dopowiadania faktów: nie zakładam, że polubienie komentarza świadczy o poparciu przemocy — kazus tego nie stwierdza, jedynie wskazuje fakt polubienia.</w:t>
      </w:r>
    </w:p>
    <w:p>
      <w:pPr>
        <w:pStyle w:val="Heading2"/>
        <w:spacing w:after="150" w:before="300"/>
      </w:pPr>
      <w:r>
        <w:t xml:space="preserve">6. Rozstrzygnięcie i środek naprawczy</w:t>
      </w:r>
    </w:p>
    <w:p>
      <w:pPr>
        <w:spacing w:after="140"/>
      </w:pPr>
      <w:r>
        <w:t xml:space="preserve">Sąd/organ ochrony praw człowieka powinien: (1) stwierdzić naruszenie wymogu przewidywalności prawa co do kryterium 'potencjalnego zagrożenia' i zalecić doprecyzowanie ustawy; (2) uznać zdalną infekcję urządzenia dziennikarki i całkowitą blokadę publikacji za nieproporcjonalne wobec dostępnych środków łagodniejszych; (3) nakazać przegląd kumulacji sankcji wobec Vitorii pod kątem odwetu za działalność chronioną; (4) pozostawić do dalszego wyjaśnienia kwestię legalności pozyskania danych, wobec luki dowodowej.</w:t>
      </w:r>
    </w:p>
    <w:p>
      <w:pPr>
        <w:spacing w:after="140"/>
      </w:pPr>
      <w:r>
        <w:rPr>
          <w:b w:val="false"/>
          <w:bCs w:val="false"/>
        </w:rPr>
        <w:t xml:space="preserve">Środek naprawczy: nakaz odblokowania publikacji w części niezawierającej faktycznie niejawnych informacji + zawieszenie procedury migracyjnej do czasu zbadania jej związku czasowego z działalnością chronioną + zadośćuczynienie za naruszenie prywatności obu kobiet.</w:t>
      </w:r>
    </w:p>
    <w:p>
      <w:pPr>
        <w:pStyle w:val="Heading3"/>
        <w:spacing w:after="100" w:before="200"/>
      </w:pPr>
      <w:r>
        <w:t xml:space="preserve">Uwagi metodologiczne / status weryfikacji</w:t>
      </w:r>
    </w:p>
    <w:p>
      <w:pPr>
        <w:spacing w:after="140"/>
      </w:pPr>
      <w:r>
        <w:rPr>
          <w:i/>
          <w:iCs/>
          <w:sz w:val="20"/>
          <w:szCs w:val="20"/>
        </w:rPr>
        <w:t xml:space="preserve">Standardy testu 'legalność–cel–konieczność–proporcjonalność' oraz ochrony źródeł dziennikarskich (linia Goodwin v. UK, Sanoma Uitgevers) i ograniczeń prior restraint są ugruntowaną, stabilną doktryną praw człowieka niewymagającą świeżej weryfikacji online dla celów tego ćwiczenia dydaktycznego; nazwy własne kazusu (Uxi, Broken Code) są fikcyjne.</w:t>
      </w:r>
    </w:p>
    <w:p>
      <w:r>
        <w:br w:type="page"/>
      </w:r>
    </w:p>
    <w:p>
      <w:pPr>
        <w:spacing w:after="60"/>
      </w:pPr>
      <w:r>
        <w:rPr>
          <w:b/>
          <w:bCs/>
          <w:color w:val="1F3864"/>
          <w:sz w:val="32"/>
          <w:szCs w:val="32"/>
        </w:rPr>
        <w:t xml:space="preserve">K-04  Prokurator przeciwko Drogannie Syrax</w:t>
      </w:r>
    </w:p>
    <w:p>
      <w:pPr>
        <w:spacing w:after="200"/>
      </w:pPr>
      <w:r>
        <w:rPr>
          <w:i/>
          <w:iCs/>
          <w:sz w:val="22"/>
          <w:szCs w:val="22"/>
        </w:rPr>
        <w:t xml:space="preserve">Pomoc medyczna, jurysdykcja MTK i immunitet głowy państwa — adaptacja IBA ICC Moot 2026</w:t>
      </w:r>
    </w:p>
    <w:p>
      <w:pPr>
        <w:spacing w:after="60"/>
      </w:pPr>
      <w:r>
        <w:rPr>
          <w:b/>
          <w:bCs/>
        </w:rPr>
        <w:t xml:space="preserve">Poziom: </w:t>
      </w:r>
      <w:r>
        <w:t xml:space="preserve">bardzo wysoka</w:t>
      </w:r>
    </w:p>
    <w:p>
      <w:pPr>
        <w:spacing w:after="60"/>
      </w:pPr>
      <w:r>
        <w:rPr>
          <w:b/>
          <w:bCs/>
        </w:rPr>
        <w:t xml:space="preserve">Sugerowany czas: </w:t>
      </w:r>
      <w:r>
        <w:t xml:space="preserve">4–6 godzin</w:t>
      </w:r>
    </w:p>
    <w:p>
      <w:pPr>
        <w:spacing w:after="60"/>
      </w:pPr>
      <w:r>
        <w:rPr>
          <w:b/>
          <w:bCs/>
        </w:rPr>
        <w:t xml:space="preserve">Role: </w:t>
      </w:r>
      <w:r>
        <w:t xml:space="preserve">oskarżenie; obrona; zainteresowane państwo; pokrzywdzeni</w:t>
      </w:r>
    </w:p>
    <w:p>
      <w:pPr>
        <w:spacing w:after="100"/>
      </w:pPr>
    </w:p>
    <w:p>
      <w:pPr>
        <w:pStyle w:val="Heading2"/>
        <w:spacing w:after="150" w:before="300"/>
      </w:pPr>
      <w:r>
        <w:t xml:space="preserve">1. Teza wstępna</w:t>
      </w:r>
    </w:p>
    <w:p>
      <w:pPr>
        <w:spacing w:after="140"/>
      </w:pPr>
      <w:r>
        <w:t xml:space="preserve">Systematyczne blokowanie dostaw medycznych do ludności cywilnej może wypełniać znamiona zbrodni wojennej głodzenia ludności cywilnej i/lub umyślnego utrudniania pomocy humanitarnej w konflikcie zbrojnym (art. 8 Statutu Rzymskiego), o ile wykazany zostanie związek z konfliktem i zamiar/świadome zaniechanie; deklaracja jurysdykcyjna złożona przez poprzednie władze Essuss wiąże państwo niezależnie od zmiany rządu (zasada kontynuacji zobowiązań międzynarodowych państwa, nie rządu) i nie może być jednostronnie cofnięta co do zdarzeń już objętych jej zakresem czasowym; urzędująca głowa państwa nie może powołać się na immunitet materialny/formalny wobec MTK w sprawach z jego jurysdykcji (art. 27 Statutu Rzymskiego — irrelewantność funkcji urzędowej), niezależnie od tego, czy Essuss jest stroną Statutu; nieregularne zatrzymanie w państwie trzecim, jeśli nie przypisywalne bezpośrednio Trybunałowi, zasadniczo nie skutkuje automatycznym umorzeniem postępowania (zasada male captus bene detentus w orzecznictwie MTK), lecz może uzasadniać środki kompensacyjne inne niż zakończenie sprawy.</w:t>
      </w:r>
    </w:p>
    <w:p>
      <w:pPr>
        <w:pStyle w:val="Heading2"/>
        <w:spacing w:after="150" w:before="300"/>
      </w:pPr>
      <w:r>
        <w:t xml:space="preserve">2. Mapa jurysdykcji, źródeł prawa i kompetencji organów</w:t>
      </w:r>
    </w:p>
    <w:p>
      <w:pPr>
        <w:pStyle w:val="ListParagraph"/>
        <w:numPr>
          <w:ilvl w:val="0"/>
          <w:numId w:val="1"/>
        </w:numPr>
        <w:spacing w:after="80"/>
      </w:pPr>
      <w:r>
        <w:t xml:space="preserve">Międzynarodowy Trybunał Karny (MTK) — jurysdykcja przedmiotowa (zbrodnie z art. 5–8 Statutu Rzymskiego), czasowa i terytorialna/personalna oparta na deklaracji ad hoc złożonej przez Essuss na podstawie art. 12 ust. 3 Statutu (państwo niebędące stroną może uznać jurysdykcję dla konkretnej sytuacji).</w:t>
      </w:r>
    </w:p>
    <w:p>
      <w:pPr>
        <w:pStyle w:val="ListParagraph"/>
        <w:numPr>
          <w:ilvl w:val="0"/>
          <w:numId w:val="1"/>
        </w:numPr>
        <w:spacing w:after="80"/>
      </w:pPr>
      <w:r>
        <w:t xml:space="preserve">Izba Przygotowawcza — etap potwierdzenia zarzutów (art. 61 Statutu) — ocena wystarczających dowodów co do każdej formy odpowiedzialności.</w:t>
      </w:r>
    </w:p>
    <w:p>
      <w:pPr>
        <w:pStyle w:val="ListParagraph"/>
        <w:numPr>
          <w:ilvl w:val="0"/>
          <w:numId w:val="1"/>
        </w:numPr>
        <w:spacing w:after="80"/>
      </w:pPr>
      <w:r>
        <w:t xml:space="preserve">Prawo właściwe: Statut Rzymski, Elementy Definicji Zbrodni, Regulamin Procesowy i Dowodowy MTK; pomocniczo międzynarodowe prawo humanitarne (konwencje genewskie i protokoły dodatkowe) dla kwalifikacji czynu jako zbrodni wojennej.</w:t>
      </w:r>
    </w:p>
    <w:p>
      <w:pPr>
        <w:pStyle w:val="ListParagraph"/>
        <w:numPr>
          <w:ilvl w:val="0"/>
          <w:numId w:val="1"/>
        </w:numPr>
        <w:spacing w:after="80"/>
      </w:pPr>
      <w:r>
        <w:t xml:space="preserve">Państwo trzecie zatrzymujące Syrax — jego wewnętrzne prawo i zobowiązania międzynarodowe (w tym ewentualne naruszenie suwerenności Essuss) pozostają odrębnym zagadnieniem od kompetencji samego MTK do prowadzenia postępowania wobec oskarżonej już przekazanej.</w:t>
      </w:r>
    </w:p>
    <w:p>
      <w:pPr>
        <w:pStyle w:val="Heading2"/>
        <w:spacing w:after="150" w:before="300"/>
      </w:pPr>
      <w:r>
        <w:t xml:space="preserve">3. Przesłanki roszczeń / zarzutów / środków ochrony</w:t>
      </w:r>
    </w:p>
    <w:p>
      <w:pPr>
        <w:pStyle w:val="Heading3"/>
        <w:spacing w:after="100" w:before="200"/>
      </w:pPr>
      <w:r>
        <w:t xml:space="preserve">Kwalifikacja czynu jako zbrodni wojennej (art. 8 Statutu)</w:t>
      </w:r>
    </w:p>
    <w:p>
      <w:pPr>
        <w:pStyle w:val="ListParagraph"/>
        <w:numPr>
          <w:ilvl w:val="0"/>
          <w:numId w:val="1"/>
        </w:numPr>
        <w:spacing w:after="80"/>
      </w:pPr>
      <w:r>
        <w:t xml:space="preserve">Wymóg związku z konfliktem zbrojnym (nexus) — działanie musi być powiązane funkcjonalnie z prowadzeniem konfliktu, nie tylko czasowo z nim zbiegać.</w:t>
      </w:r>
    </w:p>
    <w:p>
      <w:pPr>
        <w:pStyle w:val="ListParagraph"/>
        <w:numPr>
          <w:ilvl w:val="0"/>
          <w:numId w:val="1"/>
        </w:numPr>
        <w:spacing w:after="80"/>
      </w:pPr>
      <w:r>
        <w:t xml:space="preserve">Zamiar głodzenia ludności cywilnej jako metody walki lub umyślne utrudnianie pomocy humanitarnej wymaga wykazania celu osłabienia ludności cywilnej, a nie wyłącznie legalnej kontroli bezpieczeństwa przeciw przemytowi broni — rozróżnienie kluczowe dla obu stron.</w:t>
      </w:r>
    </w:p>
    <w:p>
      <w:pPr>
        <w:pStyle w:val="ListParagraph"/>
        <w:numPr>
          <w:ilvl w:val="0"/>
          <w:numId w:val="1"/>
        </w:numPr>
        <w:spacing w:after="80"/>
      </w:pPr>
      <w:r>
        <w:t xml:space="preserve">Strona chroniona: ludność cywilna regionu opanowanego przez przeciwnika — wymaga ustalenia jej statusu (cywile vs. kombatanci) w świetle faktycznej kontroli terytorium.</w:t>
      </w:r>
    </w:p>
    <w:p>
      <w:pPr>
        <w:pStyle w:val="Heading3"/>
        <w:spacing w:after="100" w:before="200"/>
      </w:pPr>
      <w:r>
        <w:t xml:space="preserve">Deklaracja jurysdykcyjna (art. 12 ust. 3 Statutu)</w:t>
      </w:r>
    </w:p>
    <w:p>
      <w:pPr>
        <w:pStyle w:val="ListParagraph"/>
        <w:numPr>
          <w:ilvl w:val="0"/>
          <w:numId w:val="1"/>
        </w:numPr>
        <w:spacing w:after="80"/>
      </w:pPr>
      <w:r>
        <w:t xml:space="preserve">Zakres przedmiotowy i czasowy deklaracji określa granice jurysdykcji ad hoc — wymaga ustalenia, czy zarzucane czyny mieszczą się w 'określonej sytuacji i okresie'.</w:t>
      </w:r>
    </w:p>
    <w:p>
      <w:pPr>
        <w:pStyle w:val="ListParagraph"/>
        <w:numPr>
          <w:ilvl w:val="0"/>
          <w:numId w:val="1"/>
        </w:numPr>
        <w:spacing w:after="80"/>
      </w:pPr>
      <w:r>
        <w:t xml:space="preserve">Zmiana rządu nie unieważnia zobowiązań międzynarodowych państwa (zasada kontynuacji podmiotowości państwa, art. 27 Konwencji wiedeńskiej o prawie traktatów per analogiam) — nowy rząd nie może jednostronnie cofnąć skuteczności deklaracji wobec zdarzeń już nią objętych, choć może kwestionować jej dalszą prospektywną skuteczność.</w:t>
      </w:r>
    </w:p>
    <w:p>
      <w:pPr>
        <w:pStyle w:val="Heading3"/>
        <w:spacing w:after="100" w:before="200"/>
      </w:pPr>
      <w:r>
        <w:t xml:space="preserve">Immunitet głowy państwa (art. 27 Statutu Rzymskiego)</w:t>
      </w:r>
    </w:p>
    <w:p>
      <w:pPr>
        <w:pStyle w:val="ListParagraph"/>
        <w:numPr>
          <w:ilvl w:val="0"/>
          <w:numId w:val="1"/>
        </w:numPr>
        <w:spacing w:after="80"/>
      </w:pPr>
      <w:r>
        <w:t xml:space="preserve">Art. 27 wyłącza immunitet materialny (funkcjonalny) i formalny wobec jurysdykcji MTK dla wszystkich oskarżonych, w tym urzędujących głów państw — potwierdzone w praktyce Trybunału (sprawa Al-Bashir) niezależnie od tego, czy państwo pochodzenia jest stroną Statutu, gdy jurysdykcja oparta jest na deklaracji lub odesłaniu Rady Bezpieczeństwa.</w:t>
      </w:r>
    </w:p>
    <w:p>
      <w:pPr>
        <w:pStyle w:val="ListParagraph"/>
        <w:numPr>
          <w:ilvl w:val="0"/>
          <w:numId w:val="1"/>
        </w:numPr>
        <w:spacing w:after="80"/>
      </w:pPr>
      <w:r>
        <w:t xml:space="preserve">Odrębną kwestią pozostaje ewentualny immunitet przed sądami krajowymi państwa trzeciego zatrzymującego — nie tożsamy z immunitetem wobec samego MTK.</w:t>
      </w:r>
    </w:p>
    <w:p>
      <w:pPr>
        <w:pStyle w:val="Heading3"/>
        <w:spacing w:after="100" w:before="200"/>
      </w:pPr>
      <w:r>
        <w:t xml:space="preserve">Skutki nieregularnego zatrzymania</w:t>
      </w:r>
    </w:p>
    <w:p>
      <w:pPr>
        <w:pStyle w:val="ListParagraph"/>
        <w:numPr>
          <w:ilvl w:val="0"/>
          <w:numId w:val="1"/>
        </w:numPr>
        <w:spacing w:after="80"/>
      </w:pPr>
      <w:r>
        <w:t xml:space="preserve">Zasada male captus bene detentus (irrelewantność sposobu ujęcia dla dopuszczalności procesu) dominuje w praktyce międzynarodowych trybunałów karnych, chyba że naruszenie praw oskarżonego było rażące i przypisywalne samemu Trybunałowi lub prokuraturze.</w:t>
      </w:r>
    </w:p>
    <w:p>
      <w:pPr>
        <w:pStyle w:val="ListParagraph"/>
        <w:numPr>
          <w:ilvl w:val="0"/>
          <w:numId w:val="1"/>
        </w:numPr>
        <w:spacing w:after="80"/>
      </w:pPr>
      <w:r>
        <w:t xml:space="preserve">Naruszenie suwerenności państwa trzeciego przez operację zatrzymania jest odrębnym sporem międzypaństwowym, nieprzesądzającym automatycznie o niedopuszczalności postępowania karnego wobec oskarżonej.</w:t>
      </w:r>
    </w:p>
    <w:p>
      <w:pPr>
        <w:pStyle w:val="Heading3"/>
        <w:spacing w:after="100" w:before="200"/>
      </w:pPr>
      <w:r>
        <w:t xml:space="preserve">Forma indywidualnej odpowiedzialności (art. 25, 28 Statutu)</w:t>
      </w:r>
    </w:p>
    <w:p>
      <w:pPr>
        <w:pStyle w:val="ListParagraph"/>
        <w:numPr>
          <w:ilvl w:val="0"/>
          <w:numId w:val="1"/>
        </w:numPr>
        <w:spacing w:after="80"/>
      </w:pPr>
      <w:r>
        <w:t xml:space="preserve">Art. 25: sprawstwo bezpośrednie/pośrednie, współsprawstwo, polecenie/nakłanianie — wymaga dowodu osobistego udziału w decyzji lub świadomego wkładu w realizację wspólnego planu.</w:t>
      </w:r>
    </w:p>
    <w:p>
      <w:pPr>
        <w:pStyle w:val="ListParagraph"/>
        <w:numPr>
          <w:ilvl w:val="0"/>
          <w:numId w:val="1"/>
        </w:numPr>
        <w:spacing w:after="80"/>
      </w:pPr>
      <w:r>
        <w:t xml:space="preserve">Art. 28: odpowiedzialność dowódcy/przełożonego cywilnego — wymaga wykazania wiedzy (lub rażącego zlekceważenia informacji wskazujących) o czynach podwładnych oraz zaniechania podjęcia rozsądnych środków zapobiegawczych/represyjnych.</w:t>
      </w:r>
    </w:p>
    <w:p>
      <w:pPr>
        <w:pStyle w:val="ListParagraph"/>
        <w:numPr>
          <w:ilvl w:val="0"/>
          <w:numId w:val="1"/>
        </w:numPr>
        <w:spacing w:after="80"/>
      </w:pPr>
      <w:r>
        <w:t xml:space="preserve">Fragmentaryczność dokumentów i ustne przekazywanie rozkazów utrudniają wykazanie formy 'bezpośredniego polecenia' — silniejszą podstawą dowodową może być odpowiedzialność za świadomy udział w polityce systemowej.</w:t>
      </w:r>
    </w:p>
    <w:p>
      <w:pPr>
        <w:pStyle w:val="Heading2"/>
        <w:spacing w:after="150" w:before="300"/>
      </w:pPr>
      <w:r>
        <w:t xml:space="preserve">4. Macierz argumentów stron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1F3864" w:val="clear"/>
          </w:tcPr>
          <w:p>
            <w:r>
              <w:rPr>
                <w:b/>
                <w:bCs/>
                <w:color w:val="FFFFFF"/>
                <w:sz w:val="20"/>
                <w:szCs w:val="20"/>
              </w:rPr>
              <w:t xml:space="preserve">Kwestia</w:t>
            </w:r>
          </w:p>
        </w:tc>
        <w:tc>
          <w:tcPr>
            <w:tcW w:type="dxa" w:w="2600"/>
            <w:shd w:fill="1F3864" w:val="clear"/>
          </w:tcPr>
          <w:p>
            <w:r>
              <w:rPr>
                <w:b/>
                <w:bCs/>
                <w:color w:val="FFFFFF"/>
                <w:sz w:val="20"/>
                <w:szCs w:val="20"/>
              </w:rPr>
              <w:t xml:space="preserve">Argument strony A</w:t>
            </w:r>
          </w:p>
        </w:tc>
        <w:tc>
          <w:tcPr>
            <w:tcW w:type="dxa" w:w="2600"/>
            <w:shd w:fill="1F3864" w:val="clear"/>
          </w:tcPr>
          <w:p>
            <w:r>
              <w:rPr>
                <w:b/>
                <w:bCs/>
                <w:color w:val="FFFFFF"/>
                <w:sz w:val="20"/>
                <w:szCs w:val="20"/>
              </w:rPr>
              <w:t xml:space="preserve">Argument strony B</w:t>
            </w:r>
          </w:p>
        </w:tc>
        <w:tc>
          <w:tcPr>
            <w:tcW w:type="dxa" w:w="2600"/>
            <w:shd w:fill="1F3864" w:val="clear"/>
          </w:tcPr>
          <w:p>
            <w:r>
              <w:rPr>
                <w:b/>
                <w:bCs/>
                <w:color w:val="FFFFFF"/>
                <w:sz w:val="20"/>
                <w:szCs w:val="20"/>
              </w:rPr>
              <w:t xml:space="preserve">Kluczowa kontra / uwaga</w:t>
            </w:r>
          </w:p>
        </w:tc>
      </w:tr>
      <w:tr>
        <w:tc>
          <w:tcPr>
            <w:tcW w:type="dxa" w:w="1600"/>
          </w:tcPr>
          <w:p>
            <w:r>
              <w:rPr>
                <w:b w:val="false"/>
                <w:bCs w:val="false"/>
                <w:sz w:val="18"/>
                <w:szCs w:val="18"/>
              </w:rPr>
              <w:t xml:space="preserve">Kwalifikacja ograniczeń dostaw</w:t>
            </w:r>
          </w:p>
        </w:tc>
        <w:tc>
          <w:tcPr>
            <w:tcW w:type="dxa" w:w="2600"/>
          </w:tcPr>
          <w:p>
            <w:r>
              <w:rPr>
                <w:b w:val="false"/>
                <w:bCs w:val="false"/>
                <w:sz w:val="18"/>
                <w:szCs w:val="18"/>
              </w:rPr>
              <w:t xml:space="preserve">Ograniczenia miały charakter legalnej kontroli bezpieczeństwa wobec udokumentowanego przemytu broni w konwojach — brak zamiaru skrzywdzenia ludności cywilnej.</w:t>
            </w:r>
          </w:p>
        </w:tc>
        <w:tc>
          <w:tcPr>
            <w:tcW w:type="dxa" w:w="2600"/>
          </w:tcPr>
          <w:p>
            <w:r>
              <w:rPr>
                <w:b w:val="false"/>
                <w:bCs w:val="false"/>
                <w:sz w:val="18"/>
                <w:szCs w:val="18"/>
              </w:rPr>
              <w:t xml:space="preserve">Systematyczność, powtarzalność zatrzymań i brak alternatywnych kanałów dostaw leków wskazują na cel osłabienia ludności cywilnej wspierającej przeciwnika — metoda głodzenia/blokady humanitarnej.</w:t>
            </w:r>
          </w:p>
        </w:tc>
        <w:tc>
          <w:tcPr>
            <w:tcW w:type="dxa" w:w="2600"/>
          </w:tcPr>
          <w:p>
            <w:r>
              <w:rPr>
                <w:b w:val="false"/>
                <w:bCs w:val="false"/>
                <w:sz w:val="18"/>
                <w:szCs w:val="18"/>
              </w:rPr>
              <w:t xml:space="preserve">Rozstrzygające będzie ustalenie proporcji: czy kontrole faktycznie ograniczały przemyt broni przy zachowaniu przepływu pomocy medycznej, czy raczej blokowały jedno i drugie łącznie bez rozróżnienia — obecny stan faktyczny nie precyzuje tej proporcji.</w:t>
            </w:r>
          </w:p>
        </w:tc>
      </w:tr>
      <w:tr>
        <w:tc>
          <w:tcPr>
            <w:tcW w:type="dxa" w:w="1600"/>
          </w:tcPr>
          <w:p>
            <w:r>
              <w:rPr>
                <w:b w:val="false"/>
                <w:bCs w:val="false"/>
                <w:sz w:val="18"/>
                <w:szCs w:val="18"/>
              </w:rPr>
              <w:t xml:space="preserve">Skuteczność deklaracji jurysdykcyjnej</w:t>
            </w:r>
          </w:p>
        </w:tc>
        <w:tc>
          <w:tcPr>
            <w:tcW w:type="dxa" w:w="2600"/>
          </w:tcPr>
          <w:p>
            <w:r>
              <w:rPr>
                <w:b w:val="false"/>
                <w:bCs w:val="false"/>
                <w:sz w:val="18"/>
                <w:szCs w:val="18"/>
              </w:rPr>
              <w:t xml:space="preserve">Nowy rząd skutecznie ograniczył/cofnął zakres deklaracji, gdyż to on reprezentuje suwerenną wolę państwa w chwili obecnej.</w:t>
            </w:r>
          </w:p>
        </w:tc>
        <w:tc>
          <w:tcPr>
            <w:tcW w:type="dxa" w:w="2600"/>
          </w:tcPr>
          <w:p>
            <w:r>
              <w:rPr>
                <w:b w:val="false"/>
                <w:bCs w:val="false"/>
                <w:sz w:val="18"/>
                <w:szCs w:val="18"/>
              </w:rPr>
              <w:t xml:space="preserve">Deklaracja wiąże państwo Essuss jako podmiot prawa międzynarodowego niezależnie od zmiany rządu; jednostronne cofnięcie nie ma skutku wobec czynów już objętych jej zakresem czasowym.</w:t>
            </w:r>
          </w:p>
        </w:tc>
        <w:tc>
          <w:tcPr>
            <w:tcW w:type="dxa" w:w="2600"/>
          </w:tcPr>
          <w:p>
            <w:r>
              <w:rPr>
                <w:b w:val="false"/>
                <w:bCs w:val="false"/>
                <w:sz w:val="18"/>
                <w:szCs w:val="18"/>
              </w:rPr>
              <w:t xml:space="preserve">Analogia do zasady kontynuacji zobowiązań traktatowych państwa jest silna, ale MTK musi też zbadać dokładny zakres przedmiotowo-czasowy pierwotnej deklaracji — spór nie dotyczy jej istnienia, lecz zakresu.</w:t>
            </w:r>
          </w:p>
        </w:tc>
      </w:tr>
      <w:tr>
        <w:tc>
          <w:tcPr>
            <w:tcW w:type="dxa" w:w="1600"/>
          </w:tcPr>
          <w:p>
            <w:r>
              <w:rPr>
                <w:b w:val="false"/>
                <w:bCs w:val="false"/>
                <w:sz w:val="18"/>
                <w:szCs w:val="18"/>
              </w:rPr>
              <w:t xml:space="preserve">Immunitet Syrax</w:t>
            </w:r>
          </w:p>
        </w:tc>
        <w:tc>
          <w:tcPr>
            <w:tcW w:type="dxa" w:w="2600"/>
          </w:tcPr>
          <w:p>
            <w:r>
              <w:rPr>
                <w:b w:val="false"/>
                <w:bCs w:val="false"/>
                <w:sz w:val="18"/>
                <w:szCs w:val="18"/>
              </w:rPr>
              <w:t xml:space="preserve">Jako urzędująca głowa państwa Syrax korzysta z immunitetu personalnego wobec jakiejkolwiek jurysdykcji karnej, w tym międzynarodowej, do czasu opuszczenia urzędu.</w:t>
            </w:r>
          </w:p>
        </w:tc>
        <w:tc>
          <w:tcPr>
            <w:tcW w:type="dxa" w:w="2600"/>
          </w:tcPr>
          <w:p>
            <w:r>
              <w:rPr>
                <w:b w:val="false"/>
                <w:bCs w:val="false"/>
                <w:sz w:val="18"/>
                <w:szCs w:val="18"/>
              </w:rPr>
              <w:t xml:space="preserve">Art. 27 Statutu Rzymskiego wprost wyłącza immunitet funkcjonalny i formalny wobec MTK — praktyka Trybunału (Al-Bashir) potwierdza brak immunitetu nawet dla głów państw niebędących stronami Statutu.</w:t>
            </w:r>
          </w:p>
        </w:tc>
        <w:tc>
          <w:tcPr>
            <w:tcW w:type="dxa" w:w="2600"/>
          </w:tcPr>
          <w:p>
            <w:r>
              <w:rPr>
                <w:b w:val="false"/>
                <w:bCs w:val="false"/>
                <w:sz w:val="18"/>
                <w:szCs w:val="18"/>
              </w:rPr>
              <w:t xml:space="preserve">To ugruntowane stanowisko Trybunału, choć kontrowersyjne w doktrynie co do państw spoza Statutu — memorandum powinno przedstawić oba stanowiska, zaznaczając, że praktyka MTK jest jednoznaczna, a spór toczy się głównie w literaturze.</w:t>
            </w:r>
          </w:p>
        </w:tc>
      </w:tr>
      <w:tr>
        <w:tc>
          <w:tcPr>
            <w:tcW w:type="dxa" w:w="1600"/>
          </w:tcPr>
          <w:p>
            <w:r>
              <w:rPr>
                <w:b w:val="false"/>
                <w:bCs w:val="false"/>
                <w:sz w:val="18"/>
                <w:szCs w:val="18"/>
              </w:rPr>
              <w:t xml:space="preserve">Skutek nieregularnego zatrzymania</w:t>
            </w:r>
          </w:p>
        </w:tc>
        <w:tc>
          <w:tcPr>
            <w:tcW w:type="dxa" w:w="2600"/>
          </w:tcPr>
          <w:p>
            <w:r>
              <w:rPr>
                <w:b w:val="false"/>
                <w:bCs w:val="false"/>
                <w:sz w:val="18"/>
                <w:szCs w:val="18"/>
              </w:rPr>
              <w:t xml:space="preserve">Rażące naruszenie procedury ekstradycyjnej i praw procesowych oskarżonej wymaga zakończenia postępowania jako sankcji za bezprawne działanie państw.</w:t>
            </w:r>
          </w:p>
        </w:tc>
        <w:tc>
          <w:tcPr>
            <w:tcW w:type="dxa" w:w="2600"/>
          </w:tcPr>
          <w:p>
            <w:r>
              <w:rPr>
                <w:b w:val="false"/>
                <w:bCs w:val="false"/>
                <w:sz w:val="18"/>
                <w:szCs w:val="18"/>
              </w:rPr>
              <w:t xml:space="preserve">Zgodnie z dominującą praktyką międzynarodowych trybunałów karnych sposób ujęcia oskarżonego nie wpływa na dopuszczalność procesu, chyba że naruszenie jest przypisywalne samemu Trybunałowi.</w:t>
            </w:r>
          </w:p>
        </w:tc>
        <w:tc>
          <w:tcPr>
            <w:tcW w:type="dxa" w:w="2600"/>
          </w:tcPr>
          <w:p>
            <w:r>
              <w:rPr>
                <w:b w:val="false"/>
                <w:bCs w:val="false"/>
                <w:sz w:val="18"/>
                <w:szCs w:val="18"/>
              </w:rPr>
              <w:t xml:space="preserve">Obrona może maksymalnie uzyskać zbadanie okoliczności ujęcia jako czynnika łagodzącego lub podstawy odrębnego postępowania dyscyplinarnego/międzypaństwowego, nie jako podstawy umorzenia — chyba że wykaże bezpośredni udział prokuratury MTK w bezprawnym zatrzymaniu.</w:t>
            </w:r>
          </w:p>
        </w:tc>
      </w:tr>
    </w:tbl>
    <w:p>
      <w:pPr>
        <w:spacing w:after="150"/>
      </w:pPr>
    </w:p>
    <w:p>
      <w:pPr>
        <w:pStyle w:val="Heading2"/>
        <w:spacing w:after="150" w:before="300"/>
      </w:pPr>
      <w:r>
        <w:t xml:space="preserve">5. Braki faktyczne i dowody rozstrzygające</w:t>
      </w:r>
    </w:p>
    <w:p>
      <w:pPr>
        <w:pStyle w:val="ListParagraph"/>
        <w:numPr>
          <w:ilvl w:val="0"/>
          <w:numId w:val="1"/>
        </w:numPr>
        <w:spacing w:after="80"/>
      </w:pPr>
      <w:r>
        <w:t xml:space="preserve">Brak dokładnej treści i zakresu przedmiotowo-czasowego deklaracji jurysdykcyjnej Essuss — kluczowe dla ustalenia, czy zarzucane czyny są nią objęte.</w:t>
      </w:r>
    </w:p>
    <w:p>
      <w:pPr>
        <w:pStyle w:val="ListParagraph"/>
        <w:numPr>
          <w:ilvl w:val="0"/>
          <w:numId w:val="1"/>
        </w:numPr>
        <w:spacing w:after="80"/>
      </w:pPr>
      <w:r>
        <w:t xml:space="preserve">Nie ustalono proporcji między kontrolą antyprzemytową a faktycznym ograniczeniem dostaw medycznych — rozstrzygające dla oceny zamiaru.</w:t>
      </w:r>
    </w:p>
    <w:p>
      <w:pPr>
        <w:pStyle w:val="ListParagraph"/>
        <w:numPr>
          <w:ilvl w:val="0"/>
          <w:numId w:val="1"/>
        </w:numPr>
        <w:spacing w:after="80"/>
      </w:pPr>
      <w:r>
        <w:t xml:space="preserve">Fragmentaryczność dokumentów i ustny charakter części rozkazów uniemożliwiają jednoznaczne przypisanie formy odpowiedzialności z art. 25 — wymaga to dalszego postępowania dowodowego (świadkowie, metadane komunikacji).</w:t>
      </w:r>
    </w:p>
    <w:p>
      <w:pPr>
        <w:pStyle w:val="ListParagraph"/>
        <w:numPr>
          <w:ilvl w:val="0"/>
          <w:numId w:val="1"/>
        </w:numPr>
        <w:spacing w:after="80"/>
      </w:pPr>
      <w:r>
        <w:t xml:space="preserve">Brak informacji o okolicznościach operacji zatrzymania w państwie trzecim (czy prokuratura MTK miała w niej udział) — rozstrzygające dla oceny zarzutu wadliwego doprowadzenia.</w:t>
      </w:r>
    </w:p>
    <w:p>
      <w:pPr>
        <w:pStyle w:val="ListParagraph"/>
        <w:numPr>
          <w:ilvl w:val="0"/>
          <w:numId w:val="1"/>
        </w:numPr>
        <w:spacing w:after="80"/>
      </w:pPr>
      <w:r>
        <w:t xml:space="preserve">Zakaz dopowiadania faktów: kazus nie przesądza, czy Syrax osobiście wydała polecenie ograniczeń, czy jedynie 'zatwierdziła system' — to różnica prawnie istotna między art. 25 a art. 28 Statutu, wymagająca odrębnego omówienia obu wariantów.</w:t>
      </w:r>
    </w:p>
    <w:p>
      <w:pPr>
        <w:pStyle w:val="Heading2"/>
        <w:spacing w:after="150" w:before="300"/>
      </w:pPr>
      <w:r>
        <w:t xml:space="preserve">6. Rozstrzygnięcie i środek naprawczy</w:t>
      </w:r>
    </w:p>
    <w:p>
      <w:pPr>
        <w:spacing w:after="140"/>
      </w:pPr>
      <w:r>
        <w:t xml:space="preserve">Izba Przygotowawcza powinna: (1) potwierdzić jurysdykcję MTK co do czynów mieszczących się w zakresie deklaracji z 12 ust. 3, odrzucając jednostronne cofnięcie przez nowy rząd w zakresie zdarzeń przeszłych; (2) oddalić zarzut immunitetu na podstawie art. 27 Statutu, zgodnie z ugruntowaną praktyką Trybunału; (3) nie umarzać postępowania z powodu nieregularnego zatrzymania, lecz rozważyć je jako okoliczność przy ewentualnym późniejszym wymiarze kary lub jako przedmiot odrębnego postępowania międzypaństwowego; (4) potwierdzić zarzuty w formie umożliwiającej dalsze postępowanie dowodowe co do formy odpowiedzialności (art. 25 lub 28 alternatywnie), z uwagi na fragmentaryczność materiału.</w:t>
      </w:r>
    </w:p>
    <w:p>
      <w:pPr>
        <w:spacing w:after="140"/>
      </w:pPr>
      <w:r>
        <w:rPr>
          <w:b w:val="false"/>
          <w:bCs w:val="false"/>
        </w:rPr>
        <w:t xml:space="preserve">Środek naprawczy: skierowanie sprawy do postępowania głównego z zarzutami sformułowanymi alternatywnie (bezpośrednie polecenie / odpowiedzialność przełożonego cywilnego), z otwartym katalogiem dowodowym co do proporcji kontroli bezpieczeństwa i faktycznego wpływu na dostawy medyczne.</w:t>
      </w:r>
    </w:p>
    <w:p>
      <w:pPr>
        <w:pStyle w:val="Heading3"/>
        <w:spacing w:after="100" w:before="200"/>
      </w:pPr>
      <w:r>
        <w:t xml:space="preserve">Uwagi metodologiczne / status weryfikacji</w:t>
      </w:r>
    </w:p>
    <w:p>
      <w:pPr>
        <w:spacing w:after="140"/>
      </w:pPr>
      <w:r>
        <w:rPr>
          <w:i/>
          <w:iCs/>
          <w:sz w:val="20"/>
          <w:szCs w:val="20"/>
        </w:rPr>
        <w:t xml:space="preserve">Art. 27 Statutu Rzymskiego i praktyka MTK w sprawie immunitetu głów państw (linia Al-Bashir, w tym opinie Izby Apelacyjnej z 2019 r. dot. Jordanii) to ugruntowana, potwierdzona doktryna. Kazus jest fikcyjną adaptacją (państwo Essuss nie istnieje) — nazwy stron i szczegóły faktyczne nie podlegają weryfikacji zewnętrznej z definicji.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2026-09-02T18:11:05.660Z</dcterms:created>
  <dcterms:modified xsi:type="dcterms:W3CDTF">2026-09-02T18:11:05.671Z</dcterms:modified>
</cp:coreProperties>
</file>

<file path=docProps/custom.xml><?xml version="1.0" encoding="utf-8"?>
<Properties xmlns="http://schemas.openxmlformats.org/officeDocument/2006/custom-properties" xmlns:vt="http://schemas.openxmlformats.org/officeDocument/2006/docPropsVTypes"/>
</file>