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864"/>
          <w:sz w:val="40"/>
          <w:szCs w:val="40"/>
        </w:rPr>
        <w:t xml:space="preserve">ARKUSZ ODPOWIEDZI — BANK KAZUSÓW</w:t>
      </w:r>
    </w:p>
    <w:p>
      <w:pPr>
        <w:spacing w:after="300"/>
      </w:pPr>
      <w:r>
        <w:rPr>
          <w:sz w:val="26"/>
          <w:szCs w:val="26"/>
        </w:rPr>
        <w:t xml:space="preserve">Grupa 2 z 4: K-05 – K-07 (część międzynarodowa, dokończenie)</w:t>
      </w:r>
    </w:p>
    <w:p>
      <w:pPr>
        <w:spacing w:after="60"/>
      </w:pPr>
      <w:r>
        <w:rPr>
          <w:b/>
          <w:bCs/>
        </w:rPr>
        <w:t xml:space="preserve">Model: </w:t>
      </w:r>
      <w:r>
        <w:t xml:space="preserve">Claude Sonnet 5 (poziom rozumowania: średni)</w:t>
      </w:r>
    </w:p>
    <w:p>
      <w:pPr>
        <w:spacing w:after="60"/>
      </w:pPr>
      <w:r>
        <w:rPr>
          <w:b/>
          <w:bCs/>
        </w:rPr>
        <w:t xml:space="preserve">Data opracowania: </w:t>
      </w:r>
      <w:r>
        <w:t xml:space="preserve">2 września 2026</w:t>
      </w:r>
    </w:p>
    <w:p>
      <w:pPr>
        <w:spacing w:after="60"/>
      </w:pPr>
      <w:r>
        <w:rPr>
          <w:b/>
          <w:bCs/>
        </w:rPr>
        <w:t xml:space="preserve">Status: </w:t>
      </w:r>
      <w:r>
        <w:t xml:space="preserve">Materiał dydaktyczny — issue spotting i argumentacja adversarialna, nie opinia prawna w konkretnej sprawie</w:t>
      </w:r>
    </w:p>
    <w:p>
      <w:pPr>
        <w:spacing w:after="60"/>
      </w:pPr>
      <w:r>
        <w:rPr>
          <w:b/>
          <w:bCs/>
        </w:rPr>
        <w:t xml:space="preserve">Metodologia: </w:t>
      </w:r>
      <w:r>
        <w:t xml:space="preserve">Jak w Grupie 1: reżimy prawa międzynarodowego wskazane opisowo wraz z relewantnym, zweryfikowanym online orzecznictwem/praktyką (CISG, reguły SIAC/IBA co do finansowania sporu, CITES, prawo kosmiczne, reżim ABS/Nagoya i decyzja COP16 ws. DSI). Kazusy pozostają fikcyjnymi adaptacjami problemów moot court.</w:t>
      </w:r>
    </w:p>
    <w:p>
      <w:pPr>
        <w:spacing w:after="200"/>
      </w:pPr>
    </w:p>
    <w:p>
      <w:r>
        <w:br w:type="page"/>
      </w:r>
    </w:p>
    <w:p>
      <w:pPr>
        <w:spacing w:after="60"/>
      </w:pPr>
      <w:r>
        <w:rPr>
          <w:b/>
          <w:bCs/>
          <w:color w:val="1F3864"/>
          <w:sz w:val="32"/>
          <w:szCs w:val="32"/>
        </w:rPr>
        <w:t xml:space="preserve">K-05  Orchis Worldwide przeciwko Darwin Natural Food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CISG, CITES, finansowanie sporu i zmiana regulacyjna — adaptacja 33rd Vis Moot</w:t>
      </w:r>
    </w:p>
    <w:p>
      <w:pPr>
        <w:spacing w:after="60"/>
      </w:pPr>
      <w:r>
        <w:rPr>
          <w:b/>
          <w:bCs/>
        </w:rPr>
        <w:t xml:space="preserve">Poziom: </w:t>
      </w:r>
      <w:r>
        <w:t xml:space="preserve">bardzo wysoka</w:t>
      </w:r>
    </w:p>
    <w:p>
      <w:pPr>
        <w:spacing w:after="60"/>
      </w:pPr>
      <w:r>
        <w:rPr>
          <w:b/>
          <w:bCs/>
        </w:rPr>
        <w:t xml:space="preserve">Sugerowany czas: </w:t>
      </w:r>
      <w:r>
        <w:t xml:space="preserve">4–6 godzin</w:t>
      </w:r>
    </w:p>
    <w:p>
      <w:pPr>
        <w:spacing w:after="60"/>
      </w:pPr>
      <w:r>
        <w:rPr>
          <w:b/>
          <w:bCs/>
        </w:rPr>
        <w:t xml:space="preserve">Role: </w:t>
      </w:r>
      <w:r>
        <w:t xml:space="preserve">sprzedawca; kupujący; finansujący; trybunał arbitrażowy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1. Teza wstępna</w:t>
      </w:r>
    </w:p>
    <w:p>
      <w:pPr>
        <w:spacing w:after="140"/>
      </w:pPr>
      <w:r>
        <w:t xml:space="preserve">Nowy reżim CITES nie zwalnia automatycznie sprzedawcy z odpowiedzialności na podstawie CISG, gdyż ryzyko regulacyjne przy towarach pochodzenia biologicznego jest zasadniczo przewidywalne w chwili zawarcia umowy i podlega ocenie przez pryzmat obowiązku minimalizacji szkody i współdziałania stron (art. 77, 79 CISG), a nie automatycznego zwolnienia z odpowiedzialności (force majeure); rozwiązanie umowy przez kupującego bez przyjęcia rozsądnej propozycji opóźnienia/trasy alternatywnej może zostać ocenione jako naruszenie obowiązku współdziałania i ograniczenia szkody, co obniża zasądzane odszkodowanie; żądanie ujawnienia pełnej umowy finansowania i zabezpieczenia kosztów jest częściowo zasadne w zakresie niezbędnym do kontroli konfliktu interesów arbitra (Wytyczne IBA 2024, Ogólny Standard 6), ale nie uzasadnia ujawnienia całej strategii procesowej; kwestia właściwej wersji regulaminu SIAC wymaga zastosowania reguły temporalnej z samego regulaminu (zazwyczaj: wersja obowiązująca w dacie wszczęcia postępowania, chyba że strony postanowiły inaczej).</w:t>
      </w:r>
    </w:p>
    <w:p>
      <w:pPr>
        <w:pStyle w:val="Heading2"/>
        <w:spacing w:after="150" w:before="300"/>
      </w:pPr>
      <w:r>
        <w:t xml:space="preserve">2. Mapa jurysdykcji, źródeł prawa i kompetencji organów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Trybunał arbitrażowy SIAC — jurysdykcja na podstawie klauzuli umownej; kwestia wstępna: która wersja regulaminu SIAC ma zastosowanie (klauzula nie precyzuje wersji, a negocjacje/podpisanie przypadły na okres zmiany regulaminu) — rozstrzyga o zasadach postępowania, w tym o obowiązkach ujawnienia finansowania.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Prawo materialne: Konwencja wiedeńska o umowach międzynarodowej sprzedaży towarów (CISG) jako prawo właściwe dla umowy sprzedaży (przy założeniu siedzib stron w różnych państwach-stronach CISG lub wyboru prawa wskazującego na państwo-stronę).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Reżim CITES (Konwencja o międzynarodowym handlu dzikimi zwierzętami i roślinami gatunków zagrożonych wyginięciem) — determinuje wymogi zezwoleń importowych po zmianie klasyfikacji gatunku; jego naruszenie ma charakter administracyjnoprawny, odrębny od cywilnoprawnej odpowiedzialności kontraktowej, ale relewantny dla oceny 'przeszkody' z art. 79 CISG.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Wytyczne IBA w sprawie konfliktów interesów w arbitrażu międzynarodowym (2024) — soft law regulujące zakres ujawnienia finansowania przez podmiot trzeci i standard niezależności arbitra.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Reguły dot. zabezpieczenia kosztów (security for costs) — kompetencja trybunału wynika z regulaminu arbitrażowego (szeroka dyskrecja), nie z odrębnego reżimu traktatowego.</w:t>
      </w:r>
    </w:p>
    <w:p>
      <w:pPr>
        <w:pStyle w:val="Heading2"/>
        <w:spacing w:after="150" w:before="300"/>
      </w:pPr>
      <w:r>
        <w:t xml:space="preserve">3. Przesłanki roszczeń / zarzutów / środków ochrony</w:t>
      </w:r>
    </w:p>
    <w:p>
      <w:pPr>
        <w:pStyle w:val="Heading3"/>
        <w:spacing w:after="100" w:before="200"/>
      </w:pPr>
      <w:r>
        <w:t xml:space="preserve">Zwolnienie z odpowiedzialności — art. 79 CISG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Przeszkoda musi być poza kontrolą strony, nieprzewidywalna w chwili zawarcia umowy i niemożliwa do rozsądnego uniknięcia lub przezwyciężenia jej skutków.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Zmiana klasyfikacji CITES po zawarciu umowy jest zdarzeniem zewnętrznym, ale ryzyko regulacyjne przy handlu gatunkami jest przewidywalnym ryzykiem branżowym — kluczowe będzie ustalenie, czy strony mogły przewidzieć zaostrzenie reżimu w świetle trendu regulacyjnego znanego w branży.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Nawet przy uznaniu przeszkody, zwolnienie trwa tylko na czas jej istnienia (art. 79 ust. 3) — sprzedawca zaproponował alternatywę (opóźnienie, inna trasa), co może wyłączać dalsze zwolnienie po tej dacie.</w:t>
      </w:r>
    </w:p>
    <w:p>
      <w:pPr>
        <w:pStyle w:val="Heading3"/>
        <w:spacing w:after="100" w:before="200"/>
      </w:pPr>
      <w:r>
        <w:t xml:space="preserve">Obowiązek współdziałania i ograniczenia szkody (art. 77, 80 CISG)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Wierzyciel musi podjąć rozsądne środki dla ograniczenia straty wynikającej z naruszenia — odmowa przyjęcia rozsądnej alternatywy sprzedawcy może stanowić naruszenie tego obowiązku, proporcjonalnie obniżając odszkodowanie.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Art. 80 CISG: strona nie może powoływać się na niewykonanie zobowiązania przez drugą stronę w zakresie, w jakim niewykonanie spowodowane zostało jej własnym działaniem lub zaniechaniem — istotne przy ocenie, kto faktycznie odpowiadał za uzyskanie pozwoleń CITES.</w:t>
      </w:r>
    </w:p>
    <w:p>
      <w:pPr>
        <w:pStyle w:val="Heading3"/>
        <w:spacing w:after="100" w:before="200"/>
      </w:pPr>
      <w:r>
        <w:t xml:space="preserve">Skuteczność rozwiązania umowy (art. 49, 25 CISG)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Rozwiązanie umowy wymaga istotnego naruszenia (fundamental breach) — pozbawiającego stronę tego, czego mogła zasadnie oczekiwać, przy przewidywalności takiego skutku dla strony naruszającej.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Jeżeli sprzedawca zaoferował rozsądną alternatywę utrzymującą istotę świadczenia, odmowa i natychmiastowe rozwiązanie umowy przez kupującego mogą nie spełniać progu 'fundamental breach'.</w:t>
      </w:r>
    </w:p>
    <w:p>
      <w:pPr>
        <w:pStyle w:val="Heading3"/>
        <w:spacing w:after="100" w:before="200"/>
      </w:pPr>
      <w:r>
        <w:t xml:space="preserve">Ujawnienie finansowania i zabezpieczenie kosztów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Standard 6 Wytycznych IBA 2024 traktuje finansującego jako mającego tożsamość strony, gdy wywiera 'kontrolującą wpływ' na stronę lub na przebieg postępowania (w tym dobór arbitrów) — uzasadnia to obowiązek ujawnienia tożsamości finansującego dla kontroli konfliktu interesów arbitra, ale nie uzasadnia ujawnienia treści strategii procesowej czy warunków komercyjnych umowy.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Zabezpieczenie kosztów jest środkiem wyjątkowym, zależnym od wykazania realnego ryzyka niewypłacalności i niemożności pokrycia kosztów przeciwnika w razie przegranej — samo korzystanie z finansowania zewnętrznego nie jest per se wystarczającą przesłanką.</w:t>
      </w:r>
    </w:p>
    <w:p>
      <w:pPr>
        <w:pStyle w:val="Heading3"/>
        <w:spacing w:after="100" w:before="200"/>
      </w:pPr>
      <w:r>
        <w:t xml:space="preserve">Obliczenie szkody (art. 75–76 CISG)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Przy skutecznym rozwiązaniu umowy odszkodowanie liczy się jako różnicę między ceną umowną a ceną transakcji zastępczej, o ile ta ostatnia została zawarta w rozsądny sposób i w rozsądnym czasie (art. 75) — wymaga zbadania warunków transakcji zastępczej kupującego.</w:t>
      </w:r>
    </w:p>
    <w:p>
      <w:pPr>
        <w:pStyle w:val="Heading2"/>
        <w:spacing w:after="150" w:before="300"/>
      </w:pPr>
      <w:r>
        <w:t xml:space="preserve">4. Macierz argumentów stron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Kwestia</w:t>
            </w:r>
          </w:p>
        </w:tc>
        <w:tc>
          <w:tcPr>
            <w:tcW w:type="dxa" w:w="26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Argument strony A</w:t>
            </w:r>
          </w:p>
        </w:tc>
        <w:tc>
          <w:tcPr>
            <w:tcW w:type="dxa" w:w="26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Argument strony B</w:t>
            </w:r>
          </w:p>
        </w:tc>
        <w:tc>
          <w:tcPr>
            <w:tcW w:type="dxa" w:w="26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Kluczowa kontra / uwaga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Wersja regulaminu SIAC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Zastosowanie ma wersja obowiązująca w dacie podpisania umowy, gdyż to ona odzwierciedla oczekiwania stron w chwili konsensusu.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Zastosowanie ma wersja obowiązująca w dacie wszczęcia arbitrażu, zgodnie ze standardową regułą temporalną większości regulaminów instytucjonalnych (w tym SIAC), chyba że strony inaczej postanowiły.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Reguła 'data wszczęcia postępowania' jest dominującym standardem w praktyce instytucjonalnej arbitrażu (podobnie ICC, LCIA) — silniejsza pozycja wyjściowa dla kupującego, ale ostateczna odpowiedź zależy od literalnego brzmienia klauzuli przejściowej danej wersji regulaminu.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Zmiana klasyfikacji CITES jako przeszkoda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 siła wyższa w rozumieniu art. 79 CISG — zdarzenie zewnętrzne, niezależne od sprzedawcy, wymagające nowego pozwolenia poza jego kontrolą.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Ryzyko regulacyjne w handlu gatunkami chronionymi jest przewidywalnym ryzykiem branżowym, które profesjonalny sprzedawca powinien był ocenić i zabezpieczyć klauzulą kontraktową — brak takiej klauzuli działa na jego niekorzyść.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Rozstrzygające jest ustalenie, czy w momencie zawarcia umowy istniały już sygnały nadchodzącej zmiany reżimu CITES dla tego gatunku — kazus tego nie precyzuje, co stanowi lukę faktyczną wymagającą odrębnego omówienia obu scenariuszy.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Zasadność rozwiązania umowy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Sprzedawca zaproponował rozsądną alternatywę (opóźnienie, inna trasa) — kupujący naruszył obowiązek współdziałania, odmawiając bez uzasadnienia i rozwiązując umowę przedwcześnie.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Skala opóźnienia i niepewność co do uzyskania nowego pozwolenia uzasadniały uznanie naruszenia za istotne (fundamental breach), zwłaszcza przy towarze przeznaczonym do konkretnej linii produkcyjnej z własnym harmonogramem.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Ocena 'istotności' naruszenia wymaga danych o rzeczywistej długości opóźnienia i krytyczności terminu dla produkcji kupującego — brak tych danych w stanie faktycznym uniemożliwia jednoznaczne rozstrzygnięcie i wymaga zaznaczenia jako otwartej kwestii dowodowej.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Zakres ujawnienia finansowania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Ujawnienie ograniczone do tożsamości finansującego i istnienia porozumienia jest wystarczające dla kontroli konfliktu interesów — dalsze żądania służą wyłącznie poznaniu strategii procesowej.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Pełne ujawnienie umowy finansowania jest konieczne, by trybunał mógł ocenić rzeczywisty zakres kontroli finansującego nad postępowaniem (w tym doborem arbitrów) zgodnie ze standardem 6 Wytycznych IBA 2024.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Wytyczne IBA 2024 wspierają stanowisko pośrednie: ujawnienie tożsamości i zakresu kontroli jest obowiązkowe, lecz treść komercyjna umowy (np. udział w wygranej) pozostaje poza zakresem koniecznym do oceny niezależności arbitra.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5. Braki faktyczne i dowody rozstrzygające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Brak dokładnej treści klauzuli arbitrażowej co do wskazania wersji regulaminu SIAC — rozstrzygające dla pytania nr 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Nie ustalono, czy w chwili zawarcia umowy istniały sygnały nadchodzącej zmiany klasyfikacji CITES — kluczowe dla oceny przewidywalności przeszkody.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Brak danych o rzeczywistej długości proponowanego opóźnienia i o krytyczności terminu dostawy dla linii produkcyjnej kupującego — niezbędne do oceny 'istotności' naruszenia.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Nie wskazano zakresu kontroli finansującego nad wyborem arbitrów ani struktury wynagrodzenia (czy oparta o wynik sprawy) — rozstrzygające dla oceny zasadności żądania ujawnienia.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Zakaz dopowiadania faktów: nie zakładam, że transakcja zastępcza kupującego była zawarta w złej wierze ani że była nieuzasadniona cenowo — kazus jedynie stwierdza, że była droższa, co samo w sobie nie świadczy o naruszeniu obowiązku ograniczenia szkody.</w:t>
      </w:r>
    </w:p>
    <w:p>
      <w:pPr>
        <w:pStyle w:val="Heading2"/>
        <w:spacing w:after="150" w:before="300"/>
      </w:pPr>
      <w:r>
        <w:t xml:space="preserve">6. Rozstrzygnięcie i środek naprawczy</w:t>
      </w:r>
    </w:p>
    <w:p>
      <w:pPr>
        <w:spacing w:after="140"/>
      </w:pPr>
      <w:r>
        <w:t xml:space="preserve">Trybunał powinien: (1) przyjąć regułę temporalną wskazującą na wersję regulaminu SIAC obowiązującą w dacie wszczęcia arbitrażu, o ile klauzula przejściowa tej wersji nie stanowi inaczej; (2) uznać zmianę klasyfikacji CITES za potencjalną przeszkodę w rozumieniu art. 79 CISG, lecz ograniczoną czasowo do momentu odrzucenia przez kupującego rozsądnej alternatywy sprzedawcy; (3) nakazać ujawnienie tożsamości finansującego i zakresu jego wpływu na postępowanie, oddalając żądanie ujawnienia pełnej treści komercyjnej umowy; (4) oddalić wniosek o zabezpieczenie kosztów wobec braku wykazania konkretnego ryzyka niewypłacalności; (5) skierować obliczenie szkody do dalszego postępowania dowodowego co do warunków transakcji zastępczej.</w:t>
      </w:r>
    </w:p>
    <w:p>
      <w:pPr>
        <w:spacing w:after="140"/>
      </w:pPr>
      <w:r>
        <w:t xml:space="preserve">Środek: częściowe ujawnienie umowy finansowania (tożsamość + zakres kontroli) jako warunek kontynuacji postępowania + wyliczenie odszkodowania proporcjonalnie pomniejszonego o okres, w którym kupujący nie podjął rozsądnych działań ograniczających szkodę.</w:t>
      </w:r>
    </w:p>
    <w:p>
      <w:pPr>
        <w:pStyle w:val="Heading3"/>
        <w:spacing w:after="100" w:before="200"/>
      </w:pPr>
      <w:r>
        <w:t xml:space="preserve">Uwagi metodologiczne / status weryfikacji</w:t>
      </w:r>
    </w:p>
    <w:p>
      <w:pPr>
        <w:spacing w:after="140"/>
      </w:pPr>
      <w:r>
        <w:rPr>
          <w:i/>
          <w:iCs/>
          <w:sz w:val="20"/>
          <w:szCs w:val="20"/>
        </w:rPr>
        <w:t xml:space="preserve">Zweryfikowano online: Wytyczne IBA w sprawie konfliktów interesów w arbitrażu międzynarodowym w wersji z lutego 2024 r., w tym nowy Standard 6 dot. finansowania przez podmiot trzeci i test 'kontrolującego wpływu' (źródła: Cleary Gottlieb, Osler, Jones Day, Hogan Lovells, Aceris Law — wyszukiwanie z 2 września 2026). Przepisy CISG (art. 25, 49, 75–80) to ugruntowana, stabilna materia konwencyjna niewymagająca dodatkowej weryfikacji online. Regulamin SIAC — kazus jest fikcyjną adaptacją, więc konkretna treść klauzuli przejściowej nie istnieje do zweryfikowania.</w:t>
      </w:r>
    </w:p>
    <w:p>
      <w:r>
        <w:br w:type="page"/>
      </w:r>
    </w:p>
    <w:p>
      <w:pPr>
        <w:spacing w:after="60"/>
      </w:pPr>
      <w:r>
        <w:rPr>
          <w:b/>
          <w:bCs/>
          <w:color w:val="1F3864"/>
          <w:sz w:val="32"/>
          <w:szCs w:val="32"/>
        </w:rPr>
        <w:t xml:space="preserve">K-06  Inkaton przeciwko Accadii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Własność obiektów kosmicznych, ratownictwo i odpowiedzialność — adaptacja Manfred Lachs 2026</w:t>
      </w:r>
    </w:p>
    <w:p>
      <w:pPr>
        <w:spacing w:after="60"/>
      </w:pPr>
      <w:r>
        <w:rPr>
          <w:b/>
          <w:bCs/>
        </w:rPr>
        <w:t xml:space="preserve">Poziom: </w:t>
      </w:r>
      <w:r>
        <w:t xml:space="preserve">bardzo wysoka</w:t>
      </w:r>
    </w:p>
    <w:p>
      <w:pPr>
        <w:spacing w:after="60"/>
      </w:pPr>
      <w:r>
        <w:rPr>
          <w:b/>
          <w:bCs/>
        </w:rPr>
        <w:t xml:space="preserve">Sugerowany czas: </w:t>
      </w:r>
      <w:r>
        <w:t xml:space="preserve">4–6 godzin</w:t>
      </w:r>
    </w:p>
    <w:p>
      <w:pPr>
        <w:spacing w:after="60"/>
      </w:pPr>
      <w:r>
        <w:rPr>
          <w:b/>
          <w:bCs/>
        </w:rPr>
        <w:t xml:space="preserve">Role: </w:t>
      </w:r>
      <w:r>
        <w:t xml:space="preserve">Inkaton; Accadia; Quipu; Sargon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1. Teza wstępna</w:t>
      </w:r>
    </w:p>
    <w:p>
      <w:pPr>
        <w:spacing w:after="140"/>
      </w:pPr>
      <w:r>
        <w:t xml:space="preserve">Niekontrolowany satelita pozostaje własnością i pod jurysdykcją państwa rejestrującego niezależnie od utraty kontroli (art. VIII Traktatu o przestrzeni kosmicznej z 1967 r. i Konwencji rejestracyjnej z 1975 r.) — orzeczenie in rem uzyskane przez Sargon w państwie trzecim nie może skutecznie przenieść tytułu wbrew temu reżimowi, gdyż obiekty kosmiczne są z zasady niepodlegające nabyciu w drodze krajowego postępowania cywilnego wbrew woli państwa rejestrującego; jednostronne przechwycenie może być usprawiedliwione wyłącznie wykazanym stanem konieczności (unikanie kolizji, ochrona życia) o ściśle proporcjonalnym zakresie, a nie ogólną oceną 'zagrożenia'; odpowiedzialność za szkody wyrządzone przez odrzucony ładunek na Księżycu podlega reżimowi odpowiedzialności absolutnej państwa uruchamiającego za szkody na powierzchni innego ciała niebieskiego (Konwencja o odpowiedzialności międzynarodowej za szkody wyrządzone przez obiekty kosmiczne z 1972 r.), niezależnie od siły wyższej (burzy protonowej), która relewantna jest jedynie przy ewentualnym miarkowaniu, nie wyłączeniu odpowiedzialności; obowiązek ratownictwa (Porozumienie ratunkowe z 1968 r.) nie obejmuje automatycznie prawa do pozyskania technologii z wraku po zakończeniu akcji ratowniczej.</w:t>
      </w:r>
    </w:p>
    <w:p>
      <w:pPr>
        <w:pStyle w:val="Heading2"/>
        <w:spacing w:after="150" w:before="300"/>
      </w:pPr>
      <w:r>
        <w:t xml:space="preserve">2. Mapa jurysdykcji, źródeł prawa i kompetencji organów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Forum międzypaństwowe (schemat Manfred Lachs: Międzynarodowy Trybunał Sprawiedliwości lub trybunał kompromisarski) — spór między Inkatonem a Accadią o odpowiedzialność za działania spółek prywatnych Quipu i Sargon.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Prawo właściwe: Traktat o przestrzeni kosmicznej (1967, art. VI–VIII), Konwencja o rejestracji obiektów wystrzelonych w przestrzeń kosmiczną (1975), Konwencja o międzynarodowej odpowiedzialności za szkody wyrządzone przez obiekty kosmiczne (1972), Porozumienie o ratowaniu astronautów i zwrocie obiektów kosmicznych (1968); uzupełniająco ARSIWA co do przypisania działań spółek prywatnych państwu.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Art. VI Traktatu z 1967 r. — państwa ponoszą międzynarodową odpowiedzialność za działalność krajową w przestrzeni kosmicznej, w tym prowadzoną przez podmioty niepubliczne, i są zobowiązane do stałego nadzoru nad taką działalnością (co obejmuje zarówno Inkaton wobec Quipu, jak i Accadię wobec Sargon).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Państwo licencjonujące, które wydało orzeczenie in rem — jego kompetencja do orzekania o tytule własności obiektu kosmicznego wbrew reżimowi rejestracyjnemu jest wątpliwa i podlega ocenie zgodności z prawem międzynarodowym.</w:t>
      </w:r>
    </w:p>
    <w:p>
      <w:pPr>
        <w:pStyle w:val="Heading2"/>
        <w:spacing w:after="150" w:before="300"/>
      </w:pPr>
      <w:r>
        <w:t xml:space="preserve">3. Przesłanki roszczeń / zarzutów / środków ochrony</w:t>
      </w:r>
    </w:p>
    <w:p>
      <w:pPr>
        <w:pStyle w:val="Heading3"/>
        <w:spacing w:after="100" w:before="200"/>
      </w:pPr>
      <w:r>
        <w:t xml:space="preserve">Utrzymanie własności i jurysdykcji nad niekontrolowanym obiektem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Art. VIII Traktatu z 1967 r.: państwo rejestrujące zachowuje jurysdykcję i kontrolę oraz własność obiektu kosmicznego niezależnie od jego położenia — utrata kontroli operacyjnej (np. wskutek awarii) nie jest tożsama z utratą własności ani porzuceniem (abandonment) w rozumieniu prawa krajowego.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Krajowe postępowanie in rem jednego państwa nie może skutecznie unieważnić reżimu traktatowego wiążącego wszystkie strony — ewentualne orzeczenie ma skutek najwyżej wewnątrzkrajowy, nie międzynarodowy.</w:t>
      </w:r>
    </w:p>
    <w:p>
      <w:pPr>
        <w:pStyle w:val="Heading3"/>
        <w:spacing w:after="100" w:before="200"/>
      </w:pPr>
      <w:r>
        <w:t xml:space="preserve">Usprawiedliwienie jednostronnego przechwycenia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Stan konieczności w prawie międzynarodowym (art. 25 ARSIWA) wymaga: poważnego i bezpośredniego niebezpieczeństwa dla istotnego interesu, braku innego sposobu jego zażegnania oraz proporcjonalności działania — samo uznanie obiektu za 'zagrożenie' bez konkretnych danych o realnym ryzyku kolizji nie spełnia tego standardu.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Odmowa zgody przez Quipu przed przechwyceniem jest istotną okolicznością obciążającą Sargon/Accadię — działanie jednostronne wbrew wyraźnemu sprzeciwowi właściciela wymaga szczególnie silnego uzasadnienia.</w:t>
      </w:r>
    </w:p>
    <w:p>
      <w:pPr>
        <w:pStyle w:val="Heading3"/>
        <w:spacing w:after="100" w:before="200"/>
      </w:pPr>
      <w:r>
        <w:t xml:space="preserve">Odpowiedzialność za szkody na Księżycu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Konwencja o odpowiedzialności z 1972 r. przewiduje odpowiedzialność absolutną (bez winy) państwa uruchamiającego za szkody wyrządzone przez jego obiekt kosmiczny na powierzchni Ziemi lub innego ciała niebieskiego wobec innego obiektu kosmicznego/instalacji — burza protonowa jako zjawisko naturalne może być okolicznością relewantną dla ewentualnego wyłączenia w razie wykazania, że szkoda wynikła wyłącznie z rażącego niedbalstwa poszkodowanego (co nie ma tu zastosowania) — co do zasady nie wyłącza odpowiedzialności absolutnej.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Odrębną kwestią jest odpowiedzialność za stan instalacji Quipu (czy przyczyniła się do rozmiaru szkody) — potencjalne przyczynienie się poszkodowanego do miarkowania odszkodowania.</w:t>
      </w:r>
    </w:p>
    <w:p>
      <w:pPr>
        <w:pStyle w:val="Heading3"/>
        <w:spacing w:after="100" w:before="200"/>
      </w:pPr>
      <w:r>
        <w:t xml:space="preserve">Zakres obowiązku ratownictwa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Porozumienie ratunkowe z 1968 r. nakłada obowiązek udzielenia pomocy załodze w niebezpieczeństwie i jej bezzwłocznego zwrotu państwu rejestrującemu — nie kreuje prawa do zatrzymania czy eksploatacji mienia ratowanego podmiotu.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Pozyskanie zastrzeżonej technologii z wraku po zakończeniu akcji ratowniczej wykracza poza zakres uprawnień ratowniczych i wymaga odrębnej podstawy prawnej (zgoda właściciela, umowa) — w jej braku stanowi potencjalne naruszenie praw własności/tajemnicy technologicznej Sargon.</w:t>
      </w:r>
    </w:p>
    <w:p>
      <w:pPr>
        <w:pStyle w:val="Heading3"/>
        <w:spacing w:after="100" w:before="200"/>
      </w:pPr>
      <w:r>
        <w:t xml:space="preserve">Terminowość konsultacji i ochrony dyplomatycznej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Standard 'niezwłoczności' konsultacji dyplomatycznych po uzyskaniu wiedzy o zdarzeniu jest oceniany indywidualnie dla każdego państwa od momentu jego własnej, faktycznej wiedzy — rozbieżność czasowa między państwami sama w sobie nie przesądza o naruszeniu, wymaga zbadania przyczyn opóźnienia.</w:t>
      </w:r>
    </w:p>
    <w:p>
      <w:pPr>
        <w:pStyle w:val="Heading2"/>
        <w:spacing w:after="150" w:before="300"/>
      </w:pPr>
      <w:r>
        <w:t xml:space="preserve">4. Macierz argumentów stron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Kwestia</w:t>
            </w:r>
          </w:p>
        </w:tc>
        <w:tc>
          <w:tcPr>
            <w:tcW w:type="dxa" w:w="26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Argument strony A</w:t>
            </w:r>
          </w:p>
        </w:tc>
        <w:tc>
          <w:tcPr>
            <w:tcW w:type="dxa" w:w="26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Argument strony B</w:t>
            </w:r>
          </w:p>
        </w:tc>
        <w:tc>
          <w:tcPr>
            <w:tcW w:type="dxa" w:w="26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Kluczowa kontra / uwaga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prawny niekontrolowanego satelity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Utrata kontroli operacyjnej i status 'zagrożenia' uzasadniają traktowanie obiektu jako faktycznie porzuconego, otwierając drogę do jego przejęcia i uzyskania tytułu.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Art. VIII Traktatu z 1967 r. wyklucza utratę własności wskutek samej awarii technicznej — państwo rejestrujące zachowuje jurysdykcję i własność aż do formalnego wyrejestrowania lub przekazania.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Prawo kosmiczne nie przewiduje instytucji 'porzucenia' analogicznej do prawa rzeczowego krajowego — to kluczowa różnica konceptualna, którą należy wyraźnie wyjaśnić: brak kontroli ≠ brak własności.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Legalność przechwycenia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Przechwycenie było uzasadnione koniecznością ochrony bezpieczeństwa ruchu orbitalnego wobec realnego ryzyka kolizji obiektu stealth.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Brak zgody Quipu i brak wykazanych konkretnych danych o bezpośrednim ryzyku kolizji wykluczają powołanie się na stan konieczności — działanie było jednostronnym naruszeniem cudzej własności.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Ciężar dowodu co do realności i bezpośredniości zagrożenia spoczywa na Sargon/Accadii — sama kwalifikacja 'stealth' i brak kontroli nie są równoznaczne z udowodnionym ryzykiem kolizji.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Odpowiedzialność za szkodę od odrzuconego ładunku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Burza protonowa to siła wyższa, zdarzenie nieprzewidywalne i niezależne od Sargon — wyłącza odpowiedzialność.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Konwencja o odpowiedzialności z 1972 r. przewiduje odpowiedzialność absolutną państwa uruchamiającego niezależnie od winy — siła wyższa nie jest przesłanką wyłączającą w tym reżimie.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 jeden z niewielu obszarów prawa międzynarodowego z odpowiedzialnością bezwzględną (strict/absolute liability) — argument siły wyższej jest prawnie nieskuteczny wobec jasnego brzmienia Konwencji z 1972 r., choć może wpływać na wysokość odszkodowania przy przyczynieniu się poszkodowanego.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Pozyskanie technologii z wraku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Działania Quipu mieściły się w granicach zabezpieczenia terenu i ograniczenia dalszego ryzyka po akcji ratowniczej.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Wydobycie zastrzeżonej technologii wykracza poza zakres obowiązku/uprawnienia ratowniczego i stanowi przywłaszczenie mienia Sargon.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Rozstrzygające jest ustalenie chronologii i celu działań Quipu (zabezpieczenie terenu vs. celowe pozyskanie technologii) — kazus nie precyzuje tego jednoznacznie, co wymaga przedstawienia obu wariantów bez przesądzania.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5. Braki faktyczne i dowody rozstrzygające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Brak konkretnych danych technicznych o poziomie ryzyka kolizji stwarzanego przez niekontrolowany satelitę w chwili przechwycenia — rozstrzygające dla oceny stanu konieczności.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Nie ustalono dokładnej chronologii działań personelu Quipu przy wraku (czy pozyskanie technologii nastąpiło w toku zabezpieczania terenu, czy jako odrębne, późniejsze działanie) — kluczowe dla kwalifikacji jako przekroczenia uprawnień ratowniczych.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Brak informacji o dokładnych datach uzyskania wiedzy o zdarzeniu przez oba państwa oraz o przyczynach rozbieżności czasowej w podjęciu konsultacji dyplomatycznych.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Nie wskazano stanu technicznego instalacji Quipu na Księżycu przed uderzeniem ładunku — istotne dla ewentualnego przyczynienia się do rozmiaru szkody.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Zakaz dopowiadania faktów: kazus nie przesądza, czy orzeczenie in rem państwa licencjonującego zostało wydane zgodnie z jego prawem krajowym — oceniam wyłącznie jego skuteczność międzynarodową, nie jego wewnętrzną prawidłowość proceduralną, której nie znam.</w:t>
      </w:r>
    </w:p>
    <w:p>
      <w:pPr>
        <w:pStyle w:val="Heading2"/>
        <w:spacing w:after="150" w:before="300"/>
      </w:pPr>
      <w:r>
        <w:t xml:space="preserve">6. Rozstrzygnięcie i środek naprawczy</w:t>
      </w:r>
    </w:p>
    <w:p>
      <w:pPr>
        <w:spacing w:after="140"/>
      </w:pPr>
      <w:r>
        <w:t xml:space="preserve">Trybunał powinien: (1) potwierdzić, że Inkaton (poprzez Quipu) zachował własność i jurysdykcję nad satelitą mimo utraty kontroli, a orzeczenie in rem państwa licencjonującego jest bezskuteczne wobec reżimu Traktatu z 1967 r.; (2) uznać jednostronne przechwycenie za naruszenie prawa międzynarodowego wobec niewykazania stanu konieczności o wymaganej sile; (3) stwierdzić odpowiedzialność absolutną Accadii za szkody wyrządzone przez odrzucony ładunek na instalacji Quipu, z możliwym miarkowaniem przy wykazanym przyczynieniu się; (4) uznać pozyskanie technologii z wraku po akcji ratowniczej za przekroczenie zakresu obowiązku ratowniczego, otwierające roszczenie restytucyjne Sargon; (5) nie stwierdzić naruszenia obowiązku konsultacji wobec braku dowodu złej wiary w opóźnieniu.</w:t>
      </w:r>
    </w:p>
    <w:p>
      <w:pPr>
        <w:spacing w:after="140"/>
      </w:pPr>
      <w:r>
        <w:t xml:space="preserve">Środek: zwrot satelity (lub jego wartości) Inkatonowi/Quipu + odszkodowanie od Accadii za szkody na instalacji księżycowej wyliczone na zasadzie odpowiedzialności absolutnej, pomniejszone proporcjonalnie do ewentualnego przyczynienia się stanu instalacji + nakaz zwrotu lub rozliczenia pozyskanej technologii na rzecz Sargon, z zaliczeniem kosztów udzielonej pomocy medycznej załodze jako potrącenia wzajemnego.</w:t>
      </w:r>
    </w:p>
    <w:p>
      <w:pPr>
        <w:pStyle w:val="Heading3"/>
        <w:spacing w:after="100" w:before="200"/>
      </w:pPr>
      <w:r>
        <w:t xml:space="preserve">Uwagi metodologiczne / status weryfikacji</w:t>
      </w:r>
    </w:p>
    <w:p>
      <w:pPr>
        <w:spacing w:after="140"/>
      </w:pPr>
      <w:r>
        <w:rPr>
          <w:i/>
          <w:iCs/>
          <w:sz w:val="20"/>
          <w:szCs w:val="20"/>
        </w:rPr>
        <w:t xml:space="preserve">Reżim prawa kosmicznego (Traktat o przestrzeni kosmicznej 1967, Porozumienie ratunkowe 1968, Konwencja o odpowiedzialności 1972, Konwencja rejestracyjna 1975) to ugruntowany, stabilny korpus traktatowy niewymagający dodatkowej weryfikacji online dla celów tego ćwiczenia. Kazus jest fikcyjną adaptacją (Inkaton, Accadia, Quipu, Sargon nie istnieją) — nazwy i szczegóły faktyczne nie podlegają weryfikacji zewnętrznej z definicji.</w:t>
      </w:r>
    </w:p>
    <w:p>
      <w:r>
        <w:br w:type="page"/>
      </w:r>
    </w:p>
    <w:p>
      <w:pPr>
        <w:spacing w:after="60"/>
      </w:pPr>
      <w:r>
        <w:rPr>
          <w:b/>
          <w:bCs/>
          <w:color w:val="1F3864"/>
          <w:sz w:val="32"/>
          <w:szCs w:val="32"/>
        </w:rPr>
        <w:t xml:space="preserve">K-07  Anecoyon przeciwko Ridusowi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De-extinction, zasoby genetyczne i podział korzyści — adaptacja Stetson IEMCC 2025–2026</w:t>
      </w:r>
    </w:p>
    <w:p>
      <w:pPr>
        <w:spacing w:after="60"/>
      </w:pPr>
      <w:r>
        <w:rPr>
          <w:b/>
          <w:bCs/>
        </w:rPr>
        <w:t xml:space="preserve">Poziom: </w:t>
      </w:r>
      <w:r>
        <w:t xml:space="preserve">bardzo wysoka</w:t>
      </w:r>
    </w:p>
    <w:p>
      <w:pPr>
        <w:spacing w:after="60"/>
      </w:pPr>
      <w:r>
        <w:rPr>
          <w:b/>
          <w:bCs/>
        </w:rPr>
        <w:t xml:space="preserve">Sugerowany czas: </w:t>
      </w:r>
      <w:r>
        <w:t xml:space="preserve">4–6 godzin</w:t>
      </w:r>
    </w:p>
    <w:p>
      <w:pPr>
        <w:spacing w:after="60"/>
      </w:pPr>
      <w:r>
        <w:rPr>
          <w:b/>
          <w:bCs/>
        </w:rPr>
        <w:t xml:space="preserve">Role: </w:t>
      </w:r>
      <w:r>
        <w:t xml:space="preserve">państwo pochodzenia; państwo prowadzące projekt; społeczność rdzenna; instytut badawczy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1. Teza wstępna</w:t>
      </w:r>
    </w:p>
    <w:p>
      <w:pPr>
        <w:spacing w:after="140"/>
      </w:pPr>
      <w:r>
        <w:t xml:space="preserve">Cyfrowa informacja sekwencyjna (DSI) pozyskana ze skamieniałości muzealnej podlega dyskusyjnemu, ale coraz silniej ugruntowywanemu reżimowi dostępu i podziału korzyści (ABS) na mocy decyzji COP16 Konwencji o różnorodności biologicznej z listopada 2024 r., ustanawiającej wielostronny mechanizm i Fundusz Cali dla DSI — co osłabia argument Ridusu, że informacja sekwencyjna 'nie jest tym samym co fizyczny zasób genetyczny' i pozostaje poza reżimem ABS; przekazanie skamieniałości do muzeum na warunkach nieprzewidujących sekwencjonowania genetycznego nie stanowi dorozumianej zgody na komercyjne wykorzystanie w projekcie de-extinction — zgoda na jeden cel (przechowanie/ekspozycja) nie rozciąga się automatycznie na inny (edycja genów, komercjalizacja); ustalenie państwa pochodzenia przy historycznie transgranicznym zasięgu gatunku wymaga zastosowania kryteriów CBD (in-situ) do miejsca faktycznego znalezienia skamieniałości, co wstępnie wskazuje na Anecoyon, choć nie wyklucza to roszczeń Sollanii-analogicznych państw w innych kazusach tego typu; prawa i wiedza tradycyjna społeczności rdzennej wymagają odrębnego uwzględnienia niezależnie od stanowiska państwa (art. 8(j) CBD), a status prawny odtworzonego zwierzęcia wobec reżimu CITES pozostaje otwartym, nierozstrzygniętym zagadnieniem nauki i prawa.</w:t>
      </w:r>
    </w:p>
    <w:p>
      <w:pPr>
        <w:pStyle w:val="Heading2"/>
        <w:spacing w:after="150" w:before="300"/>
      </w:pPr>
      <w:r>
        <w:t xml:space="preserve">2. Mapa jurysdykcji, źródeł prawa i kompetencji organów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Forum międzypaństwowe (schemat Stetson IEMCC — trybunał arbitrażowy/sąd międzynarodowy ad hoc) — spór między Anecoyonem a Ridusem o zastosowanie reżimu ABS i praw społeczności rdzennej.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Prawo właściwe: Konwencja o różnorodności biologicznej (CBD, 1992) i Protokół z Nagoi o dostępie do zasobów genetycznych i sprawiedliwym podziale korzyści (2010, w mocy od 2014) — w szczególności decyzja COP16 z listopada 2024 r. ws. wielostronnego mechanizmu podziału korzyści z wykorzystania cyfrowej informacji sekwencyjnej (DSI) i utworzenia Funduszu Cali.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Deklaracja ONZ o prawach ludów tuziemczych (UNDRIP) i art. 8(j) CBD — standard poszanowania wiedzy tradycyjnej i wymogu zgody społeczności rdzennej, niezależnie od formalnego stanowiska państwa.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Konwencja CITES — potencjalne zastosowanie do handlu odtworzonym organizmem, warunkowane nierozstrzygniętą kwestią jego kwalifikacji gatunkowej.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Umowa międzymuzealna/darowizny dotycząca skamieniałości — reguluje zakres zgody udzielonej przy pierwotnym przekazaniu eksponatu; prawo krajowe właściwe dla tej umowy (nieokreślone w kazusie).</w:t>
      </w:r>
    </w:p>
    <w:p>
      <w:pPr>
        <w:pStyle w:val="Heading2"/>
        <w:spacing w:after="150" w:before="300"/>
      </w:pPr>
      <w:r>
        <w:t xml:space="preserve">3. Przesłanki roszczeń / zarzutów / środków ochrony</w:t>
      </w:r>
    </w:p>
    <w:p>
      <w:pPr>
        <w:pStyle w:val="Heading3"/>
        <w:spacing w:after="100" w:before="200"/>
      </w:pPr>
      <w:r>
        <w:t xml:space="preserve">Kwalifikacja DNA ze skamieniałości jako zasobu genetycznego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CBD definiuje zasób genetyczny jako materiał genetyczny (roślinny, zwierzęcy, mikrobiologiczny) o rzeczywistej lub potencjalnej wartości — spór doktrynalny dotyczy, czy 'materiał' obejmuje wyłącznie substancję fizyczną, czy także wyprowadzoną z niej informację cyfrową.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Decyzja COP16 (listopad 2024) ustanawiająca Fundusz Cali dla DSI wskazuje na kierunek ewolucyjny reżimu w stronę objęcia informacji sekwencyjnej mechanizmem podziału korzyści, mimo że nie rozstrzyga ostatecznie kwestii doktrynalnej 'czy DSI = zasób genetyczny' w rozumieniu definicyjnym CBD.</w:t>
      </w:r>
    </w:p>
    <w:p>
      <w:pPr>
        <w:pStyle w:val="Heading3"/>
        <w:spacing w:after="100" w:before="200"/>
      </w:pPr>
      <w:r>
        <w:t xml:space="preserve">Zakres zgody z pierwotnego przekazania eksponatu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Zgoda na przechowanie/ekspozycję muzealną nie jest tożsama ze zgodą na sekwencjonowanie genetyczne i komercyjne wykorzystanie — wymaga odrębnej podstawy (nowa, świadoma zgoda, 'prior informed consent' w rozumieniu Protokołu z Nagoi).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Upływ dekad od przekazania eksponatu nie konwaliduje braku zgody na nowy, nieprzewidziany pierwotnie sposób wykorzystania.</w:t>
      </w:r>
    </w:p>
    <w:p>
      <w:pPr>
        <w:pStyle w:val="Heading3"/>
        <w:spacing w:after="100" w:before="200"/>
      </w:pPr>
      <w:r>
        <w:t xml:space="preserve">Ustalenie państwa pochodzenia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CBD wskazuje jako państwo pochodzenia to, w którym zasób genetyczny występuje w warunkach in situ (lub, dla gatunków udomowionych/hodowlanych, gdzie nabył swoje właściwości) — dla gatunku wymarłego istotne jest miejsce znalezienia materiału kopalnego jako najbliższy dostępny łącznik.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Historyczny transgraniczny zasięg gatunku komplikuje jednoznaczne przypisanie, ale nie eliminuje roli miejsca faktycznego znaleziska jako głównego kryterium przy braku innych danych.</w:t>
      </w:r>
    </w:p>
    <w:p>
      <w:pPr>
        <w:pStyle w:val="Heading3"/>
        <w:spacing w:after="100" w:before="200"/>
      </w:pPr>
      <w:r>
        <w:t xml:space="preserve">Prawa społeczności rdzennej (art. 8(j) CBD, UNDRIP)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Wymóg poszanowania, zachowania wiedzy tradycyjnej i zapewnienia sprawiedliwego podziału korzyści wynikających z jej wykorzystania — niezależnie od tego, czy państwo formalnie reprezentuje interesy społeczności w sporze międzypaństwowym.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Znaczenie duchowe gatunku dla tradycji społeczności rdzennej wzmacnia argument za podwyższonym standardem konsultacji/zgody, analogicznie do standardu FPIC stosowanego w innych reżimach (por. K-02).</w:t>
      </w:r>
    </w:p>
    <w:p>
      <w:pPr>
        <w:pStyle w:val="Heading3"/>
        <w:spacing w:after="100" w:before="200"/>
      </w:pPr>
      <w:r>
        <w:t xml:space="preserve">Status odtworzonego organizmu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Brak ugruntowanego stanowiska naukowego i prawnego, czy organizm powstały z edycji genów gatunku pokrewnego uzupełnionej danymi z wymarłego gatunku jest prawnie 'tym samym' gatunkiem, nowym hybrydem, czy odrębnym tworem — wpływa to na zastosowanie CITES i regulacji handlu.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czasu wyjaśnienia tej kwestii naukowej stosowanie reżimu ochronnego powinno kierować się zasadą ostrożności (precautionary principle), traktując organizm analogicznie do najsurowiej chronionego z możliwych statusów.</w:t>
      </w:r>
    </w:p>
    <w:p>
      <w:pPr>
        <w:pStyle w:val="Heading2"/>
        <w:spacing w:after="150" w:before="300"/>
      </w:pPr>
      <w:r>
        <w:t xml:space="preserve">4. Macierz argumentów stron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Kwestia</w:t>
            </w:r>
          </w:p>
        </w:tc>
        <w:tc>
          <w:tcPr>
            <w:tcW w:type="dxa" w:w="26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Argument strony A</w:t>
            </w:r>
          </w:p>
        </w:tc>
        <w:tc>
          <w:tcPr>
            <w:tcW w:type="dxa" w:w="26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Argument strony B</w:t>
            </w:r>
          </w:p>
        </w:tc>
        <w:tc>
          <w:tcPr>
            <w:tcW w:type="dxa" w:w="26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Kluczowa kontra / uwaga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DSI jako zasób genetyczny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Informacja sekwencyjna to dane cyfrowe, oddzielone od materiału fizycznego — poza definicyjnym zakresem 'zasobu genetycznego' CBD, który wymaga materialności.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Decyzja COP16 (2024) i utworzenie Funduszu Cali potwierdzają globalny konsens co do objęcia DSI mechanizmem podziału korzyści, niezależnie od toczącego się sporu doktrynalnego o definicję.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Fundusz Cali to nowy, dopiero wdrażany mechanizm wielostronny (szczegóły do COP17 w 2026 r.) — nie jest jeszcze w pełni operacyjny, co należy zaznaczyć jako czynnik niepewności prawnej, nie jako rozstrzygnięty stan prawa.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Zakres zgody muzealnej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Legalne posiadanie skamieniałości przez muzeum uprawniało do standardowych badań naukowych, w tym sekwencjonowania, jako mieszczących się w zwykłym zakresie działalności badawczej instytucji.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Umowa przekazania wyraźnie nie przewidywała sekwencjonowania genetycznego — jakiekolwiek wykorzystanie wykraczające poza uzgodniony cel wymaga nowej zgody Anecoyonu.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Rozstrzygające jest ustalenie, czy umowa przekazania miała charakter zamknięty (numerus clausus dozwolonych działań) czy otwarty (ogólne badania naukowe) — kazus nie precyzuje treści umowy, co jest kluczową luką faktyczną.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Państwo pochodzenia gatunku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Ridus również leżał w historycznym zasięgu gatunku — brak podstaw do przyznania Anecoyonowi wyłączności jako państwu pochodzenia.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Miejsce faktycznego znalezienia skamieniałości na terytorium Anecoyonu jest głównym dostępnym łącznikiem w rozumieniu CBD przy braku innych danych o pochodzeniu wykorzystanego materiału.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Przy transgranicznym zasięgu historycznym CBD dopuszcza status współpochodzenia (więcej niż jedno państwo pochodzenia) — rozwiązaniem może być reżim podziału korzyści proporcjonalny, nie wyłączność jednego państwa.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Komercjalizacja i reintrodukcja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Instytut działa w interesie ochrony różnorodności biologicznej — cel ten uzasadnia jednostronne decyzje o reintrodukcji bez wymogu zgody Anecoyonu.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Odpłatny park hodowlany i licencjonowanie technologii mają wyraźnie komercyjny charakter, niezależnie od deklarowanego celu ochronnego — podlegają więc pełnemu reżimowi ABS, w tym podziałowi korzyści i kontroli nad reintrodukcją.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Cel ochronny i cel komercyjny nie wykluczają się wzajemnie w ocenie prawnej — sam komercyjny element (opłatny park, licencje) uruchamia obowiązki ABS niezależnie od równoległych korzyści środowiskowych.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5. Braki faktyczne i dowody rozstrzygające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Brak treści umowy przekazania skamieniałości do muzeum — rozstrzygające dla ustalenia zakresu pierwotnej zgody.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Nie ustalono dokładnego pochodzenia geograficznego danych uzupełniających z gatunku współczesnego spokrewnionego — istotne dla oceny, czy Ridus jest współpaństwem pochodzenia części wykorzystanego materiału genetycznego.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Brak danych o formalnym statusie przedstawicieli społeczności rdzennej reprezentujących jej stanowisko wobec Anecoyonu — istotne dla oceny, czy państwo adekwatnie broni jej interesów w sporze międzypaństwowym.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Nie wskazano szczegółów naukowych metody edycji genów ani stopnia podobieństwa genetycznego odtworzonego organizmu do wymarłego pierwowzoru — rozstrzygające dla kwalifikacji gatunkowej i zastosowania CITES.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Zakaz dopowiadania faktów: nie zakładam, czy instytut z Ridusu działał w złej wierze przy pominięciu zgody Anecoyonu — kazus nie precyzuje stanu świadomości instytutu co do wymogów ABS w chwili rozpoczęcia projektu.</w:t>
      </w:r>
    </w:p>
    <w:p>
      <w:pPr>
        <w:pStyle w:val="Heading2"/>
        <w:spacing w:after="150" w:before="300"/>
      </w:pPr>
      <w:r>
        <w:t xml:space="preserve">6. Rozstrzygnięcie i środek naprawczy</w:t>
      </w:r>
    </w:p>
    <w:p>
      <w:pPr>
        <w:spacing w:after="140"/>
      </w:pPr>
      <w:r>
        <w:t xml:space="preserve">Trybunał powinien: (1) uznać, że wykorzystanie DSI pochodzącej ze skamieniałości podlega reżimowi ABS w świetle kierunku rozwoju prawa międzynarodowego (decyzja COP16/Fundusz Cali), z zastrzeżeniem, że mechanizm ten jest jeszcze w fazie wdrażania; (2) stwierdzić, że pierwotna zgoda muzealna nie obejmowała sekwencjonowania i wykorzystania komercyjnego, co uzasadnia roszczenie Anecoyonu o podział korzyści; (3) uznać Anecoyon za (co najmniej) jedno z państw pochodzenia, otwierając możliwość współdzielenia korzyści z Ridusem w zależności od pochodzenia materiału uzupełniającego; (4) nakazać uwzględnienie odrębnego stanowiska społeczności rdzennej w dalszych negocjacjach reintrodukcji, niezależnie od treści porozumienia międzypaństwowego; (5) zastosować zasadę ostrożności do statusu ochronnego odtworzonego organizmu do czasu naukowego wyjaśnienia jego kwalifikacji gatunkowej.</w:t>
      </w:r>
    </w:p>
    <w:p>
      <w:pPr>
        <w:spacing w:after="140"/>
      </w:pPr>
      <w:r>
        <w:t xml:space="preserve">Środek: nakaz negocjacji porozumienia o podziale korzyści (udział w przychodach z parku i licencji) z udziałem przedstawicieli społeczności rdzennej + zawieszenie dalszej komercyjnej reintrodukcji do czasu zawarcia takiego porozumienia + tymczasowe zastosowanie najsurowszego reżimu ochronnego CITES do odtworzonego organizmu.</w:t>
      </w:r>
    </w:p>
    <w:p>
      <w:pPr>
        <w:pStyle w:val="Heading3"/>
        <w:spacing w:after="100" w:before="200"/>
      </w:pPr>
      <w:r>
        <w:t xml:space="preserve">Uwagi metodologiczne / status weryfikacji</w:t>
      </w:r>
    </w:p>
    <w:p>
      <w:pPr>
        <w:spacing w:after="140"/>
      </w:pPr>
      <w:r>
        <w:rPr>
          <w:i/>
          <w:iCs/>
          <w:sz w:val="20"/>
          <w:szCs w:val="20"/>
        </w:rPr>
        <w:t xml:space="preserve">Zweryfikowano online: decyzja CBD COP16 (Cali, listopad 2024) ustanawiająca wielostronny mechanizm podziału korzyści z DSI i Fundusz Cali, ze szczegółami doprecyzowywanymi do COP17 (październik 2026) — stan aktualny na 2 września 2026 (źródła: GSK position paper, Covington &amp; Burling, FAO/CGRFA — wyszukiwanie z 2 września 2026). Kwestia, czy DSI mieści się w definicyjnym zakresie 'zasobu genetycznego' CBD, pozostaje przedmiotem sporu doktrynalnego i jest oznaczona jako nierozstrzygnięta. Kazus jest fikcyjną adaptacją (Anecoyon, Ridus nie istnieją).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2026-09-02T18:16:46.739Z</dcterms:created>
  <dcterms:modified xsi:type="dcterms:W3CDTF">2026-09-02T18:16:46.759Z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