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0"/>
          <w:szCs w:val="40"/>
        </w:rPr>
        <w:t xml:space="preserve">ARKUSZ ODPOWIEDZI — BANK KAZUSÓW</w:t>
      </w:r>
    </w:p>
    <w:p>
      <w:pPr>
        <w:spacing w:after="300"/>
      </w:pPr>
      <w:r>
        <w:rPr>
          <w:sz w:val="26"/>
          <w:szCs w:val="26"/>
        </w:rPr>
        <w:t xml:space="preserve">Grupa 4 z 4: PL-05 – PL-07 (część polska, dokończenie)</w:t>
      </w:r>
    </w:p>
    <w:p>
      <w:pPr>
        <w:spacing w:after="60"/>
      </w:pPr>
      <w:r>
        <w:rPr>
          <w:b/>
          <w:bCs/>
        </w:rPr>
        <w:t xml:space="preserve">Model: </w:t>
      </w:r>
      <w:r>
        <w:t xml:space="preserve">Claude Sonnet 5 (poziom rozumowania: średni)</w:t>
      </w:r>
    </w:p>
    <w:p>
      <w:pPr>
        <w:spacing w:after="60"/>
      </w:pPr>
      <w:r>
        <w:rPr>
          <w:b/>
          <w:bCs/>
        </w:rPr>
        <w:t xml:space="preserve">Data opracowania: </w:t>
      </w:r>
      <w:r>
        <w:t xml:space="preserve">2 września 2026</w:t>
      </w:r>
    </w:p>
    <w:p>
      <w:pPr>
        <w:spacing w:after="60"/>
      </w:pPr>
      <w:r>
        <w:rPr>
          <w:b/>
          <w:bCs/>
        </w:rPr>
        <w:t xml:space="preserve">Status: </w:t>
      </w:r>
      <w:r>
        <w:t xml:space="preserve">Materiał dydaktyczny — issue spotting i argumentacja adversarialna, nie opinia prawna w konkretnej sprawie</w:t>
      </w:r>
    </w:p>
    <w:p>
      <w:pPr>
        <w:spacing w:after="60"/>
      </w:pPr>
      <w:r>
        <w:rPr>
          <w:b/>
          <w:bCs/>
        </w:rPr>
        <w:t xml:space="preserve">Metodologia: </w:t>
      </w:r>
      <w:r>
        <w:t xml:space="preserve">Jak w Grupie 3. Dla PL-05 zweryfikowano online istotną zmianę stanu prawnego: nową, znowelizowaną ustawę o krajowym systemie cyberbezpieczeństwa wdrażającą dyrektywę NIS2 (w mocy od 2 kwietnia 2026 r.), która zastąpiła stan prawny z daty przygotowania banku kazusów. Dla PL-07 zweryfikowano aktualny (brak odrębnego) status prawnokarny deepfake'ów w Polsce oraz harmonogram obowiązków znakowania treści syntetycznych z AI Act.</w:t>
      </w:r>
    </w:p>
    <w:p>
      <w:pPr>
        <w:spacing w:after="200"/>
      </w:pPr>
    </w:p>
    <w:p>
      <w:r>
        <w:br w:type="page"/>
      </w:r>
    </w:p>
    <w:p>
      <w:pPr>
        <w:spacing w:after="60"/>
      </w:pPr>
      <w:r>
        <w:rPr>
          <w:b/>
          <w:bCs/>
          <w:color w:val="1F3864"/>
          <w:sz w:val="32"/>
          <w:szCs w:val="32"/>
        </w:rPr>
        <w:t xml:space="preserve">PL-05  Chmura dla metropolii</w:t>
      </w:r>
    </w:p>
    <w:p>
      <w:pPr>
        <w:spacing w:after="200"/>
      </w:pPr>
      <w:r>
        <w:rPr>
          <w:i/>
          <w:iCs/>
          <w:sz w:val="22"/>
          <w:szCs w:val="22"/>
        </w:rPr>
        <w:t xml:space="preserve">Zamówienia publiczne, cyberbezpieczeństwo, RODO, tajemnice i ciągłość usług</w:t>
      </w:r>
    </w:p>
    <w:p>
      <w:pPr>
        <w:spacing w:after="60"/>
      </w:pPr>
      <w:r>
        <w:rPr>
          <w:b/>
          <w:bCs/>
        </w:rPr>
        <w:t xml:space="preserve">Poziom: </w:t>
      </w:r>
      <w:r>
        <w:t xml:space="preserve">ekstremalna</w:t>
      </w:r>
    </w:p>
    <w:p>
      <w:pPr>
        <w:spacing w:after="60"/>
      </w:pPr>
      <w:r>
        <w:rPr>
          <w:b/>
          <w:bCs/>
        </w:rPr>
        <w:t xml:space="preserve">Sugerowany czas: </w:t>
      </w:r>
      <w:r>
        <w:t xml:space="preserve">5–7 godzin</w:t>
      </w:r>
    </w:p>
    <w:p>
      <w:pPr>
        <w:spacing w:after="60"/>
      </w:pPr>
      <w:r>
        <w:rPr>
          <w:b/>
          <w:bCs/>
        </w:rPr>
        <w:t xml:space="preserve">Role: </w:t>
      </w:r>
      <w:r>
        <w:t xml:space="preserve">metropolia; konsorcjum; dostawca chmury; konkurent; KIO; CSIRT</w:t>
      </w:r>
    </w:p>
    <w:p>
      <w:pPr>
        <w:spacing w:after="100"/>
      </w:pPr>
    </w:p>
    <w:p>
      <w:pPr>
        <w:pStyle w:val="Heading2"/>
        <w:spacing w:after="150" w:before="300"/>
      </w:pPr>
      <w:r>
        <w:t xml:space="preserve">1. Teza wstępna</w:t>
      </w:r>
    </w:p>
    <w:p>
      <w:pPr>
        <w:spacing w:after="140"/>
      </w:pPr>
      <w:r>
        <w:t xml:space="preserve">Kryterium 'suwerenności technologicznej' jest dopuszczalne co do zasady jako związane z przedmiotem zamówienia (bezpieczeństwo danych publicznych), ale w obecnym sformułowaniu — bez jasnych, mierzalnych wag i metody oceny — narusza zasadę przejrzystości i grozi zarzutem naruszenia zasady uczciwej konkurencji; poleganie najtańszego konsorcjum na zasobach globalnej chmury i referencjach spółki z tej samej grupy kapitałowej jest dopuszczalne na zasadach ogólnych (podmiot trzeci użyczający zasobów), o ile spełnione są wymogi wykazania realnego dysponowania zasobami, ale nadmierne utajnienie wyjaśnień ogranicza możliwość skutecznej kontroli przez konkurenta i KIO; incydent u dostawcy chmury po wyborze oferty, w połączeniu z wejściem w życie znowelizowanej ustawy o KSC (2 kwietnia 2026 r., wdrażającej NIS2), zasadniczo zmienia otoczenie regulacyjne zamówienia i uzasadnia wprowadzenie dodatkowych wymagań (lokalne zarządzanie kluczami, prawo audytu) w trybie dopuszczalnej istotnej zmiany umowy związanej z obiektywnymi, nieprzewidywalnymi okolicznościami — a nie automatycznie stanowi naruszenie zasady równego traktowania wykonawców, o ile zmiana nie modyfikuje ogólnego charakteru zamówienia ponad dozwolony próg wartościowy; podpisanie umowy przed rozstrzygnięciem odwołania KIO, przy nieusuniętej podatności obecnego systemu, wymaga wyważenia ryzyka przerwania usług publicznych przeciwko ryzyku utrwalenia wadliwie wybranego łańcucha dostaw.</w:t>
      </w:r>
    </w:p>
    <w:p>
      <w:pPr>
        <w:pStyle w:val="Heading2"/>
        <w:spacing w:after="150" w:before="300"/>
      </w:pPr>
      <w:r>
        <w:t xml:space="preserve">2. Mapa jurysdykcji, źródeł prawa i kompetencji organów</w:t>
      </w:r>
    </w:p>
    <w:p>
      <w:pPr>
        <w:pStyle w:val="ListParagraph"/>
        <w:numPr>
          <w:ilvl w:val="0"/>
          <w:numId w:val="1"/>
        </w:numPr>
        <w:spacing w:after="80"/>
      </w:pPr>
      <w:r>
        <w:t xml:space="preserve">Krajowa Izba Odwoławcza (KIO) — rozpoznanie odwołania konkurenta co do zgodności postępowania z ustawą Prawo zamówień publicznych (Dz.U. 2019 poz. 2019 z późn. zm.), w tym co do kryteriów oceny ofert i zakresu utajnienia wyjaśnień.</w:t>
      </w:r>
    </w:p>
    <w:p>
      <w:pPr>
        <w:pStyle w:val="ListParagraph"/>
        <w:numPr>
          <w:ilvl w:val="0"/>
          <w:numId w:val="1"/>
        </w:numPr>
        <w:spacing w:after="80"/>
      </w:pPr>
      <w:r>
        <w:t xml:space="preserve">Zamawiający (metropolia) — obowiązek zapewnienia przejrzystości kryteriów, związku z przedmiotem zamówienia i proporcjonalności (art. 16, 242 i n. PZP) oraz ocena dopuszczalności zmiany umowy w toku (art. 455 PZP — istotna zmiana umowy).</w:t>
      </w:r>
    </w:p>
    <w:p>
      <w:pPr>
        <w:pStyle w:val="ListParagraph"/>
        <w:numPr>
          <w:ilvl w:val="0"/>
          <w:numId w:val="1"/>
        </w:numPr>
        <w:spacing w:after="80"/>
      </w:pPr>
      <w:r>
        <w:t xml:space="preserve">CSIRT właściwy poziomu (sektorowy/krajowy) — obsługa zgłoszenia incydentu u dostawcy chmury na zasadach ustawy o krajowym systemie cyberbezpieczeństwa (KSC), w brzmieniu znowelizowanym w związku z transpozycją dyrektywy NIS2 (Dz.U. 2026 poz. 20 tekst jednolity, zmiana Dz.U. 2026 poz. 252 z 23 stycznia 2026 r. — w mocy od 2 kwietnia 2026 r.).</w:t>
      </w:r>
    </w:p>
    <w:p>
      <w:pPr>
        <w:pStyle w:val="ListParagraph"/>
        <w:numPr>
          <w:ilvl w:val="0"/>
          <w:numId w:val="1"/>
        </w:numPr>
        <w:spacing w:after="80"/>
      </w:pPr>
      <w:r>
        <w:t xml:space="preserve">UODO — nadzór nad zgodnością przetwarzania danych osobowych mieszkańców metropolii z RODO w modelu chmurowym, w tym w zakresie transferu danych i podpowierzenia globalnemu dostawcy.</w:t>
      </w:r>
    </w:p>
    <w:p>
      <w:pPr>
        <w:pStyle w:val="ListParagraph"/>
        <w:numPr>
          <w:ilvl w:val="0"/>
          <w:numId w:val="1"/>
        </w:numPr>
        <w:spacing w:after="80"/>
      </w:pPr>
      <w:r>
        <w:t xml:space="preserve">Sąd administracyjny / sąd okręgowy — kontrola skargi na orzeczenie KIO (w zależności od etapu i trybu zaskarżenia przewidzianego w PZP).</w:t>
      </w:r>
    </w:p>
    <w:p>
      <w:pPr>
        <w:pStyle w:val="Heading2"/>
        <w:spacing w:after="150" w:before="300"/>
      </w:pPr>
      <w:r>
        <w:t xml:space="preserve">3. Przesłanki roszczeń / zarzutów / środków ochrony</w:t>
      </w:r>
    </w:p>
    <w:p>
      <w:pPr>
        <w:pStyle w:val="Heading3"/>
        <w:spacing w:after="100" w:before="200"/>
      </w:pPr>
      <w:r>
        <w:t xml:space="preserve">Dopuszczalność i jakość kryterium 'suwerenności technologicznej'</w:t>
      </w:r>
    </w:p>
    <w:p>
      <w:pPr>
        <w:pStyle w:val="ListParagraph"/>
        <w:numPr>
          <w:ilvl w:val="0"/>
          <w:numId w:val="1"/>
        </w:numPr>
        <w:spacing w:after="80"/>
      </w:pPr>
      <w:r>
        <w:t xml:space="preserve">Kryteria oceny ofert muszą być związane z przedmiotem zamówienia, niedyskryminacyjne, zapewniające możliwość efektywnej konkurencji oraz umożliwiające weryfikację przekazanych informacji (art. 241–242 PZP) — lokalizacja centrów danych jako proxy bezpieczeństwa danych publicznych jest związana z przedmiotem, ale wymaga jasno opisanej metody oceny i wag.</w:t>
      </w:r>
    </w:p>
    <w:p>
      <w:pPr>
        <w:pStyle w:val="ListParagraph"/>
        <w:numPr>
          <w:ilvl w:val="0"/>
          <w:numId w:val="1"/>
        </w:numPr>
        <w:spacing w:after="80"/>
      </w:pPr>
      <w:r>
        <w:t xml:space="preserve">Brak wyjaśnienia sposobu oceny tego kryterium w dokumentacji zamówienia jest samodzielną podstawą do zarzutu naruszenia zasady przejrzystości, niezależnie od merytorycznej zasadności samego kryterium.</w:t>
      </w:r>
    </w:p>
    <w:p>
      <w:pPr>
        <w:pStyle w:val="Heading3"/>
        <w:spacing w:after="100" w:before="200"/>
      </w:pPr>
      <w:r>
        <w:t xml:space="preserve">Poleganie na zasobach podmiotu z grupy kapitałowej</w:t>
      </w:r>
    </w:p>
    <w:p>
      <w:pPr>
        <w:pStyle w:val="ListParagraph"/>
        <w:numPr>
          <w:ilvl w:val="0"/>
          <w:numId w:val="1"/>
        </w:numPr>
        <w:spacing w:after="80"/>
      </w:pPr>
      <w:r>
        <w:t xml:space="preserve">Wykonawca może polegać na zdolnościach innych podmiotów (w tym z własnej grupy) pod warunkiem wykazania rzeczywistego dysponowania ich zasobami (np. zobowiązanie do udostępnienia zasobów) — sama przynależność do grupy nie zwalnia z tego obowiązku dowodowego.</w:t>
      </w:r>
    </w:p>
    <w:p>
      <w:pPr>
        <w:pStyle w:val="ListParagraph"/>
        <w:numPr>
          <w:ilvl w:val="0"/>
          <w:numId w:val="1"/>
        </w:numPr>
        <w:spacing w:after="80"/>
      </w:pPr>
      <w:r>
        <w:t xml:space="preserve">Wykorzystanie referencji spółki z grupy jest dopuszczalne, o ile dotyczą one zdolności technicznej faktycznie angażowanej w realizację zamówienia, nie jest jedynie formalnym 'pożyczeniem' doświadczenia.</w:t>
      </w:r>
    </w:p>
    <w:p>
      <w:pPr>
        <w:pStyle w:val="Heading3"/>
        <w:spacing w:after="100" w:before="200"/>
      </w:pPr>
      <w:r>
        <w:t xml:space="preserve">Zakres utajnienia wobec konkurenta i KIO</w:t>
      </w:r>
    </w:p>
    <w:p>
      <w:pPr>
        <w:pStyle w:val="ListParagraph"/>
        <w:numPr>
          <w:ilvl w:val="0"/>
          <w:numId w:val="1"/>
        </w:numPr>
        <w:spacing w:after="80"/>
      </w:pPr>
      <w:r>
        <w:t xml:space="preserve">Tajemnica przedsiębiorstwa chroni wyjaśnienia w zakresie technicznym/handlowym stanowiącym rzeczywistą wartość gospodarczą, ale nie może obejmować informacji koniecznych do weryfikacji zgodności oferty z warunkami zamówienia — KIO ma prawo wglądu w pełną treść niezależnie od zastrzeżenia tajemnicy wobec innych uczestników.</w:t>
      </w:r>
    </w:p>
    <w:p>
      <w:pPr>
        <w:pStyle w:val="ListParagraph"/>
        <w:numPr>
          <w:ilvl w:val="0"/>
          <w:numId w:val="1"/>
        </w:numPr>
        <w:spacing w:after="80"/>
      </w:pPr>
      <w:r>
        <w:t xml:space="preserve">Nadmierne, blankietowe utajnienie całych wyjaśnień (a nie tylko ich rzeczywiście wrażliwych fragmentów) jest kwestionowane w praktyce orzeczniczej KIO jako naruszenie zasady jawności postępowania.</w:t>
      </w:r>
    </w:p>
    <w:p>
      <w:pPr>
        <w:pStyle w:val="Heading3"/>
        <w:spacing w:after="100" w:before="200"/>
      </w:pPr>
      <w:r>
        <w:t xml:space="preserve">Dopuszczalność zmiany wymagań po wyborze oferty</w:t>
      </w:r>
    </w:p>
    <w:p>
      <w:pPr>
        <w:pStyle w:val="ListParagraph"/>
        <w:numPr>
          <w:ilvl w:val="0"/>
          <w:numId w:val="1"/>
        </w:numPr>
        <w:spacing w:after="80"/>
      </w:pPr>
      <w:r>
        <w:t xml:space="preserve">Art. 455 PZP dopuszcza istotną zmianę umowy bez nowego postępowania m.in. gdy konieczność zmiany wynika z okoliczności, których zamawiający działający z należytą starannością nie mógł przewidzieć, a zmiana nie modyfikuje ogólnego charakteru umowy i nie prowadzi do zwiększenia wynagrodzenia powyżej dozwolonego progu.</w:t>
      </w:r>
    </w:p>
    <w:p>
      <w:pPr>
        <w:pStyle w:val="ListParagraph"/>
        <w:numPr>
          <w:ilvl w:val="0"/>
          <w:numId w:val="1"/>
        </w:numPr>
        <w:spacing w:after="80"/>
      </w:pPr>
      <w:r>
        <w:t xml:space="preserve">Wejście w życie znowelizowanej ustawy o KSC (2 kwietnia 2026 r.) w toku postępowania może stanowić okoliczność prawną uzasadniającą taką zmianę, jeśli nakłada nowe, wiążące obowiązki niemożliwe do przewidzenia w dacie wszczęcia postępowania — wymaga to jednak ustalenia dat obu zdarzeń względem siebie.</w:t>
      </w:r>
    </w:p>
    <w:p>
      <w:pPr>
        <w:pStyle w:val="Heading3"/>
        <w:spacing w:after="100" w:before="200"/>
      </w:pPr>
      <w:r>
        <w:t xml:space="preserve">Kontynuacja usług a zawarcie umowy w toku odwołania</w:t>
      </w:r>
    </w:p>
    <w:p>
      <w:pPr>
        <w:pStyle w:val="ListParagraph"/>
        <w:numPr>
          <w:ilvl w:val="0"/>
          <w:numId w:val="1"/>
        </w:numPr>
        <w:spacing w:after="80"/>
      </w:pPr>
      <w:r>
        <w:t xml:space="preserve">Wniesienie odwołania do KIO co do zasady wstrzymuje możliwość zawarcia umowy do czasu rozstrzygnięcia (zakaz zawarcia umowy, art. 577–578 PZP) — podpisanie umowy przed rozstrzygnięciem, poza wyjątkami ustawowymi, jest obarczone wadą.</w:t>
      </w:r>
    </w:p>
    <w:p>
      <w:pPr>
        <w:pStyle w:val="ListParagraph"/>
        <w:numPr>
          <w:ilvl w:val="0"/>
          <w:numId w:val="1"/>
        </w:numPr>
        <w:spacing w:after="80"/>
      </w:pPr>
      <w:r>
        <w:t xml:space="preserve">Ryzyko przerwy w usługach publicznych wskutek podatności obecnego systemu może uzasadniać wniosek o uchylenie zakazu zawarcia umowy w trybie przewidzianym ustawą, ale wymaga to odrębnego wniosku i oceny proporcjonalności przez KIO, nie jednostronnej decyzji zamawiającego.</w:t>
      </w:r>
    </w:p>
    <w:p>
      <w:pPr>
        <w:pStyle w:val="Heading2"/>
        <w:spacing w:after="150" w:before="300"/>
      </w:pPr>
      <w:r>
        <w:t xml:space="preserve">4. Macierz argumentów stron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1F3864" w:val="clear"/>
          </w:tcPr>
          <w:p>
            <w:r>
              <w:rPr>
                <w:b/>
                <w:bCs/>
                <w:color w:val="FFFFFF"/>
                <w:sz w:val="20"/>
                <w:szCs w:val="20"/>
              </w:rPr>
              <w:t xml:space="preserve">Kwestia</w:t>
            </w:r>
          </w:p>
        </w:tc>
        <w:tc>
          <w:tcPr>
            <w:tcW w:type="dxa" w:w="2600"/>
            <w:shd w:fill="1F3864" w:val="clear"/>
          </w:tcPr>
          <w:p>
            <w:r>
              <w:rPr>
                <w:b/>
                <w:bCs/>
                <w:color w:val="FFFFFF"/>
                <w:sz w:val="20"/>
                <w:szCs w:val="20"/>
              </w:rPr>
              <w:t xml:space="preserve">Argument strony A</w:t>
            </w:r>
          </w:p>
        </w:tc>
        <w:tc>
          <w:tcPr>
            <w:tcW w:type="dxa" w:w="2600"/>
            <w:shd w:fill="1F3864" w:val="clear"/>
          </w:tcPr>
          <w:p>
            <w:r>
              <w:rPr>
                <w:b/>
                <w:bCs/>
                <w:color w:val="FFFFFF"/>
                <w:sz w:val="20"/>
                <w:szCs w:val="20"/>
              </w:rPr>
              <w:t xml:space="preserve">Argument strony B</w:t>
            </w:r>
          </w:p>
        </w:tc>
        <w:tc>
          <w:tcPr>
            <w:tcW w:type="dxa" w:w="2600"/>
            <w:shd w:fill="1F3864" w:val="clear"/>
          </w:tcPr>
          <w:p>
            <w:r>
              <w:rPr>
                <w:b/>
                <w:bCs/>
                <w:color w:val="FFFFFF"/>
                <w:sz w:val="20"/>
                <w:szCs w:val="20"/>
              </w:rPr>
              <w:t xml:space="preserve">Kluczowa kontra / uwaga</w:t>
            </w:r>
          </w:p>
        </w:tc>
      </w:tr>
      <w:tr>
        <w:tc>
          <w:tcPr>
            <w:tcW w:type="dxa" w:w="1600"/>
          </w:tcPr>
          <w:p>
            <w:r>
              <w:rPr>
                <w:b w:val="false"/>
                <w:bCs w:val="false"/>
                <w:sz w:val="18"/>
                <w:szCs w:val="18"/>
              </w:rPr>
              <w:t xml:space="preserve">Zgodność kryterium 'suwerenności'</w:t>
            </w:r>
          </w:p>
        </w:tc>
        <w:tc>
          <w:tcPr>
            <w:tcW w:type="dxa" w:w="2600"/>
          </w:tcPr>
          <w:p>
            <w:r>
              <w:rPr>
                <w:b w:val="false"/>
                <w:bCs w:val="false"/>
                <w:sz w:val="18"/>
                <w:szCs w:val="18"/>
              </w:rPr>
              <w:t xml:space="preserve">Kryterium jest merytorycznie uzasadnione względami bezpieczeństwa danych publicznych i mieści się w granicach swobody zamawiającego przy zamówieniach strategicznych.</w:t>
            </w:r>
          </w:p>
        </w:tc>
        <w:tc>
          <w:tcPr>
            <w:tcW w:type="dxa" w:w="2600"/>
          </w:tcPr>
          <w:p>
            <w:r>
              <w:rPr>
                <w:b w:val="false"/>
                <w:bCs w:val="false"/>
                <w:sz w:val="18"/>
                <w:szCs w:val="18"/>
              </w:rPr>
              <w:t xml:space="preserve">Brak wyjaśnienia metody oceny i wag czyni kryterium nietransparentnym i potencjalnie arbitralnym, naruszającym zasadę uczciwej konkurencji wobec wykonawców spoza preferowanego modelu.</w:t>
            </w:r>
          </w:p>
        </w:tc>
        <w:tc>
          <w:tcPr>
            <w:tcW w:type="dxa" w:w="2600"/>
          </w:tcPr>
          <w:p>
            <w:r>
              <w:rPr>
                <w:b w:val="false"/>
                <w:bCs w:val="false"/>
                <w:sz w:val="18"/>
                <w:szCs w:val="18"/>
              </w:rPr>
              <w:t xml:space="preserve">Merytoryczna zasadność kryterium i jego formalna transparentność to dwie odrębne kwestie — nawet w pełni uzasadnione kryterium może zostać unieważnione wyłącznie z powodu wadliwego opisu metody oceny, co jest częstą podstawą uwzględnianych odwołań w praktyce KIO.</w:t>
            </w:r>
          </w:p>
        </w:tc>
      </w:tr>
      <w:tr>
        <w:tc>
          <w:tcPr>
            <w:tcW w:type="dxa" w:w="1600"/>
          </w:tcPr>
          <w:p>
            <w:r>
              <w:rPr>
                <w:b w:val="false"/>
                <w:bCs w:val="false"/>
                <w:sz w:val="18"/>
                <w:szCs w:val="18"/>
              </w:rPr>
              <w:t xml:space="preserve">Referencje spółki z grupy</w:t>
            </w:r>
          </w:p>
        </w:tc>
        <w:tc>
          <w:tcPr>
            <w:tcW w:type="dxa" w:w="2600"/>
          </w:tcPr>
          <w:p>
            <w:r>
              <w:rPr>
                <w:b w:val="false"/>
                <w:bCs w:val="false"/>
                <w:sz w:val="18"/>
                <w:szCs w:val="18"/>
              </w:rPr>
              <w:t xml:space="preserve">Referencje i zasoby spółki z grupy kapitałowej są w pełni wiarygodnym dowodem zdolności technicznej — struktura grupy nie umniejsza realności tych zasobów.</w:t>
            </w:r>
          </w:p>
        </w:tc>
        <w:tc>
          <w:tcPr>
            <w:tcW w:type="dxa" w:w="2600"/>
          </w:tcPr>
          <w:p>
            <w:r>
              <w:rPr>
                <w:b w:val="false"/>
                <w:bCs w:val="false"/>
                <w:sz w:val="18"/>
                <w:szCs w:val="18"/>
              </w:rPr>
              <w:t xml:space="preserve">Wykorzystanie referencji innej spółki z grupy bez wykazania jej rzeczywistego zaangażowania w realizację tego konkretnego zamówienia jest obejściem wymogu własnego doświadczenia wykonawcy.</w:t>
            </w:r>
          </w:p>
        </w:tc>
        <w:tc>
          <w:tcPr>
            <w:tcW w:type="dxa" w:w="2600"/>
          </w:tcPr>
          <w:p>
            <w:r>
              <w:rPr>
                <w:b w:val="false"/>
                <w:bCs w:val="false"/>
                <w:sz w:val="18"/>
                <w:szCs w:val="18"/>
              </w:rPr>
              <w:t xml:space="preserve">Rozstrzygające jest istnienie i treść zobowiązania do udostępnienia zasobów (nie sama przynależność do grupy) — brak takiego dokumentu w aktach postępowania byłby samodzielną podstawą wykluczenia oferty, niezależnie od faktycznych możliwości technicznych spółki.</w:t>
            </w:r>
          </w:p>
        </w:tc>
      </w:tr>
      <w:tr>
        <w:tc>
          <w:tcPr>
            <w:tcW w:type="dxa" w:w="1600"/>
          </w:tcPr>
          <w:p>
            <w:r>
              <w:rPr>
                <w:b w:val="false"/>
                <w:bCs w:val="false"/>
                <w:sz w:val="18"/>
                <w:szCs w:val="18"/>
              </w:rPr>
              <w:t xml:space="preserve">Zakres utajnienia wyjaśnień</w:t>
            </w:r>
          </w:p>
        </w:tc>
        <w:tc>
          <w:tcPr>
            <w:tcW w:type="dxa" w:w="2600"/>
          </w:tcPr>
          <w:p>
            <w:r>
              <w:rPr>
                <w:b w:val="false"/>
                <w:bCs w:val="false"/>
                <w:sz w:val="18"/>
                <w:szCs w:val="18"/>
              </w:rPr>
              <w:t xml:space="preserve">Utajnienie chroniło rzeczywiście wrażliwe informacje handlowe i architekturę bezpieczeństwa konsorcjum przed konkurencją.</w:t>
            </w:r>
          </w:p>
        </w:tc>
        <w:tc>
          <w:tcPr>
            <w:tcW w:type="dxa" w:w="2600"/>
          </w:tcPr>
          <w:p>
            <w:r>
              <w:rPr>
                <w:b w:val="false"/>
                <w:bCs w:val="false"/>
                <w:sz w:val="18"/>
                <w:szCs w:val="18"/>
              </w:rPr>
              <w:t xml:space="preserve">Utajnienie 'znacznej części' wyjaśnień, obejmujące zapewne również elementy niezbędne do oceny zgodności oferty, uniemożliwia konkurentowi i KIO efektywną kontrolę postępowania.</w:t>
            </w:r>
          </w:p>
        </w:tc>
        <w:tc>
          <w:tcPr>
            <w:tcW w:type="dxa" w:w="2600"/>
          </w:tcPr>
          <w:p>
            <w:r>
              <w:rPr>
                <w:b w:val="false"/>
                <w:bCs w:val="false"/>
                <w:sz w:val="18"/>
                <w:szCs w:val="18"/>
              </w:rPr>
              <w:t xml:space="preserve">KIO zawsze ma dostęp do pełnej treści niezależnie od zastrzeżenia tajemnicy wobec konkurenta — jeśli po zapoznaniu się z pełną treścią Izba uzna zastrzeżenie za nadmierne, może nakazać odtajnienie części informacji; to procedura, nie automatyczne uchylenie utajnienia.</w:t>
            </w:r>
          </w:p>
        </w:tc>
      </w:tr>
      <w:tr>
        <w:tc>
          <w:tcPr>
            <w:tcW w:type="dxa" w:w="1600"/>
          </w:tcPr>
          <w:p>
            <w:r>
              <w:rPr>
                <w:b w:val="false"/>
                <w:bCs w:val="false"/>
                <w:sz w:val="18"/>
                <w:szCs w:val="18"/>
              </w:rPr>
              <w:t xml:space="preserve">Dopuszczalność nowych wymagań (klucze, audyt)</w:t>
            </w:r>
          </w:p>
        </w:tc>
        <w:tc>
          <w:tcPr>
            <w:tcW w:type="dxa" w:w="2600"/>
          </w:tcPr>
          <w:p>
            <w:r>
              <w:rPr>
                <w:b w:val="false"/>
                <w:bCs w:val="false"/>
                <w:sz w:val="18"/>
                <w:szCs w:val="18"/>
              </w:rPr>
              <w:t xml:space="preserve">Nowe wymagania stanowią istotną zmianę zakresu i ceny zamówienia, wymagającą nowego postępowania, a nie modyfikacji zawartej/planowanej umowy.</w:t>
            </w:r>
          </w:p>
        </w:tc>
        <w:tc>
          <w:tcPr>
            <w:tcW w:type="dxa" w:w="2600"/>
          </w:tcPr>
          <w:p>
            <w:r>
              <w:rPr>
                <w:b w:val="false"/>
                <w:bCs w:val="false"/>
                <w:sz w:val="18"/>
                <w:szCs w:val="18"/>
              </w:rPr>
              <w:t xml:space="preserve">Wejście w życie nowelizacji ustawy o KSC wdrażającej NIS2 to obiektywna, nieprzewidywalna w dacie wszczęcia postępowania okoliczność prawna uzasadniająca zmianę w trybie art. 455 PZP, zwłaszcza przy zamówieniu strategicznym dla bezpieczeństwa publicznego.</w:t>
            </w:r>
          </w:p>
        </w:tc>
        <w:tc>
          <w:tcPr>
            <w:tcW w:type="dxa" w:w="2600"/>
          </w:tcPr>
          <w:p>
            <w:r>
              <w:rPr>
                <w:b w:val="false"/>
                <w:bCs w:val="false"/>
                <w:sz w:val="18"/>
                <w:szCs w:val="18"/>
              </w:rPr>
              <w:t xml:space="preserve">Rozstrzygające jest ustalenie chronologii: data wszczęcia postępowania o zamówienie względem daty wejścia w życie nowelizacji KSC (2 kwietnia 2026 r.) — jeśli postępowanie wszczęto po tej dacie, argument 'nieprzewidywalności' jest znacznie słabszy i wymaga innego uzasadnienia zmiany.</w:t>
            </w:r>
          </w:p>
        </w:tc>
      </w:tr>
    </w:tbl>
    <w:p>
      <w:pPr>
        <w:spacing w:after="150"/>
      </w:pPr>
    </w:p>
    <w:p>
      <w:pPr>
        <w:pStyle w:val="Heading2"/>
        <w:spacing w:after="150" w:before="300"/>
      </w:pPr>
      <w:r>
        <w:t xml:space="preserve">5. Braki faktyczne i dowody rozstrzygające</w:t>
      </w:r>
    </w:p>
    <w:p>
      <w:pPr>
        <w:pStyle w:val="ListParagraph"/>
        <w:numPr>
          <w:ilvl w:val="0"/>
          <w:numId w:val="1"/>
        </w:numPr>
        <w:spacing w:after="80"/>
      </w:pPr>
      <w:r>
        <w:t xml:space="preserve">Brak treści opisu metody oceny kryterium 'suwerenności technologicznej' w dokumentacji zamówienia — rozstrzygające dla zarzutu nietransparentności.</w:t>
      </w:r>
    </w:p>
    <w:p>
      <w:pPr>
        <w:pStyle w:val="ListParagraph"/>
        <w:numPr>
          <w:ilvl w:val="0"/>
          <w:numId w:val="1"/>
        </w:numPr>
        <w:spacing w:after="80"/>
      </w:pPr>
      <w:r>
        <w:t xml:space="preserve">Nie ustalono treści zobowiązania do udostępnienia zasobów między konsorcjum a spółką z grupy — kluczowe dla oceny zasadności powołania się na jej referencje.</w:t>
      </w:r>
    </w:p>
    <w:p>
      <w:pPr>
        <w:pStyle w:val="ListParagraph"/>
        <w:numPr>
          <w:ilvl w:val="0"/>
          <w:numId w:val="1"/>
        </w:numPr>
        <w:spacing w:after="80"/>
      </w:pPr>
      <w:r>
        <w:t xml:space="preserve">Brak dokładnej daty wszczęcia postępowania o zamówienie względem daty wejścia w życie znowelizowanej ustawy o KSC (2 kwietnia 2026 r.) — rozstrzygające dla oceny dopuszczalności zmiany umowy w trybie art. 455 PZP.</w:t>
      </w:r>
    </w:p>
    <w:p>
      <w:pPr>
        <w:pStyle w:val="ListParagraph"/>
        <w:numPr>
          <w:ilvl w:val="0"/>
          <w:numId w:val="1"/>
        </w:numPr>
        <w:spacing w:after="80"/>
      </w:pPr>
      <w:r>
        <w:t xml:space="preserve">Nie wskazano zakresu i przyczyny incydentu u dostawcy chmury ani czy dotyczył on bezpośrednio danych/infrastruktury relewantnej dla zamówienia metropolii.</w:t>
      </w:r>
    </w:p>
    <w:p>
      <w:pPr>
        <w:pStyle w:val="ListParagraph"/>
        <w:numPr>
          <w:ilvl w:val="0"/>
          <w:numId w:val="1"/>
        </w:numPr>
        <w:spacing w:after="80"/>
      </w:pPr>
      <w:r>
        <w:t xml:space="preserve">Zakaz dopowiadania faktów: nie zakładam, że utajnienie wyjaśnień konsorcjum miało charakter celowo obstrukcyjny — kazus stwierdza fakt utajnienia 'znacznej części', nie ujawniając motywacji, co wymaga oceny przez pryzmat obiektywnego testu niezbędności ochrony, nie domniemanej złej wiary.</w:t>
      </w:r>
    </w:p>
    <w:p>
      <w:pPr>
        <w:pStyle w:val="Heading2"/>
        <w:spacing w:after="150" w:before="300"/>
      </w:pPr>
      <w:r>
        <w:t xml:space="preserve">6. Rozstrzygnięcie i środek naprawczy</w:t>
      </w:r>
    </w:p>
    <w:p>
      <w:pPr>
        <w:spacing w:after="140"/>
      </w:pPr>
      <w:r>
        <w:t xml:space="preserve">KIO powinna: (1) uwzględnić odwołanie w części dotyczącej nietransparentności kryterium 'suwerenności technologicznej', nakazując zamawiającemu doprecyzowanie metody oceny przed dalszym procedowaniem; (2) zbadać treść zobowiązania konsorcjum do udostępnienia zasobów spółki z grupy i orzec o zasadności oferty w zależności od jego istnienia i treści; (3) nakazać częściowe odtajnienie wyjaśnień w zakresie niezbędnym do weryfikacji zgodności oferty, pozostawiając ochronę rzeczywiście wrażliwych elementów handlowych; (4) ocenić dopuszczalność wprowadzenia nowych wymagań (lokalne klucze, prawo audytu) w świetle daty wszczęcia postępowania względem wejścia w życie nowelizacji KSC, dopuszczając zmianę w trybie art. 455 PZP, jeśli przesłanki nieprzewidywalności są spełnione; (5) rozważyć wniosek o uchylenie zakazu zawarcia umowy wyłącznie po wykazaniu konkretnego, udokumentowanego ryzyka przerwania usług publicznych przez obecny, podatny system.</w:t>
      </w:r>
    </w:p>
    <w:p>
      <w:pPr>
        <w:spacing w:after="140"/>
      </w:pPr>
      <w:r>
        <w:t xml:space="preserve">Środek naprawczy: nakaz powtórzenia oceny ofert po doprecyzowaniu kryterium 'suwerenności' i częściowym odtajnieniu wyjaśnień + warunkowe dopuszczenie podpisania umowy z uwzględnieniem nowych wymagań cyberbezpieczeństwa jako aneksu zgodnego z art. 455 PZP, pod nadzorem CSIRT właściwego dla tego sektora.</w:t>
      </w:r>
    </w:p>
    <w:p>
      <w:pPr>
        <w:pStyle w:val="Heading3"/>
        <w:spacing w:after="100" w:before="200"/>
      </w:pPr>
      <w:r>
        <w:t xml:space="preserve">Uwagi metodologiczne / status weryfikacji ISAP</w:t>
      </w:r>
    </w:p>
    <w:p>
      <w:pPr>
        <w:spacing w:after="140"/>
      </w:pPr>
      <w:r>
        <w:rPr>
          <w:i/>
          <w:iCs/>
          <w:sz w:val="20"/>
          <w:szCs w:val="20"/>
        </w:rPr>
        <w:t xml:space="preserve">Zweryfikowano online istotną zmianę stanu prawnego: znowelizowana ustawa o krajowym systemie cyberbezpieczeństwa transponująca dyrektywę NIS2 (Dz. Parl. Eur. i Rady (UE) 2022/2555) — uchwalona przez Sejm 23 stycznia 2026 r., podpisana przez Prezydenta 19 lutego 2026 r., opublikowana 2 marca 2026 r. (tekst jednolity Dz.U. 2026 poz. 20, nowelizacja Dz.U. 2026 poz. 252), w mocy od 2 kwietnia 2026 r., z 12-miesięcznym okresem dostosowawczym dla podmiotów do 2 kwietnia 2027 r. (źródła: trecom.pl, langasconsulting.pl, gov.pl/baza-wiedzy, dziennikustaw.gov.pl — wyszukiwanie z 2 września 2026). To istotna aktualizacja względem stanu wskazanego w materiałach źródłowych banku kazusów (Dz.U. 2018 poz. 1560), którą należy uwzględnić jako aktualnie obowiązującą. Prawo zamówień publicznych (Dz.U. 2019 poz. 2019) i RODO pozostają w stabilnym stanie — numery artykułów PZP dot. zmiany umowy i zakazu jej zawarcia w toku odwołania wymagają odrębnej weryfikacji aktualnego brzmienia w ISAP przed użyciem zawodowym.</w:t>
      </w:r>
    </w:p>
    <w:p>
      <w:r>
        <w:br w:type="page"/>
      </w:r>
    </w:p>
    <w:p>
      <w:pPr>
        <w:spacing w:after="60"/>
      </w:pPr>
      <w:r>
        <w:rPr>
          <w:b/>
          <w:bCs/>
          <w:color w:val="1F3864"/>
          <w:sz w:val="32"/>
          <w:szCs w:val="32"/>
        </w:rPr>
        <w:t xml:space="preserve">PL-06  Karuzela, faktoring i milczący zarząd</w:t>
      </w:r>
    </w:p>
    <w:p>
      <w:pPr>
        <w:spacing w:after="200"/>
      </w:pPr>
      <w:r>
        <w:rPr>
          <w:i/>
          <w:iCs/>
          <w:sz w:val="22"/>
          <w:szCs w:val="22"/>
        </w:rPr>
        <w:t xml:space="preserve">VAT, KKS, AML, odpowiedzialność organów spółki i dowody cyfrowe</w:t>
      </w:r>
    </w:p>
    <w:p>
      <w:pPr>
        <w:spacing w:after="60"/>
      </w:pPr>
      <w:r>
        <w:rPr>
          <w:b/>
          <w:bCs/>
        </w:rPr>
        <w:t xml:space="preserve">Poziom: </w:t>
      </w:r>
      <w:r>
        <w:t xml:space="preserve">ekstremalna</w:t>
      </w:r>
    </w:p>
    <w:p>
      <w:pPr>
        <w:spacing w:after="60"/>
      </w:pPr>
      <w:r>
        <w:rPr>
          <w:b/>
          <w:bCs/>
        </w:rPr>
        <w:t xml:space="preserve">Sugerowany czas: </w:t>
      </w:r>
      <w:r>
        <w:t xml:space="preserve">6–8 godzin</w:t>
      </w:r>
    </w:p>
    <w:p>
      <w:pPr>
        <w:spacing w:after="60"/>
      </w:pPr>
      <w:r>
        <w:rPr>
          <w:b/>
          <w:bCs/>
        </w:rPr>
        <w:t xml:space="preserve">Role: </w:t>
      </w:r>
      <w:r>
        <w:t xml:space="preserve">spółka; zarząd; dyrektor finansowy; bank; faktor; KAS; prokuratura</w:t>
      </w:r>
    </w:p>
    <w:p>
      <w:pPr>
        <w:spacing w:after="100"/>
      </w:pPr>
    </w:p>
    <w:p>
      <w:pPr>
        <w:pStyle w:val="Heading2"/>
        <w:spacing w:after="150" w:before="300"/>
      </w:pPr>
      <w:r>
        <w:t xml:space="preserve">1. Teza wstępna</w:t>
      </w:r>
    </w:p>
    <w:p>
      <w:pPr>
        <w:spacing w:after="140"/>
      </w:pPr>
      <w:r>
        <w:t xml:space="preserve">Zgłoszony przez dyrektora finansowego brak magazynu dostawcy i powtarzające się numery dokumentów transportowych to klasyczne 'czerwone flagi' karuzeli VAT, których zignorowanie przez prezesa (kontynuacja handlu mimo krótkiego, powierzchownego przeglądu) może uzasadniać zarówno zakwestionowanie dobrej wiary spółki przy odliczeniu VAT na gruncie prawa podatkowego (utrata prawa do odliczenia przy wiedzy lub możliwości powzięcia wiedzy o udziale w oszustwie — linia orzecznicza TSUE Kittel/Recolta), jak i osobistą odpowiedzialność karnoskarbową prezesa z Kodeksu karnego skarbowego, odrębną od odpowiedzialności spółki; wiedza i decyzje poszczególnych osób (dyrektor finansowy zgłaszający sygnały ostrzegawcze vs. prezes decydujący o kontynuacji) wymagają zindywidualizowanej oceny strony podmiotowej — sam status członka zarządu nie przesądza o winie, decyduje rzeczywisty zakres wiedzy i wpływu na decyzję; zamknięcie alertów AML przez bank po wyjaśnieniach faktora, a następnie złożenie zawiadomienia po kontroli KAS, rodzi pytanie o zakres należytej staranności banku w systemie przeciwdziałania praniu pieniędzy, ocenianej odrębnie od odpowiedzialności spółki; zabezpieczenie korespondencji z prawnikami przez prokuraturę budzi zastrzeżenia co do naruszenia tajemnicy obrończej/adwokackiej i wymaga odrębnej procedury wyłączenia takich materiałów z materiału dowodowego.</w:t>
      </w:r>
    </w:p>
    <w:p>
      <w:pPr>
        <w:pStyle w:val="Heading2"/>
        <w:spacing w:after="150" w:before="300"/>
      </w:pPr>
      <w:r>
        <w:t xml:space="preserve">2. Mapa jurysdykcji, źródeł prawa i kompetencji organów</w:t>
      </w:r>
    </w:p>
    <w:p>
      <w:pPr>
        <w:pStyle w:val="ListParagraph"/>
        <w:numPr>
          <w:ilvl w:val="0"/>
          <w:numId w:val="1"/>
        </w:numPr>
        <w:spacing w:after="80"/>
      </w:pPr>
      <w:r>
        <w:t xml:space="preserve">Organ podatkowy (Naczelnik Urzędu Celno-Skarbowego / Dyrektor Izby Administracji Skarbowej) — postępowanie w zakresie kwestionowania prawa do odliczenia VAT i rozliczenia dostaw wewnątrzwspólnotowych (ustawa o VAT, Dz.U. 2004 poz. 535 z późn. zm.).</w:t>
      </w:r>
    </w:p>
    <w:p>
      <w:pPr>
        <w:pStyle w:val="ListParagraph"/>
        <w:numPr>
          <w:ilvl w:val="0"/>
          <w:numId w:val="1"/>
        </w:numPr>
        <w:spacing w:after="80"/>
      </w:pPr>
      <w:r>
        <w:t xml:space="preserve">Prokuratura / sąd karny — postępowanie karnoskarbowe na podstawie Kodeksu karnego skarbowego (Dz.U. 1999 poz. 930 z późn. zm.) wobec osób fizycznych odpowiedzialnych za rozliczenia podatkowe spółki, ewentualnie równolegle postępowanie karne powszechne (oszustwo, udział w zorganizowanej grupie).</w:t>
      </w:r>
    </w:p>
    <w:p>
      <w:pPr>
        <w:pStyle w:val="ListParagraph"/>
        <w:numPr>
          <w:ilvl w:val="0"/>
          <w:numId w:val="1"/>
        </w:numPr>
        <w:spacing w:after="80"/>
      </w:pPr>
      <w:r>
        <w:t xml:space="preserve">Generalny Inspektor Informacji Finansowej / bank — obowiązki analizy i raportowania w systemie przeciwdziałania praniu pieniędzy (ustawa AML, Dz.U. 2018 poz. 723 z późn. zm.) — ocena, czy zamknięcie alertów po wyjaśnieniach faktora spełniało standard należytej staranności instytucji obowiązanej.</w:t>
      </w:r>
    </w:p>
    <w:p>
      <w:pPr>
        <w:pStyle w:val="ListParagraph"/>
        <w:numPr>
          <w:ilvl w:val="0"/>
          <w:numId w:val="1"/>
        </w:numPr>
        <w:spacing w:after="80"/>
      </w:pPr>
      <w:r>
        <w:t xml:space="preserve">Sąd gospodarczy — spór cywilny między spółką a faktorem o wypowiedzenie umowy faktoringu i wykup wierzytelności (prawo cywilne/handlowe).</w:t>
      </w:r>
    </w:p>
    <w:p>
      <w:pPr>
        <w:pStyle w:val="ListParagraph"/>
        <w:numPr>
          <w:ilvl w:val="0"/>
          <w:numId w:val="1"/>
        </w:numPr>
        <w:spacing w:after="80"/>
      </w:pPr>
      <w:r>
        <w:t xml:space="preserve">Sąd rejestrowy / postępowanie o odpowiedzialność członków zarządu — odpowiedzialność cywilna wobec spółki i akcjonariuszy za brak należytej staranności i nadzoru (Kodeks spółek handlowych, Dz.U. 2000 poz. 1037 z późn. zm.).</w:t>
      </w:r>
    </w:p>
    <w:p>
      <w:pPr>
        <w:pStyle w:val="ListParagraph"/>
        <w:numPr>
          <w:ilvl w:val="0"/>
          <w:numId w:val="1"/>
        </w:numPr>
        <w:spacing w:after="80"/>
      </w:pPr>
      <w:r>
        <w:t xml:space="preserve">Sąd karny — kontrola legalności zabezpieczenia korespondencji z prawnikami pod kątem naruszenia tajemnicy obrończej.</w:t>
      </w:r>
    </w:p>
    <w:p>
      <w:pPr>
        <w:pStyle w:val="Heading2"/>
        <w:spacing w:after="150" w:before="300"/>
      </w:pPr>
      <w:r>
        <w:t xml:space="preserve">3. Przesłanki roszczeń / zarzutów / środków ochrony</w:t>
      </w:r>
    </w:p>
    <w:p>
      <w:pPr>
        <w:pStyle w:val="Heading3"/>
        <w:spacing w:after="100" w:before="200"/>
      </w:pPr>
      <w:r>
        <w:t xml:space="preserve">Prawo do odliczenia VAT a dobra wiara nabywcy</w:t>
      </w:r>
    </w:p>
    <w:p>
      <w:pPr>
        <w:pStyle w:val="ListParagraph"/>
        <w:numPr>
          <w:ilvl w:val="0"/>
          <w:numId w:val="1"/>
        </w:numPr>
        <w:spacing w:after="80"/>
      </w:pPr>
      <w:r>
        <w:t xml:space="preserve">Zgodnie z ugruntowaną linią orzeczniczą TSUE (Kittel i Recolta Recycling), prawo do odliczenia VAT może zostać odmówione, jeżeli na podstawie obiektywnych okoliczności wykazano, że podatnik wiedział lub powinien był wiedzieć, iż transakcja stanowi element oszustwa w łańcuchu dostaw.</w:t>
      </w:r>
    </w:p>
    <w:p>
      <w:pPr>
        <w:pStyle w:val="ListParagraph"/>
        <w:numPr>
          <w:ilvl w:val="0"/>
          <w:numId w:val="1"/>
        </w:numPr>
        <w:spacing w:after="80"/>
      </w:pPr>
      <w:r>
        <w:t xml:space="preserve">Zgłoszone przez dyrektora finansowego czerwone flagi (brak magazynu, powtarzające się numery transportowe, częste zmiany rachunków dostawców) są typowymi wskaźnikami ryzyka karuzeli VAT — ich zignorowanie po jedynie krótkim przeglądzie osłabia argument dobrej wiary spółki.</w:t>
      </w:r>
    </w:p>
    <w:p>
      <w:pPr>
        <w:pStyle w:val="Heading3"/>
        <w:spacing w:after="100" w:before="200"/>
      </w:pPr>
      <w:r>
        <w:t xml:space="preserve">Odpowiedzialność karnoskarbowa (KKS)</w:t>
      </w:r>
    </w:p>
    <w:p>
      <w:pPr>
        <w:pStyle w:val="ListParagraph"/>
        <w:numPr>
          <w:ilvl w:val="0"/>
          <w:numId w:val="1"/>
        </w:numPr>
        <w:spacing w:after="80"/>
      </w:pPr>
      <w:r>
        <w:t xml:space="preserve">Odpowiedzialność za przestępstwa/wykroczenia skarbowe związane z nierzetelnym rozliczeniem VAT ma charakter indywidualny — wymaga wykazania strony podmiotowej (umyślności lub, w zależności od typu czynu, nieumyślności) konkretnej osoby decyzyjnej, nie automatycznego przypisania całemu zarządowi.</w:t>
      </w:r>
    </w:p>
    <w:p>
      <w:pPr>
        <w:pStyle w:val="ListParagraph"/>
        <w:numPr>
          <w:ilvl w:val="0"/>
          <w:numId w:val="1"/>
        </w:numPr>
        <w:spacing w:after="80"/>
      </w:pPr>
      <w:r>
        <w:t xml:space="preserve">Rozróżnienie ról: dyrektor finansowy, który zgłosił zastrzeżenia, ma słabszą podstawę do przypisania winy niż prezes, który zlecił jedynie krótki przegląd i kontynuował handel mimo sygnałów ostrzegawczych.</w:t>
      </w:r>
    </w:p>
    <w:p>
      <w:pPr>
        <w:pStyle w:val="Heading3"/>
        <w:spacing w:after="100" w:before="200"/>
      </w:pPr>
      <w:r>
        <w:t xml:space="preserve">Należyta staranność banku (AML)</w:t>
      </w:r>
    </w:p>
    <w:p>
      <w:pPr>
        <w:pStyle w:val="ListParagraph"/>
        <w:numPr>
          <w:ilvl w:val="0"/>
          <w:numId w:val="1"/>
        </w:numPr>
        <w:spacing w:after="80"/>
      </w:pPr>
      <w:r>
        <w:t xml:space="preserve">Instytucja obowiązana musi stosować środki bezpieczeństwa finansowego proporcjonalne do ryzyka i nie może opierać zamknięcia alertu wyłącznie na wyjaśnieniach podmiotu trzeciego (faktora) bez własnej weryfikacji, zwłaszcza przy nietypowym wzorcu transakcji.</w:t>
      </w:r>
    </w:p>
    <w:p>
      <w:pPr>
        <w:pStyle w:val="ListParagraph"/>
        <w:numPr>
          <w:ilvl w:val="0"/>
          <w:numId w:val="1"/>
        </w:numPr>
        <w:spacing w:after="80"/>
      </w:pPr>
      <w:r>
        <w:t xml:space="preserve">Ponowne złożenie zawiadomienia po kontroli KAS, a nie w momencie pierwotnych alertów, może wskazywać na niedostateczną reakcję na wcześniejsze sygnały ryzyka.</w:t>
      </w:r>
    </w:p>
    <w:p>
      <w:pPr>
        <w:pStyle w:val="Heading3"/>
        <w:spacing w:after="100" w:before="200"/>
      </w:pPr>
      <w:r>
        <w:t xml:space="preserve">Odpowiedzialność cywilna członków zarządu wobec spółki</w:t>
      </w:r>
    </w:p>
    <w:p>
      <w:pPr>
        <w:pStyle w:val="ListParagraph"/>
        <w:numPr>
          <w:ilvl w:val="0"/>
          <w:numId w:val="1"/>
        </w:numPr>
        <w:spacing w:after="80"/>
      </w:pPr>
      <w:r>
        <w:t xml:space="preserve">Członkowie zarządu odpowiadają wobec spółki za szkodę wyrządzoną działaniem lub zaniechaniem sprzecznym z prawem lub postanowieniami umowy/statutu spółki, chyba że nie ponoszą winy — brak reakcji na zgłoszone czerwone flagi compliance może stanowić podstawę takiej odpowiedzialności niezależnie od odpowiedzialności karnoskarbowej.</w:t>
      </w:r>
    </w:p>
    <w:p>
      <w:pPr>
        <w:pStyle w:val="Heading3"/>
        <w:spacing w:after="100" w:before="200"/>
      </w:pPr>
      <w:r>
        <w:t xml:space="preserve">Ochrona tajemnicy obrończej/adwokackiej przy zabezpieczeniu korespondencji</w:t>
      </w:r>
    </w:p>
    <w:p>
      <w:pPr>
        <w:pStyle w:val="ListParagraph"/>
        <w:numPr>
          <w:ilvl w:val="0"/>
          <w:numId w:val="1"/>
        </w:numPr>
        <w:spacing w:after="80"/>
      </w:pPr>
      <w:r>
        <w:t xml:space="preserve">Korespondencja z prawnikami dotycząca obrony/doradztwa prawnego podlega szczególnej ochronie procesowej — jej zabezpieczenie i wykorzystanie w postępowaniu karnym wymaga odrębnej procedury (np. wyłączenia spod przeszukania, kontroli sądowej) i co do zasady nie powinno być włączone do materiału dowodowego bez takiej kontroli.</w:t>
      </w:r>
    </w:p>
    <w:p>
      <w:pPr>
        <w:pStyle w:val="ListParagraph"/>
        <w:numPr>
          <w:ilvl w:val="0"/>
          <w:numId w:val="1"/>
        </w:numPr>
        <w:spacing w:after="80"/>
      </w:pPr>
      <w:r>
        <w:t xml:space="preserve">Automatyczne usunięcie części wiadomości nie zwalnia organów z obowiązku wykazania, że pozostały materiał nie narusza tej ochrony.</w:t>
      </w:r>
    </w:p>
    <w:p>
      <w:pPr>
        <w:pStyle w:val="Heading2"/>
        <w:spacing w:after="150" w:before="300"/>
      </w:pPr>
      <w:r>
        <w:t xml:space="preserve">4. Macierz argumentów stron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1F3864" w:val="clear"/>
          </w:tcPr>
          <w:p>
            <w:r>
              <w:rPr>
                <w:b/>
                <w:bCs/>
                <w:color w:val="FFFFFF"/>
                <w:sz w:val="20"/>
                <w:szCs w:val="20"/>
              </w:rPr>
              <w:t xml:space="preserve">Kwestia</w:t>
            </w:r>
          </w:p>
        </w:tc>
        <w:tc>
          <w:tcPr>
            <w:tcW w:type="dxa" w:w="2600"/>
            <w:shd w:fill="1F3864" w:val="clear"/>
          </w:tcPr>
          <w:p>
            <w:r>
              <w:rPr>
                <w:b/>
                <w:bCs/>
                <w:color w:val="FFFFFF"/>
                <w:sz w:val="20"/>
                <w:szCs w:val="20"/>
              </w:rPr>
              <w:t xml:space="preserve">Argument strony A</w:t>
            </w:r>
          </w:p>
        </w:tc>
        <w:tc>
          <w:tcPr>
            <w:tcW w:type="dxa" w:w="2600"/>
            <w:shd w:fill="1F3864" w:val="clear"/>
          </w:tcPr>
          <w:p>
            <w:r>
              <w:rPr>
                <w:b/>
                <w:bCs/>
                <w:color w:val="FFFFFF"/>
                <w:sz w:val="20"/>
                <w:szCs w:val="20"/>
              </w:rPr>
              <w:t xml:space="preserve">Argument strony B</w:t>
            </w:r>
          </w:p>
        </w:tc>
        <w:tc>
          <w:tcPr>
            <w:tcW w:type="dxa" w:w="2600"/>
            <w:shd w:fill="1F3864" w:val="clear"/>
          </w:tcPr>
          <w:p>
            <w:r>
              <w:rPr>
                <w:b/>
                <w:bCs/>
                <w:color w:val="FFFFFF"/>
                <w:sz w:val="20"/>
                <w:szCs w:val="20"/>
              </w:rPr>
              <w:t xml:space="preserve">Kluczowa kontra / uwaga</w:t>
            </w:r>
          </w:p>
        </w:tc>
      </w:tr>
      <w:tr>
        <w:tc>
          <w:tcPr>
            <w:tcW w:type="dxa" w:w="1600"/>
          </w:tcPr>
          <w:p>
            <w:r>
              <w:rPr>
                <w:b w:val="false"/>
                <w:bCs w:val="false"/>
                <w:sz w:val="18"/>
                <w:szCs w:val="18"/>
              </w:rPr>
              <w:t xml:space="preserve">Dobra wiara spółki przy odliczeniu VAT</w:t>
            </w:r>
          </w:p>
        </w:tc>
        <w:tc>
          <w:tcPr>
            <w:tcW w:type="dxa" w:w="2600"/>
          </w:tcPr>
          <w:p>
            <w:r>
              <w:rPr>
                <w:b w:val="false"/>
                <w:bCs w:val="false"/>
                <w:sz w:val="18"/>
                <w:szCs w:val="18"/>
              </w:rPr>
              <w:t xml:space="preserve">Spółka podjęła należytą staranność — dyrektor finansowy przeprowadził weryfikację, a prezes zlecił przegląd po zgłoszonych wątpliwościach.</w:t>
            </w:r>
          </w:p>
        </w:tc>
        <w:tc>
          <w:tcPr>
            <w:tcW w:type="dxa" w:w="2600"/>
          </w:tcPr>
          <w:p>
            <w:r>
              <w:rPr>
                <w:b w:val="false"/>
                <w:bCs w:val="false"/>
                <w:sz w:val="18"/>
                <w:szCs w:val="18"/>
              </w:rPr>
              <w:t xml:space="preserve">Krótki, powierzchowny przegląd przy jednoczesnej kontynuacji handlu na dotychczasową skalę, mimo jasnych czerwonych flag (brak magazynu, powtarzające się numery transportowe), nie spełnia standardu należytej staranności wymaganego przez linię Kittel/Recolta.</w:t>
            </w:r>
          </w:p>
        </w:tc>
        <w:tc>
          <w:tcPr>
            <w:tcW w:type="dxa" w:w="2600"/>
          </w:tcPr>
          <w:p>
            <w:r>
              <w:rPr>
                <w:b w:val="false"/>
                <w:bCs w:val="false"/>
                <w:sz w:val="18"/>
                <w:szCs w:val="18"/>
              </w:rPr>
              <w:t xml:space="preserve">Rozstrzygające jest porównanie zakresu i głębokości przeprowadzonego przeglądu z rangą zgłoszonych sygnałów ostrzegawczych — 'krótki przegląd' przy tak poważnych czerwonych flagach (brak magazynu to fundamentalna wątpliwość co do realności dostaw) silnie przemawia za stanowiskiem B.</w:t>
            </w:r>
          </w:p>
        </w:tc>
      </w:tr>
      <w:tr>
        <w:tc>
          <w:tcPr>
            <w:tcW w:type="dxa" w:w="1600"/>
          </w:tcPr>
          <w:p>
            <w:r>
              <w:rPr>
                <w:b w:val="false"/>
                <w:bCs w:val="false"/>
                <w:sz w:val="18"/>
                <w:szCs w:val="18"/>
              </w:rPr>
              <w:t xml:space="preserve">Indywidualna odpowiedzialność karnoskarbowa</w:t>
            </w:r>
          </w:p>
        </w:tc>
        <w:tc>
          <w:tcPr>
            <w:tcW w:type="dxa" w:w="2600"/>
          </w:tcPr>
          <w:p>
            <w:r>
              <w:rPr>
                <w:b w:val="false"/>
                <w:bCs w:val="false"/>
                <w:sz w:val="18"/>
                <w:szCs w:val="18"/>
              </w:rPr>
              <w:t xml:space="preserve">Cały zarząd ponosi odpowiedzialność solidarnie jako organ zarządzający spółką, niezależnie od podziału ról wewnętrznych.</w:t>
            </w:r>
          </w:p>
        </w:tc>
        <w:tc>
          <w:tcPr>
            <w:tcW w:type="dxa" w:w="2600"/>
          </w:tcPr>
          <w:p>
            <w:r>
              <w:rPr>
                <w:b w:val="false"/>
                <w:bCs w:val="false"/>
                <w:sz w:val="18"/>
                <w:szCs w:val="18"/>
              </w:rPr>
              <w:t xml:space="preserve">Odpowiedzialność karnoskarbowa jest ściśle indywidualna — dyrektor finansowy, który zgłosił zastrzeżenia i był przegłosowany/zignorowany, nie spełnia przesłanki strony podmiotowej wymaganej dla przypisania winy.</w:t>
            </w:r>
          </w:p>
        </w:tc>
        <w:tc>
          <w:tcPr>
            <w:tcW w:type="dxa" w:w="2600"/>
          </w:tcPr>
          <w:p>
            <w:r>
              <w:rPr>
                <w:b w:val="false"/>
                <w:bCs w:val="false"/>
                <w:sz w:val="18"/>
                <w:szCs w:val="18"/>
              </w:rPr>
              <w:t xml:space="preserve">KKS wymaga wykazania indywidualnej winy każdej osoby, nie zbiorowej odpowiedzialności organu — status 'dyrektora finansowego zgłaszającego zastrzeżenia' jest istotną okolicznością łagodzącą/wyłączającą, którą należy odróżnić od roli prezesa podejmującego ostateczną decyzję o kontynuacji.</w:t>
            </w:r>
          </w:p>
        </w:tc>
      </w:tr>
      <w:tr>
        <w:tc>
          <w:tcPr>
            <w:tcW w:type="dxa" w:w="1600"/>
          </w:tcPr>
          <w:p>
            <w:r>
              <w:rPr>
                <w:b w:val="false"/>
                <w:bCs w:val="false"/>
                <w:sz w:val="18"/>
                <w:szCs w:val="18"/>
              </w:rPr>
              <w:t xml:space="preserve">Staranność banku przy zamknięciu alertów AML</w:t>
            </w:r>
          </w:p>
        </w:tc>
        <w:tc>
          <w:tcPr>
            <w:tcW w:type="dxa" w:w="2600"/>
          </w:tcPr>
          <w:p>
            <w:r>
              <w:rPr>
                <w:b w:val="false"/>
                <w:bCs w:val="false"/>
                <w:sz w:val="18"/>
                <w:szCs w:val="18"/>
              </w:rPr>
              <w:t xml:space="preserve">Bank działał zgodnie ze standardową procedurą, opierając się na wyjaśnieniach uprawnionego podmiotu (faktora) jako wystarczającej podstawie zamknięcia alertu.</w:t>
            </w:r>
          </w:p>
        </w:tc>
        <w:tc>
          <w:tcPr>
            <w:tcW w:type="dxa" w:w="2600"/>
          </w:tcPr>
          <w:p>
            <w:r>
              <w:rPr>
                <w:b w:val="false"/>
                <w:bCs w:val="false"/>
                <w:sz w:val="18"/>
                <w:szCs w:val="18"/>
              </w:rPr>
              <w:t xml:space="preserve">Poleganie wyłącznie na wyjaśnieniach faktora, bez własnej pogłębionej weryfikacji przy nietypowym wzorcu transakcji (gwałtowny wzrost obrotu, płatności przez faktoring), nie spełnia standardu należytej staranności instytucji obowiązanej AML.</w:t>
            </w:r>
          </w:p>
        </w:tc>
        <w:tc>
          <w:tcPr>
            <w:tcW w:type="dxa" w:w="2600"/>
          </w:tcPr>
          <w:p>
            <w:r>
              <w:rPr>
                <w:b w:val="false"/>
                <w:bCs w:val="false"/>
                <w:sz w:val="18"/>
                <w:szCs w:val="18"/>
              </w:rPr>
              <w:t xml:space="preserve">Rozstrzygające jest ustalenie, czy wyjaśnienia faktora zawierały konkretne, weryfikowalne dane, czy jedynie ogólne zapewnienia — sama okoliczność 'zamknięcia po wyjaśnieniu' bez analizy jego treści nie pozwala jednoznacznie ocenić staranności banku.</w:t>
            </w:r>
          </w:p>
        </w:tc>
      </w:tr>
      <w:tr>
        <w:tc>
          <w:tcPr>
            <w:tcW w:type="dxa" w:w="1600"/>
          </w:tcPr>
          <w:p>
            <w:r>
              <w:rPr>
                <w:b w:val="false"/>
                <w:bCs w:val="false"/>
                <w:sz w:val="18"/>
                <w:szCs w:val="18"/>
              </w:rPr>
              <w:t xml:space="preserve">Ochrona zabezpieczonej korespondencji z prawnikami</w:t>
            </w:r>
          </w:p>
        </w:tc>
        <w:tc>
          <w:tcPr>
            <w:tcW w:type="dxa" w:w="2600"/>
          </w:tcPr>
          <w:p>
            <w:r>
              <w:rPr>
                <w:b w:val="false"/>
                <w:bCs w:val="false"/>
                <w:sz w:val="18"/>
                <w:szCs w:val="18"/>
              </w:rPr>
              <w:t xml:space="preserve">Zabezpieczenie całej poczty firmowej było proporcjonalne do zakresu śledztwa i nie wymagało odrębnej procedury wobec korespondencji prawnej.</w:t>
            </w:r>
          </w:p>
        </w:tc>
        <w:tc>
          <w:tcPr>
            <w:tcW w:type="dxa" w:w="2600"/>
          </w:tcPr>
          <w:p>
            <w:r>
              <w:rPr>
                <w:b w:val="false"/>
                <w:bCs w:val="false"/>
                <w:sz w:val="18"/>
                <w:szCs w:val="18"/>
              </w:rPr>
              <w:t xml:space="preserve">Korespondencja z prawnikami wymaga szczególnej ochrony proceduralnej niezależnie od zakresu ogólnego zabezpieczenia poczty — jej włączenie do materiału dowodowego bez odrębnej kontroli narusza tajemnicę obrończą.</w:t>
            </w:r>
          </w:p>
        </w:tc>
        <w:tc>
          <w:tcPr>
            <w:tcW w:type="dxa" w:w="2600"/>
          </w:tcPr>
          <w:p>
            <w:r>
              <w:rPr>
                <w:b w:val="false"/>
                <w:bCs w:val="false"/>
                <w:sz w:val="18"/>
                <w:szCs w:val="18"/>
              </w:rPr>
              <w:t xml:space="preserve">Standard ochrony tajemnicy obrończej jest wysoki i wymaga odrębnej procedury filtrowania (np. przez niezależny organ) niezależnie od praktycznych trudności prowadzenia śledztwa — to zagadnienie proceduralne, niezależne od meritum sprawy podatkowo-karnej.</w:t>
            </w:r>
          </w:p>
        </w:tc>
      </w:tr>
    </w:tbl>
    <w:p>
      <w:pPr>
        <w:spacing w:after="150"/>
      </w:pPr>
    </w:p>
    <w:p>
      <w:pPr>
        <w:pStyle w:val="Heading2"/>
        <w:spacing w:after="150" w:before="300"/>
      </w:pPr>
      <w:r>
        <w:t xml:space="preserve">5. Braki faktyczne i dowody rozstrzygające</w:t>
      </w:r>
    </w:p>
    <w:p>
      <w:pPr>
        <w:pStyle w:val="ListParagraph"/>
        <w:numPr>
          <w:ilvl w:val="0"/>
          <w:numId w:val="1"/>
        </w:numPr>
        <w:spacing w:after="80"/>
      </w:pPr>
      <w:r>
        <w:t xml:space="preserve">Brak dokładnej treści i zakresu przeglądu zleconego przez prezesa po zgłoszeniu wątpliwości przez dyrektora finansowego — rozstrzygające dla oceny dobrej wiary spółki i indywidualnej winy prezesa.</w:t>
      </w:r>
    </w:p>
    <w:p>
      <w:pPr>
        <w:pStyle w:val="ListParagraph"/>
        <w:numPr>
          <w:ilvl w:val="0"/>
          <w:numId w:val="1"/>
        </w:numPr>
        <w:spacing w:after="80"/>
      </w:pPr>
      <w:r>
        <w:t xml:space="preserve">Nie ustalono treści wyjaśnień faktora, na podstawie których bank zamknął alerty AML — kluczowe dla oceny staranności banku.</w:t>
      </w:r>
    </w:p>
    <w:p>
      <w:pPr>
        <w:pStyle w:val="ListParagraph"/>
        <w:numPr>
          <w:ilvl w:val="0"/>
          <w:numId w:val="1"/>
        </w:numPr>
        <w:spacing w:after="80"/>
      </w:pPr>
      <w:r>
        <w:t xml:space="preserve">Brak informacji o zakresie usuniętych automatycznie wiadomości i czy dotyczyły one rzeczywiście istotnych dla sprawy okoliczności — istotne dla oceny znaczenia luki dowodowej.</w:t>
      </w:r>
    </w:p>
    <w:p>
      <w:pPr>
        <w:pStyle w:val="ListParagraph"/>
        <w:numPr>
          <w:ilvl w:val="0"/>
          <w:numId w:val="1"/>
        </w:numPr>
        <w:spacing w:after="80"/>
      </w:pPr>
      <w:r>
        <w:t xml:space="preserve">Nie wskazano dokładnego zakresu wiedzy poszczególnych członków zarządu (poza dyrektorem finansowym i prezesem) o czerwonych flagach — rozstrzygające dla indywidualizacji odpowiedzialności pozostałych osób.</w:t>
      </w:r>
    </w:p>
    <w:p>
      <w:pPr>
        <w:pStyle w:val="ListParagraph"/>
        <w:numPr>
          <w:ilvl w:val="0"/>
          <w:numId w:val="1"/>
        </w:numPr>
        <w:spacing w:after="80"/>
      </w:pPr>
      <w:r>
        <w:t xml:space="preserve">Zakaz dopowiadania faktów: nie zakładam, że dyrektor finansowy współpracujący z organami czyni to w dobrej wierze lub w złej wierze (np. w celu przerzucenia winy) — kazus stwierdza fakt rozważania współpracy, nie przesądzając motywacji, co wymaga neutralnej oceny obu możliwości.</w:t>
      </w:r>
    </w:p>
    <w:p>
      <w:pPr>
        <w:pStyle w:val="Heading2"/>
        <w:spacing w:after="150" w:before="300"/>
      </w:pPr>
      <w:r>
        <w:t xml:space="preserve">6. Rozstrzygnięcie i środek naprawczy</w:t>
      </w:r>
    </w:p>
    <w:p>
      <w:pPr>
        <w:spacing w:after="140"/>
      </w:pPr>
      <w:r>
        <w:t xml:space="preserve">Organy powinny: (1) zakwestionować prawo spółki do odliczenia VAT w zakresie transakcji z dostawcami, wobec których zgłoszono czerwone flagi niewłaściwie zweryfikowane, zgodnie ze standardem Kittel/Recolta; (2) prowadzić postępowanie karnoskarbowe zindywidualizowane wobec prezesa (decyzja o kontynuacji mimo sygnałów) odrębnie od dyrektora finansowego (zgłaszający zastrzeżenia), z odmienną oceną strony podmiotowej każdego z nich; (3) zbadać odrębnie staranność banku w ramach nadzoru AML, niezależnie od odpowiedzialności spółki; (4) wyłączyć z materiału dowodowego korespondencję objętą tajemnicą obrończą po przeprowadzeniu odrębnej procedury filtrującej; (5) pozostawić spór cywilny ze spółką a faktorem o wykup wierzytelności do odrębnego postępowania gospodarczego.</w:t>
      </w:r>
    </w:p>
    <w:p>
      <w:pPr>
        <w:spacing w:after="140"/>
      </w:pPr>
      <w:r>
        <w:t xml:space="preserve">Środek naprawczy: decyzja podatkowa korygująca odliczenie VAT z odsetkami, ograniczona do transakcji z udokumentowanymi czerwonymi flagami + zindywidualizowane zarzuty karnoskarbowe wyłącznie wobec osób, którym można przypisać wymaganą stronę podmiotową + wniosek o kontrolę sądową zabezpieczenia korespondencji prawnej przed jej wykorzystaniem dowodowym.</w:t>
      </w:r>
    </w:p>
    <w:p>
      <w:pPr>
        <w:pStyle w:val="Heading3"/>
        <w:spacing w:after="100" w:before="200"/>
      </w:pPr>
      <w:r>
        <w:t xml:space="preserve">Kwalifikator karnomaterialny</w:t>
      </w:r>
    </w:p>
    <w:p>
      <w:pPr>
        <w:pStyle w:val="ListParagraph"/>
        <w:numPr>
          <w:ilvl w:val="0"/>
          <w:numId w:val="1"/>
        </w:numPr>
        <w:spacing w:after="80"/>
      </w:pPr>
      <w:r>
        <w:t xml:space="preserve">Kodeks karny skarbowy (Dz.U. 1999 poz. 930 z późn. zm.) — możliwe czyny obejmują nierzetelne prowadzenie ksiąg/wystawianie faktur niedokumentujących rzeczywistych transakcji (tzw. puste faktury) oraz uszczuplenie należności podatkowej (VAT); kwalifikacja wymaga ustalenia, czy dostawy faktycznie miały miejsce (element karuzeli — 'znikający podatnik' vs. rzeczywisty obrót towarem z nieprawidłowościami dokumentacyjnymi), co decyduje o wyborze między typem czynu związanym z fikcyjnością transakcji a typem związanym z nierzetelnym rozliczeniem rzeczywistych transakcji — rozróżnienie kluczowe i niemożliwe do jednoznacznego dokonania na podstawie samego stanu faktycznego kazusu; wymaga weryfikacji aktualnego brzmienia właściwych przepisów KKS w ISAP przed sformułowaniem ostatecznego zarzutu, czego w tym opracowaniu nie wykonano w pełnym zakresie.</w:t>
      </w:r>
    </w:p>
    <w:p>
      <w:pPr>
        <w:pStyle w:val="Heading3"/>
        <w:spacing w:after="100" w:before="200"/>
      </w:pPr>
      <w:r>
        <w:t xml:space="preserve">Uwagi metodologiczne / status weryfikacji ISAP</w:t>
      </w:r>
    </w:p>
    <w:p>
      <w:pPr>
        <w:spacing w:after="140"/>
      </w:pPr>
      <w:r>
        <w:rPr>
          <w:i/>
          <w:iCs/>
          <w:sz w:val="20"/>
          <w:szCs w:val="20"/>
        </w:rPr>
        <w:t xml:space="preserve">Ustawa o VAT (Dz.U. 2004 poz. 535 z późn. zm.), Kodeks karny skarbowy (Dz.U. 1999 poz. 930 z późn. zm.), ustawa AML (Dz.U. 2018 poz. 723 z późn. zm.) i Kodeks spółek handlowych (Dz.U. 2000 poz. 1037 z późn. zm.) to stabilne, wielokrotnie nowelizowane akty bazowe wskazane jako aktualnie obowiązujące w banku kazusów. Linia orzecznicza TSUE Kittel i Recolta Recycling (C-439/04 i C-440/04) dotycząca dobrej wiary przy odliczeniu VAT w łańcuchu z oszustwem karuzelowym to ugruntowane, stabilne orzecznictwo niewymagające dodatkowej weryfikacji online. Aktualne numery artykułów KKS dot. konkretnych typów czynów (puste faktury vs. uszczuplenie należności) oraz aktualne progi kwotowe rozgraniczające przestępstwo od wykroczenia skarbowego wymagają odrębnej weryfikacji w ISAP przed sformułowaniem zarzutu w praktyce zawodowej — nie wykonano jej w tym opracowaniu z uwagi na objętość materiału.</w:t>
      </w:r>
    </w:p>
    <w:p>
      <w:r>
        <w:br w:type="page"/>
      </w:r>
    </w:p>
    <w:p>
      <w:pPr>
        <w:spacing w:after="60"/>
      </w:pPr>
      <w:r>
        <w:rPr>
          <w:b/>
          <w:bCs/>
          <w:color w:val="1F3864"/>
          <w:sz w:val="32"/>
          <w:szCs w:val="32"/>
        </w:rPr>
        <w:t xml:space="preserve">PL-07  Deepfake w wyborach samorządowych</w:t>
      </w:r>
    </w:p>
    <w:p>
      <w:pPr>
        <w:spacing w:after="200"/>
      </w:pPr>
      <w:r>
        <w:rPr>
          <w:i/>
          <w:iCs/>
          <w:sz w:val="22"/>
          <w:szCs w:val="22"/>
        </w:rPr>
        <w:t xml:space="preserve">Tryb wyborczy, dobra osobiste, prawo autorskie, dane, DSA i dowody cyfrowe</w:t>
      </w:r>
    </w:p>
    <w:p>
      <w:pPr>
        <w:spacing w:after="60"/>
      </w:pPr>
      <w:r>
        <w:rPr>
          <w:b/>
          <w:bCs/>
        </w:rPr>
        <w:t xml:space="preserve">Poziom: </w:t>
      </w:r>
      <w:r>
        <w:t xml:space="preserve">ekstremalna</w:t>
      </w:r>
    </w:p>
    <w:p>
      <w:pPr>
        <w:spacing w:after="60"/>
      </w:pPr>
      <w:r>
        <w:rPr>
          <w:b/>
          <w:bCs/>
        </w:rPr>
        <w:t xml:space="preserve">Sugerowany czas: </w:t>
      </w:r>
      <w:r>
        <w:t xml:space="preserve">5–7 godzin</w:t>
      </w:r>
    </w:p>
    <w:p>
      <w:pPr>
        <w:spacing w:after="60"/>
      </w:pPr>
      <w:r>
        <w:rPr>
          <w:b/>
          <w:bCs/>
        </w:rPr>
        <w:t xml:space="preserve">Role: </w:t>
      </w:r>
      <w:r>
        <w:t xml:space="preserve">kandydatka; kontrkandydat; komitet; platforma; agencja; PKW</w:t>
      </w:r>
    </w:p>
    <w:p>
      <w:pPr>
        <w:spacing w:after="100"/>
      </w:pPr>
    </w:p>
    <w:p>
      <w:pPr>
        <w:pStyle w:val="Heading2"/>
        <w:spacing w:after="150" w:before="300"/>
      </w:pPr>
      <w:r>
        <w:t xml:space="preserve">1. Teza wstępna</w:t>
      </w:r>
    </w:p>
    <w:p>
      <w:pPr>
        <w:spacing w:after="140"/>
      </w:pPr>
      <w:r>
        <w:t xml:space="preserve">Polskie prawo nie przewiduje odrębnego typu czynu zabronionego 'stworzenia deepfake'a' — ochrona Leny Wilk musi być konstruowana przez istniejące instrumenty: szczególny tryb wyborczy ochrony dóbr osobistych z Kodeksu wyborczego (tryb pilny, wygaszający, nastawiony na sprostowanie/zaprzeczenie przed dniem głosowania), ogólną ochronę dóbr osobistych i wizerunku z Kodeksu cywilnego, ochronę autorskoprawną fragmentu prawdziwego wywiadu (jeśli wykorzystano utwór bez zgody uprawnionego) oraz reżim platformowy z Digital Services Act; koordynacja czasowa i personalna między formalnie niezależną fundacją, agencją reklamową i sztabem kontrkandydata (ta sama agencja i panel reklamowy) jest silną poszlaką służącą przełamaniu formalnej odrębności podmiotów dla celów odpowiedzialności za naruszenie ciszy/trybu wyborczego i dóbr osobistych, choć wymaga dalszego dowodu faktycznej koordynacji treści, nie tylko wspólnej obsługi logistycznej; udostępnienie filmu przez kontrkandydata z komentarzem sugerującym jego autentyczność, mimo oznaczenia platformy jako 'treść sporna', może samodzielnie uzasadniać jego odpowiedzialność za naruszenie dóbr osobistych niezależnie od odpowiedzialności twórcy oryginalnego materiału; platforma internetowa, działając pod reżimem DSA, ma obowiązek reakcji na zgłoszenie treści potencjalnie nielegalnej (notice-and-action) oraz zachowania danych umożliwiających identyfikację sponsora reklamy (biblioteka reklam) — samo oznaczenie jako 'treść sporna' bez usunięcia przy silnych wskazaniach nielegalności (deepfake dotyczący wyborów, wykryte ślady syntezy) może nie wystarczać do zwolnienia z odpowiedzialności.</w:t>
      </w:r>
    </w:p>
    <w:p>
      <w:pPr>
        <w:pStyle w:val="Heading2"/>
        <w:spacing w:after="150" w:before="300"/>
      </w:pPr>
      <w:r>
        <w:t xml:space="preserve">2. Mapa jurysdykcji, źródeł prawa i kompetencji organów</w:t>
      </w:r>
    </w:p>
    <w:p>
      <w:pPr>
        <w:pStyle w:val="ListParagraph"/>
        <w:numPr>
          <w:ilvl w:val="0"/>
          <w:numId w:val="1"/>
        </w:numPr>
        <w:spacing w:after="80"/>
      </w:pPr>
      <w:r>
        <w:t xml:space="preserve">Państwowa Komisja Wyborcza (PKW) i sąd okręgowy w trybie wyborczym — szczególny, przyspieszony tryb ochrony przed nieprawdziwymi informacjami w kampanii wyborczej (Kodeks wyborczy, Dz.U. 2011 poz. 112 z późn. zm.), nastawiony na szybkie orzeczenie zakazu rozpowszechniania i nakazu sprostowania przed dniem głosowania.</w:t>
      </w:r>
    </w:p>
    <w:p>
      <w:pPr>
        <w:pStyle w:val="ListParagraph"/>
        <w:numPr>
          <w:ilvl w:val="0"/>
          <w:numId w:val="1"/>
        </w:numPr>
        <w:spacing w:after="80"/>
      </w:pPr>
      <w:r>
        <w:t xml:space="preserve">Sąd cywilny — powództwo o ochronę dóbr osobistych (wizerunek, głos, cześć, godność) na zasadach ogólnych Kodeksu cywilnego, z możliwością zabezpieczenia roszczenia (zakaz dalszego rozpowszechniania) w trybie pilnym.</w:t>
      </w:r>
    </w:p>
    <w:p>
      <w:pPr>
        <w:pStyle w:val="ListParagraph"/>
        <w:numPr>
          <w:ilvl w:val="0"/>
          <w:numId w:val="1"/>
        </w:numPr>
        <w:spacing w:after="80"/>
      </w:pPr>
      <w:r>
        <w:t xml:space="preserve">Sąd cywilny — ewentualne roszczenia z tytułu naruszenia praw autorskich do fragmentu prawdziwego wywiadu wykorzystanego w materiale (ustawa o prawie autorskim i prawach pokrewnych, Dz.U. 1994 poz. 83 z późn. zm.), jeżeli wykorzystano utwór bez zgody uprawnionego i poza dozwolonym użytkiem.</w:t>
      </w:r>
    </w:p>
    <w:p>
      <w:pPr>
        <w:pStyle w:val="ListParagraph"/>
        <w:numPr>
          <w:ilvl w:val="0"/>
          <w:numId w:val="1"/>
        </w:numPr>
        <w:spacing w:after="80"/>
      </w:pPr>
      <w:r>
        <w:t xml:space="preserve">Organ nadzorujący stosowanie Digital Services Act (Koordynator ds. Usług Cyfrowych w Polsce / Komisja Europejska dla bardzo dużych platform) — obowiązki platformy w zakresie reagowania na zgłoszenia treści nielegalnych, przejrzystości reklamy politycznej i biblioteki reklam.</w:t>
      </w:r>
    </w:p>
    <w:p>
      <w:pPr>
        <w:pStyle w:val="ListParagraph"/>
        <w:numPr>
          <w:ilvl w:val="0"/>
          <w:numId w:val="1"/>
        </w:numPr>
        <w:spacing w:after="80"/>
      </w:pPr>
      <w:r>
        <w:t xml:space="preserve">AI Act (rozporządzenie UE 2024/1689, art. 50) — obowiązek oznaczania treści syntetycznych (deepfake) jako sztucznie wygenerowanych/zmanipulowanych, bezpośrednio stosowany od 2 sierpnia 2026 r. — istotny dla oceny obowiązków twórcy/dystrybutora materiału w dacie zdarzenia.</w:t>
      </w:r>
    </w:p>
    <w:p>
      <w:pPr>
        <w:pStyle w:val="ListParagraph"/>
        <w:numPr>
          <w:ilvl w:val="0"/>
          <w:numId w:val="1"/>
        </w:numPr>
        <w:spacing w:after="80"/>
      </w:pPr>
      <w:r>
        <w:t xml:space="preserve">Prokuratura — ewentualna odpowiedzialność karna na zasadach ogólnych (zniesławienie, inne przestępstwa przeciwko czci) — brak w polskim prawie odrębnego typu czynu 'stworzenia deepfake'a wyborczego' na datę zdarzenia.</w:t>
      </w:r>
    </w:p>
    <w:p>
      <w:pPr>
        <w:pStyle w:val="Heading2"/>
        <w:spacing w:after="150" w:before="300"/>
      </w:pPr>
      <w:r>
        <w:t xml:space="preserve">3. Przesłanki roszczeń / zarzutów / środków ochrony</w:t>
      </w:r>
    </w:p>
    <w:p>
      <w:pPr>
        <w:pStyle w:val="Heading3"/>
        <w:spacing w:after="100" w:before="200"/>
      </w:pPr>
      <w:r>
        <w:t xml:space="preserve">Szczególny tryb wyborczy ochrony (Kodeks wyborczy)</w:t>
      </w:r>
    </w:p>
    <w:p>
      <w:pPr>
        <w:pStyle w:val="ListParagraph"/>
        <w:numPr>
          <w:ilvl w:val="0"/>
          <w:numId w:val="1"/>
        </w:numPr>
        <w:spacing w:after="80"/>
      </w:pPr>
      <w:r>
        <w:t xml:space="preserve">Tryb ten chroni przed nieprawdziwymi informacjami i zarzutami rozpowszechnianymi w związku z wyborami wobec kandydatów — obejmuje zarówno pierwotnego twórcę/rozpowszechniającego materiał, jak i osoby dalej go udostępniające ze świadomością jego spornego charakteru.</w:t>
      </w:r>
    </w:p>
    <w:p>
      <w:pPr>
        <w:pStyle w:val="ListParagraph"/>
        <w:numPr>
          <w:ilvl w:val="0"/>
          <w:numId w:val="1"/>
        </w:numPr>
        <w:spacing w:after="80"/>
      </w:pPr>
      <w:r>
        <w:t xml:space="preserve">Krótki czas do ciszy wyborczej wymaga wykazania pilności i realnego ryzyka wpływu na wynik głosowania — trzy dni przed głosowaniem i szeroki zasięg w komunikatorach silnie przemawiają za spełnieniem tej przesłanki.</w:t>
      </w:r>
    </w:p>
    <w:p>
      <w:pPr>
        <w:pStyle w:val="Heading3"/>
        <w:spacing w:after="100" w:before="200"/>
      </w:pPr>
      <w:r>
        <w:t xml:space="preserve">Koordynacja fundacji, agencji i kontrkandydata</w:t>
      </w:r>
    </w:p>
    <w:p>
      <w:pPr>
        <w:pStyle w:val="ListParagraph"/>
        <w:numPr>
          <w:ilvl w:val="0"/>
          <w:numId w:val="1"/>
        </w:numPr>
        <w:spacing w:after="80"/>
      </w:pPr>
      <w:r>
        <w:t xml:space="preserve">Formalna odrębność podmiotów (fundacja, agencja, komitet kontrkandydata) nie wyklucza wspólnej odpowiedzialności, jeśli wykazana zostanie faktyczna koordynacja działań — wspólna obsługa przez tę samą agencję i panel reklamowy jest istotną poszlaką, ale nie automatycznym dowodem koordynacji treści (może to być zwykła relacja usługowa).</w:t>
      </w:r>
    </w:p>
    <w:p>
      <w:pPr>
        <w:pStyle w:val="ListParagraph"/>
        <w:numPr>
          <w:ilvl w:val="0"/>
          <w:numId w:val="1"/>
        </w:numPr>
        <w:spacing w:after="80"/>
      </w:pPr>
      <w:r>
        <w:t xml:space="preserve">Standard dowodu w postępowaniu cywilnym (przewaga prawdopodobieństwa) jest niższy niż w karnym — poszlaki organizacyjne mogą wystarczyć do przypisania odpowiedzialności cywilnej, nawet bez pełnego dowodu na etapie tworzenia treści.</w:t>
      </w:r>
    </w:p>
    <w:p>
      <w:pPr>
        <w:pStyle w:val="Heading3"/>
        <w:spacing w:after="100" w:before="200"/>
      </w:pPr>
      <w:r>
        <w:t xml:space="preserve">Roszczenia z tytułu dóbr osobistych, wizerunku, głosu i utworu</w:t>
      </w:r>
    </w:p>
    <w:p>
      <w:pPr>
        <w:pStyle w:val="ListParagraph"/>
        <w:numPr>
          <w:ilvl w:val="0"/>
          <w:numId w:val="1"/>
        </w:numPr>
        <w:spacing w:after="80"/>
      </w:pPr>
      <w:r>
        <w:t xml:space="preserve">Wykorzystanie wizerunku i głosu Leny Wilk w sposób wprowadzający w błąd co do autentyczności wypowiedzi narusza jej dobra osobiste niezależnie od kwalifikacji jako 'deepfake' — ochrona wynika z ogólnych przepisów o dobrach osobistych i ochronie wizerunku.</w:t>
      </w:r>
    </w:p>
    <w:p>
      <w:pPr>
        <w:pStyle w:val="ListParagraph"/>
        <w:numPr>
          <w:ilvl w:val="0"/>
          <w:numId w:val="1"/>
        </w:numPr>
        <w:spacing w:after="80"/>
      </w:pPr>
      <w:r>
        <w:t xml:space="preserve">Jeżeli wykorzystano fragment rzeczywistego wywiadu (utwór w rozumieniu prawa autorskiego) bez zgody uprawnionego i poza dozwolonym użytkiem (np. cytatem), powstaje odrębne roszczenie autorskoprawne, niezależne od roszczeń osobistych.</w:t>
      </w:r>
    </w:p>
    <w:p>
      <w:pPr>
        <w:pStyle w:val="Heading3"/>
        <w:spacing w:after="100" w:before="200"/>
      </w:pPr>
      <w:r>
        <w:t xml:space="preserve">Obowiązki platformy (DSA)</w:t>
      </w:r>
    </w:p>
    <w:p>
      <w:pPr>
        <w:pStyle w:val="ListParagraph"/>
        <w:numPr>
          <w:ilvl w:val="0"/>
          <w:numId w:val="1"/>
        </w:numPr>
        <w:spacing w:after="80"/>
      </w:pPr>
      <w:r>
        <w:t xml:space="preserve">Obowiązek notice-and-action: po otrzymaniu wiarygodnego zgłoszenia treści potencjalnie nielegalnej platforma musi podjąć działania (ocena, ewentualne usunięcie/ograniczenie widoczności) — samo oznaczenie jako 'treść sporna' bez dalszej reakcji może nie wystarczać przy silnych, konkretnych wskazaniach nielegalności (wykryte ślady syntezy, kontekst wyborczy).</w:t>
      </w:r>
    </w:p>
    <w:p>
      <w:pPr>
        <w:pStyle w:val="ListParagraph"/>
        <w:numPr>
          <w:ilvl w:val="0"/>
          <w:numId w:val="1"/>
        </w:numPr>
        <w:spacing w:after="80"/>
      </w:pPr>
      <w:r>
        <w:t xml:space="preserve">Biblioteka reklam politycznych wymaga pełnych, weryfikowalnych danych sponsora — jej niepełność jest samodzielnym naruszeniem obowiązków przejrzystości platformy, niezależnie od oceny samej treści reklamy.</w:t>
      </w:r>
    </w:p>
    <w:p>
      <w:pPr>
        <w:pStyle w:val="Heading3"/>
        <w:spacing w:after="100" w:before="200"/>
      </w:pPr>
      <w:r>
        <w:t xml:space="preserve">Standard dowodu autentyczności/syntezy w trybie pilnym</w:t>
      </w:r>
    </w:p>
    <w:p>
      <w:pPr>
        <w:pStyle w:val="ListParagraph"/>
        <w:numPr>
          <w:ilvl w:val="0"/>
          <w:numId w:val="1"/>
        </w:numPr>
        <w:spacing w:after="80"/>
      </w:pPr>
      <w:r>
        <w:t xml:space="preserve">Rozbieżne opinie prywatnych ekspertów (ślady syntezy vs. artefakty kompresji) przy braku pliku źródłowego wymagają w trybie pilnym zastosowania standardu dowodu odpowiedniego do postępowania zabezpieczającego (uprawdopodobnienie, nie pewność) — sąd może orzec środek tymczasowy (zakaz dalszego rozpowszechniania) na podstawie uprawdopodobnienia spornego charakteru materiału, odraczając ostateczne rozstrzygnięcie co do autentyczności do postępowania głównego.</w:t>
      </w:r>
    </w:p>
    <w:p>
      <w:pPr>
        <w:pStyle w:val="Heading2"/>
        <w:spacing w:after="150" w:before="300"/>
      </w:pPr>
      <w:r>
        <w:t xml:space="preserve">4. Macierz argumentów stron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1F3864" w:val="clear"/>
          </w:tcPr>
          <w:p>
            <w:r>
              <w:rPr>
                <w:b/>
                <w:bCs/>
                <w:color w:val="FFFFFF"/>
                <w:sz w:val="20"/>
                <w:szCs w:val="20"/>
              </w:rPr>
              <w:t xml:space="preserve">Kwestia</w:t>
            </w:r>
          </w:p>
        </w:tc>
        <w:tc>
          <w:tcPr>
            <w:tcW w:type="dxa" w:w="2600"/>
            <w:shd w:fill="1F3864" w:val="clear"/>
          </w:tcPr>
          <w:p>
            <w:r>
              <w:rPr>
                <w:b/>
                <w:bCs/>
                <w:color w:val="FFFFFF"/>
                <w:sz w:val="20"/>
                <w:szCs w:val="20"/>
              </w:rPr>
              <w:t xml:space="preserve">Argument strony A</w:t>
            </w:r>
          </w:p>
        </w:tc>
        <w:tc>
          <w:tcPr>
            <w:tcW w:type="dxa" w:w="2600"/>
            <w:shd w:fill="1F3864" w:val="clear"/>
          </w:tcPr>
          <w:p>
            <w:r>
              <w:rPr>
                <w:b/>
                <w:bCs/>
                <w:color w:val="FFFFFF"/>
                <w:sz w:val="20"/>
                <w:szCs w:val="20"/>
              </w:rPr>
              <w:t xml:space="preserve">Argument strony B</w:t>
            </w:r>
          </w:p>
        </w:tc>
        <w:tc>
          <w:tcPr>
            <w:tcW w:type="dxa" w:w="2600"/>
            <w:shd w:fill="1F3864" w:val="clear"/>
          </w:tcPr>
          <w:p>
            <w:r>
              <w:rPr>
                <w:b/>
                <w:bCs/>
                <w:color w:val="FFFFFF"/>
                <w:sz w:val="20"/>
                <w:szCs w:val="20"/>
              </w:rPr>
              <w:t xml:space="preserve">Kluczowa kontra / uwaga</w:t>
            </w:r>
          </w:p>
        </w:tc>
      </w:tr>
      <w:tr>
        <w:tc>
          <w:tcPr>
            <w:tcW w:type="dxa" w:w="1600"/>
          </w:tcPr>
          <w:p>
            <w:r>
              <w:rPr>
                <w:b w:val="false"/>
                <w:bCs w:val="false"/>
                <w:sz w:val="18"/>
                <w:szCs w:val="18"/>
              </w:rPr>
              <w:t xml:space="preserve">Zastosowanie trybu wyborczego</w:t>
            </w:r>
          </w:p>
        </w:tc>
        <w:tc>
          <w:tcPr>
            <w:tcW w:type="dxa" w:w="2600"/>
          </w:tcPr>
          <w:p>
            <w:r>
              <w:rPr>
                <w:b w:val="false"/>
                <w:bCs w:val="false"/>
                <w:sz w:val="18"/>
                <w:szCs w:val="18"/>
              </w:rPr>
              <w:t xml:space="preserve">Materiał, nawet jeśli częściowo syntetyczny, opiera się na prawdziwym wywiadzie i przedstawia możliwą, choć niepotwierdzoną, interpretację wypowiedzi kandydatki — nie jest to 'nieprawdziwa informacja' w prostym sensie, lecz sporna interpretacja.</w:t>
            </w:r>
          </w:p>
        </w:tc>
        <w:tc>
          <w:tcPr>
            <w:tcW w:type="dxa" w:w="2600"/>
          </w:tcPr>
          <w:p>
            <w:r>
              <w:rPr>
                <w:b w:val="false"/>
                <w:bCs w:val="false"/>
                <w:sz w:val="18"/>
                <w:szCs w:val="18"/>
              </w:rPr>
              <w:t xml:space="preserve">Połączenie prawdziwego wywiadu z syntetyczną rozmową w celu stworzenia wrażenia, że kandydatka obiecała konkretne działanie w zamian za finansowanie, jest właśnie rodzajem nieprawdziwej informacji, przed którą chroni szczególny tryb wyborczy.</w:t>
            </w:r>
          </w:p>
        </w:tc>
        <w:tc>
          <w:tcPr>
            <w:tcW w:type="dxa" w:w="2600"/>
          </w:tcPr>
          <w:p>
            <w:r>
              <w:rPr>
                <w:b w:val="false"/>
                <w:bCs w:val="false"/>
                <w:sz w:val="18"/>
                <w:szCs w:val="18"/>
              </w:rPr>
              <w:t xml:space="preserve">Rozstrzygające jest ustalenie, czy syntetyczna część filmu przedstawia twierdzenie faktyczne (obietnica konkretnego działania) czy jedynie sugestywny montaż — pierwsze silnie mieści się w trybie wyborczym, drugie wymagałoby dodatkowej argumentacji.</w:t>
            </w:r>
          </w:p>
        </w:tc>
      </w:tr>
      <w:tr>
        <w:tc>
          <w:tcPr>
            <w:tcW w:type="dxa" w:w="1600"/>
          </w:tcPr>
          <w:p>
            <w:r>
              <w:rPr>
                <w:b w:val="false"/>
                <w:bCs w:val="false"/>
                <w:sz w:val="18"/>
                <w:szCs w:val="18"/>
              </w:rPr>
              <w:t xml:space="preserve">Odpowiedzialność kontrkandydata za udostępnienie</w:t>
            </w:r>
          </w:p>
        </w:tc>
        <w:tc>
          <w:tcPr>
            <w:tcW w:type="dxa" w:w="2600"/>
          </w:tcPr>
          <w:p>
            <w:r>
              <w:rPr>
                <w:b w:val="false"/>
                <w:bCs w:val="false"/>
                <w:sz w:val="18"/>
                <w:szCs w:val="18"/>
              </w:rPr>
              <w:t xml:space="preserve">Kontrkandydat jedynie skomentował już krążący w sieci materiał, korzystając z wolności wypowiedzi politycznej i prawa opinii publicznej do informacji.</w:t>
            </w:r>
          </w:p>
        </w:tc>
        <w:tc>
          <w:tcPr>
            <w:tcW w:type="dxa" w:w="2600"/>
          </w:tcPr>
          <w:p>
            <w:r>
              <w:rPr>
                <w:b w:val="false"/>
                <w:bCs w:val="false"/>
                <w:sz w:val="18"/>
                <w:szCs w:val="18"/>
              </w:rPr>
              <w:t xml:space="preserve">Aktywne udostępnienie z komentarzem sugerującym autentyczność ('mieszkańcy mają prawo wiedzieć'), mimo oznaczenia platformy jako 'treść sporna', stanowi samodzielne, świadome rozpowszechnienie potencjalnie nieprawdziwej informacji wyborczej.</w:t>
            </w:r>
          </w:p>
        </w:tc>
        <w:tc>
          <w:tcPr>
            <w:tcW w:type="dxa" w:w="2600"/>
          </w:tcPr>
          <w:p>
            <w:r>
              <w:rPr>
                <w:b w:val="false"/>
                <w:bCs w:val="false"/>
                <w:sz w:val="18"/>
                <w:szCs w:val="18"/>
              </w:rPr>
              <w:t xml:space="preserve">Świadomość oznaczenia 'treść sporna' w chwili udostępnienia jest kluczowym elementem strony podmiotowej — jeśli kontrkandydat udostępnił materiał już po oznaczeniu, jego pozycja jest znacznie słabsza niż przy udostępnieniu wcześniejszym, przed jakimkolwiek sygnałem wątpliwości.</w:t>
            </w:r>
          </w:p>
        </w:tc>
      </w:tr>
      <w:tr>
        <w:tc>
          <w:tcPr>
            <w:tcW w:type="dxa" w:w="1600"/>
          </w:tcPr>
          <w:p>
            <w:r>
              <w:rPr>
                <w:b w:val="false"/>
                <w:bCs w:val="false"/>
                <w:sz w:val="18"/>
                <w:szCs w:val="18"/>
              </w:rPr>
              <w:t xml:space="preserve">Koordynacja fundacji i komitetu kontrkandydata</w:t>
            </w:r>
          </w:p>
        </w:tc>
        <w:tc>
          <w:tcPr>
            <w:tcW w:type="dxa" w:w="2600"/>
          </w:tcPr>
          <w:p>
            <w:r>
              <w:rPr>
                <w:b w:val="false"/>
                <w:bCs w:val="false"/>
                <w:sz w:val="18"/>
                <w:szCs w:val="18"/>
              </w:rPr>
              <w:t xml:space="preserve">Fundacja i komitet są formalnie odrębnymi podmiotami działającymi niezależnie — wspólna agencja obsługuje wielu klientów i nie świadczy o koordynacji treści.</w:t>
            </w:r>
          </w:p>
        </w:tc>
        <w:tc>
          <w:tcPr>
            <w:tcW w:type="dxa" w:w="2600"/>
          </w:tcPr>
          <w:p>
            <w:r>
              <w:rPr>
                <w:b w:val="false"/>
                <w:bCs w:val="false"/>
                <w:sz w:val="18"/>
                <w:szCs w:val="18"/>
              </w:rPr>
              <w:t xml:space="preserve">Sponsorowanie przez formalnie niezależną fundację w połączeniu z obsługą przez tę samą agencję i panel reklamowy co komitet kontrkandydata tworzy wystarczającą poszlakę faktycznej koordynacji dla celów odpowiedzialności cywilnej.</w:t>
            </w:r>
          </w:p>
        </w:tc>
        <w:tc>
          <w:tcPr>
            <w:tcW w:type="dxa" w:w="2600"/>
          </w:tcPr>
          <w:p>
            <w:r>
              <w:rPr>
                <w:b w:val="false"/>
                <w:bCs w:val="false"/>
                <w:sz w:val="18"/>
                <w:szCs w:val="18"/>
              </w:rPr>
              <w:t xml:space="preserve">To rozstrzygające zagadnienie dowodowe sprawy — sąd powinien zbadać dodatkowe okoliczności (wspólne finansowanie, komunikacja między podmiotami) przed przesądzeniem koordynacji wyłącznie na podstawie wspólnego usługodawcy, co samo w sobie jest poszlaką słabą, choć niepomijalną.</w:t>
            </w:r>
          </w:p>
        </w:tc>
      </w:tr>
      <w:tr>
        <w:tc>
          <w:tcPr>
            <w:tcW w:type="dxa" w:w="1600"/>
          </w:tcPr>
          <w:p>
            <w:r>
              <w:rPr>
                <w:b w:val="false"/>
                <w:bCs w:val="false"/>
                <w:sz w:val="18"/>
                <w:szCs w:val="18"/>
              </w:rPr>
              <w:t xml:space="preserve">Obowiązki platformy wobec zgłoszenia</w:t>
            </w:r>
          </w:p>
        </w:tc>
        <w:tc>
          <w:tcPr>
            <w:tcW w:type="dxa" w:w="2600"/>
          </w:tcPr>
          <w:p>
            <w:r>
              <w:rPr>
                <w:b w:val="false"/>
                <w:bCs w:val="false"/>
                <w:sz w:val="18"/>
                <w:szCs w:val="18"/>
              </w:rPr>
              <w:t xml:space="preserve">Oznaczenie treści jako 'sporna' i utrzymanie biblioteki reklam (nawet niepełnej) świadczy o podjęciu rozsądnych środków zgodnych z DSA w krótkim czasie dostępnym przed ciszą wyborczą.</w:t>
            </w:r>
          </w:p>
        </w:tc>
        <w:tc>
          <w:tcPr>
            <w:tcW w:type="dxa" w:w="2600"/>
          </w:tcPr>
          <w:p>
            <w:r>
              <w:rPr>
                <w:b w:val="false"/>
                <w:bCs w:val="false"/>
                <w:sz w:val="18"/>
                <w:szCs w:val="18"/>
              </w:rPr>
              <w:t xml:space="preserve">Nieusunięcie treści mimo wykrytych śladów syntezy i kontekstu wyborczego, przy jednoczesnej niepełności danych sponsora w bibliotece reklam, stanowi naruszenie obowiązków przejrzystości i reakcji na zgłoszenie w rozumieniu DSA.</w:t>
            </w:r>
          </w:p>
        </w:tc>
        <w:tc>
          <w:tcPr>
            <w:tcW w:type="dxa" w:w="2600"/>
          </w:tcPr>
          <w:p>
            <w:r>
              <w:rPr>
                <w:b w:val="false"/>
                <w:bCs w:val="false"/>
                <w:sz w:val="18"/>
                <w:szCs w:val="18"/>
              </w:rPr>
              <w:t xml:space="preserve">DSA nie wymaga automatycznego usunięcia przy samej możliwości nielegalności, lecz proporcjonalnej reakcji — pytanie brzmi, czy 'oznaczenie jako sporne' bez ograniczenia zasięgu było proporcjonalną reakcją przy tak krótkim czasie do głosowania i tak wysokim ryzyku wpływu na wynik; to graniczny przypadek wymagający oceny konkretnych okoliczności czasowych.</w:t>
            </w:r>
          </w:p>
        </w:tc>
      </w:tr>
    </w:tbl>
    <w:p>
      <w:pPr>
        <w:spacing w:after="150"/>
      </w:pPr>
    </w:p>
    <w:p>
      <w:pPr>
        <w:pStyle w:val="Heading2"/>
        <w:spacing w:after="150" w:before="300"/>
      </w:pPr>
      <w:r>
        <w:t xml:space="preserve">5. Braki faktyczne i dowody rozstrzygające</w:t>
      </w:r>
    </w:p>
    <w:p>
      <w:pPr>
        <w:pStyle w:val="ListParagraph"/>
        <w:numPr>
          <w:ilvl w:val="0"/>
          <w:numId w:val="1"/>
        </w:numPr>
        <w:spacing w:after="80"/>
      </w:pPr>
      <w:r>
        <w:t xml:space="preserve">Brak pliku źródłowego filmu i jednoznacznej opinii biegłego co do syntetycznego charakteru nagrania — rozstrzygające dla ostatecznego ustalenia faktu (choć nie dla środka tymczasowego, gdzie wystarcza uprawdopodobnienie).</w:t>
      </w:r>
    </w:p>
    <w:p>
      <w:pPr>
        <w:pStyle w:val="ListParagraph"/>
        <w:numPr>
          <w:ilvl w:val="0"/>
          <w:numId w:val="1"/>
        </w:numPr>
        <w:spacing w:after="80"/>
      </w:pPr>
      <w:r>
        <w:t xml:space="preserve">Nie ustalono zakresu i treści komunikacji między fundacją, agencją a komitetem kontrkandydata — kluczowe dla wykazania faktycznej koordynacji poza samym faktem wspólnej obsługi usługowej.</w:t>
      </w:r>
    </w:p>
    <w:p>
      <w:pPr>
        <w:pStyle w:val="ListParagraph"/>
        <w:numPr>
          <w:ilvl w:val="0"/>
          <w:numId w:val="1"/>
        </w:numPr>
        <w:spacing w:after="80"/>
      </w:pPr>
      <w:r>
        <w:t xml:space="preserve">Brak pełnych danych sponsora w bibliotece reklam platformy — utrudnia ustalenie rzeczywistego źródła finansowania kampanii, co jest jednocześnie samodzielnym zarzutem wobec platformy.</w:t>
      </w:r>
    </w:p>
    <w:p>
      <w:pPr>
        <w:pStyle w:val="ListParagraph"/>
        <w:numPr>
          <w:ilvl w:val="0"/>
          <w:numId w:val="1"/>
        </w:numPr>
        <w:spacing w:after="80"/>
      </w:pPr>
      <w:r>
        <w:t xml:space="preserve">Nie wskazano dokładnej treści prawdziwego wywiadu wykorzystanego w materiale ani czy Lena Wilk/wydawca wywiadu udzielili zgody na jakiekolwiek jego wykorzystanie — rozstrzygające dla ewentualnego roszczenia autorskoprawnego.</w:t>
      </w:r>
    </w:p>
    <w:p>
      <w:pPr>
        <w:pStyle w:val="ListParagraph"/>
        <w:numPr>
          <w:ilvl w:val="0"/>
          <w:numId w:val="1"/>
        </w:numPr>
        <w:spacing w:after="80"/>
      </w:pPr>
      <w:r>
        <w:t xml:space="preserve">Zakaz dopowiadania faktów: nie zakładam, że kontrkandydat wiedział o syntetycznym charakterze materiału w chwili jego udostępnienia — kazus wskazuje na oznaczenie platformy jako 'sporne', ale nie precyzuje, czy nastąpiło to przed czy po jego udostępnieniu, co jest kluczową luką faktyczną wymagającą przedstawienia obu wariantów.</w:t>
      </w:r>
    </w:p>
    <w:p>
      <w:pPr>
        <w:pStyle w:val="Heading2"/>
        <w:spacing w:after="150" w:before="300"/>
      </w:pPr>
      <w:r>
        <w:t xml:space="preserve">6. Rozstrzygnięcie i środek naprawczy</w:t>
      </w:r>
    </w:p>
    <w:p>
      <w:pPr>
        <w:spacing w:after="140"/>
      </w:pPr>
      <w:r>
        <w:t xml:space="preserve">Sąd okręgowy w trybie wyborczym powinien: (1) uwzględnić wniosek o zakaz dalszego rozpowszechniania filmu i nakazać publikację sprostowania na dostępnych kanałach przed dniem głosowania, na podstawie uprawdopodobnienia (nie pewności) syntetycznego/wprowadzającego w błąd charakteru materiału; (2) w odrębnym postępowaniu cywilnym o dobra osobiste zbadać faktyczną koordynację fundacji, agencji i komitetu kontrkandydata jako podstawę solidarnej lub in solidum odpowiedzialności; (3) uznać odpowiedzialność kontrkandydata za świadome udostępnienie materiału po ewentualnym oznaczeniu go jako spornego; (4) skierować do organu nadzorującego DSA sprawę niepełności biblioteki reklam i adekwatności reakcji platformy na zgłoszenie; (5) pozostawić do odrębnego postępowania roszczenie autorskoprawne, zależne od ustalenia zakresu wykorzystania oryginalnego wywiadu.</w:t>
      </w:r>
    </w:p>
    <w:p>
      <w:pPr>
        <w:spacing w:after="140"/>
      </w:pPr>
      <w:r>
        <w:t xml:space="preserve">Środek naprawczy: natychmiastowy zakaz dalszego rozpowszechniania i nakaz sprostowania w trybie wyborczym + zabezpieczenie dowodowe materiału źródłowego i danych platformy (w tym pełnej biblioteki reklam) przed jego ewentualnym usunięciem + równoległe zgłoszenie do koordynatora DSA co do adekwatności reakcji platformy.</w:t>
      </w:r>
    </w:p>
    <w:p>
      <w:pPr>
        <w:pStyle w:val="Heading3"/>
        <w:spacing w:after="100" w:before="200"/>
      </w:pPr>
      <w:r>
        <w:t xml:space="preserve">Uwagi metodologiczne / status weryfikacji ISAP</w:t>
      </w:r>
    </w:p>
    <w:p>
      <w:pPr>
        <w:spacing w:after="140"/>
      </w:pPr>
      <w:r>
        <w:rPr>
          <w:i/>
          <w:iCs/>
          <w:sz w:val="20"/>
          <w:szCs w:val="20"/>
        </w:rPr>
        <w:t xml:space="preserve">Zweryfikowano online aktualny (na wrzesień 2026 r.) stan prawa: Polska nie posiada odrębnego typu czynu zabronionego dotyczącego tworzenia treści deepfake — ochrona opiera się na istniejących instrumentach (dobra osobiste, wizerunek, prawo autorskie, przepisy szczególne Kodeksu wyborczego); od 2 sierpnia 2026 r. bezpośrednio obowiązuje wynikający z AI Act (art. 50) obowiązek oznaczania treści syntetycznych, z sankcją do 15 mln euro lub 3% globalnego obrotu za naruszenie obowiązków przejrzystości (źródła: OKO.press, GazetaPrawna.pl — wyszukiwanie z 2 września 2026). Kodeks wyborczy (Dz.U. 2011 poz. 112), Kodeks cywilny (Dz.U. 1964 poz. 93), ustawa o prawie autorskim (Dz.U. 1994 poz. 83) i Digital Services Act (rozporządzenie UE 2022/2065) pozostają aktami bazowymi wskazanymi w banku kazusów. Aktualne numery artykułów Kodeksu wyborczego dot. szczególnego trybu ochrony przed nieprawdziwymi informacjami wymagają odrębnej weryfikacji w ISAP przed użyciem zawodowym.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2026-09-02T18:27:17.563Z</dcterms:created>
  <dcterms:modified xsi:type="dcterms:W3CDTF">2026-09-02T18:27:17.576Z</dcterms:modified>
</cp:coreProperties>
</file>

<file path=docProps/custom.xml><?xml version="1.0" encoding="utf-8"?>
<Properties xmlns="http://schemas.openxmlformats.org/officeDocument/2006/custom-properties" xmlns:vt="http://schemas.openxmlformats.org/officeDocument/2006/docPropsVTypes"/>
</file>