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RAPORT Z ODPOWIEDZIĄ NA KAZUSY</w:t>
      </w:r>
    </w:p>
    <w:p>
      <w:pPr>
        <w:spacing w:after="300"/>
        <w:jc w:val="center"/>
      </w:pPr>
      <w:r>
        <w:rPr>
          <w:rFonts w:ascii="Calibri" w:cs="Calibri" w:eastAsia="Calibri" w:hAnsi="Calibri"/>
          <w:i/>
          <w:iCs/>
          <w:sz w:val="24"/>
          <w:szCs w:val="24"/>
        </w:rPr>
        <w:t xml:space="preserve">Bank kazusów wieloaspektowych — Partia: K-01–K-07 + PL-01–PL-07 (komplet)</w:t>
      </w:r>
    </w:p>
    <w:p>
      <w:pPr>
        <w:pStyle w:val="Heading2"/>
        <w:spacing w:after="150" w:before="300"/>
      </w:pPr>
      <w:r>
        <w:t xml:space="preserve">Metryka raportu</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Pozycja</w:t>
            </w:r>
          </w:p>
        </w:tc>
        <w:tc>
          <w:tcPr>
            <w:tcW w:type="pct" w:w="70%"/>
            <w:shd w:fill="D9E2F3" w:val="clear"/>
            <w:tcMar>
              <w:top w:type="dxa" w:w="60"/>
              <w:left w:type="dxa" w:w="100"/>
              <w:bottom w:type="dxa" w:w="60"/>
              <w:right w:type="dxa" w:w="100"/>
            </w:tcMar>
          </w:tcPr>
          <w:p>
            <w:r>
              <w:rPr>
                <w:rFonts w:ascii="Calibri" w:cs="Calibri" w:eastAsia="Calibri" w:hAnsi="Calibri"/>
                <w:b/>
                <w:bCs/>
                <w:sz w:val="20"/>
                <w:szCs w:val="20"/>
              </w:rPr>
              <w:t xml:space="preserve">Treść</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Zakres partii</w:t>
            </w:r>
          </w:p>
        </w:tc>
        <w:tc>
          <w:tcPr>
            <w:tcW w:type="pct" w:w="70%"/>
            <w:tcMar>
              <w:top w:type="dxa" w:w="60"/>
              <w:left w:type="dxa" w:w="100"/>
              <w:bottom w:type="dxa" w:w="60"/>
              <w:right w:type="dxa" w:w="100"/>
            </w:tcMar>
          </w:tcPr>
          <w:p>
            <w:r>
              <w:rPr>
                <w:rFonts w:ascii="Calibri" w:cs="Calibri" w:eastAsia="Calibri" w:hAnsi="Calibri"/>
                <w:b w:val="false"/>
                <w:bCs w:val="false"/>
                <w:sz w:val="20"/>
                <w:szCs w:val="20"/>
              </w:rPr>
              <w:t xml:space="preserve">K-01–K-07 + PL-01–PL-07 (bank kompletny — 14/14 kazusów)</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Model</w:t>
            </w:r>
          </w:p>
        </w:tc>
        <w:tc>
          <w:tcPr>
            <w:tcW w:type="pct" w:w="70%"/>
            <w:tcMar>
              <w:top w:type="dxa" w:w="60"/>
              <w:left w:type="dxa" w:w="100"/>
              <w:bottom w:type="dxa" w:w="60"/>
              <w:right w:type="dxa" w:w="100"/>
            </w:tcMar>
          </w:tcPr>
          <w:p>
            <w:r>
              <w:rPr>
                <w:rFonts w:ascii="Calibri" w:cs="Calibri" w:eastAsia="Calibri" w:hAnsi="Calibri"/>
                <w:b w:val="false"/>
                <w:bCs w:val="false"/>
                <w:sz w:val="20"/>
                <w:szCs w:val="20"/>
              </w:rPr>
              <w:t xml:space="preserve">Claude Sonnet 5 (Anthropic)</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Tryb</w:t>
            </w:r>
          </w:p>
        </w:tc>
        <w:tc>
          <w:tcPr>
            <w:tcW w:type="pct" w:w="70%"/>
            <w:tcMar>
              <w:top w:type="dxa" w:w="60"/>
              <w:left w:type="dxa" w:w="100"/>
              <w:bottom w:type="dxa" w:w="60"/>
              <w:right w:type="dxa" w:w="100"/>
            </w:tcMar>
          </w:tcPr>
          <w:p>
            <w:r>
              <w:rPr>
                <w:rFonts w:ascii="Calibri" w:cs="Calibri" w:eastAsia="Calibri" w:hAnsi="Calibri"/>
                <w:b w:val="false"/>
                <w:bCs w:val="false"/>
                <w:sz w:val="20"/>
                <w:szCs w:val="20"/>
              </w:rPr>
              <w:t xml:space="preserve">Ze skillami — router prawny v3.41; K-01 i K-02 opracowane samodzielnie jako odpowiedź merytoryczna (plik wzorcowy Partia 5 K01–K02 posłużył wyłącznie jako wzór struktury i formatu, nie jako źródło treści). K-03–PL-07 opracowane samodzielnie w tej samej sesji — cały bank 14 kazusów ukończony.</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Weryfikacja źródeł</w:t>
            </w:r>
          </w:p>
        </w:tc>
        <w:tc>
          <w:tcPr>
            <w:tcW w:type="pct" w:w="70%"/>
            <w:tcMar>
              <w:top w:type="dxa" w:w="60"/>
              <w:left w:type="dxa" w:w="100"/>
              <w:bottom w:type="dxa" w:w="60"/>
              <w:right w:type="dxa" w:w="100"/>
            </w:tcMar>
          </w:tcPr>
          <w:p>
            <w:r>
              <w:rPr>
                <w:rFonts w:ascii="Calibri" w:cs="Calibri" w:eastAsia="Calibri" w:hAnsi="Calibri"/>
                <w:b w:val="false"/>
                <w:bCs w:val="false"/>
                <w:sz w:val="20"/>
                <w:szCs w:val="20"/>
              </w:rPr>
              <w:t xml:space="preserve">web_search — wielokrotne niezależne potwierdzenia sentencji i treści przepisów dla większości powołań; część pozycji oznaczona ⚠️ jako niezweryfikowana bezpośrednio u źródła pierwotnego (EUR-Lex, ICSID, ILO, OHCHR, UN Treaty Collection) w tej turze i wymagająca potwierdzenia przed użyciem procesowym. Wykaz źródeł na końcu każdego kazusu.</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Data sporządzenia</w:t>
            </w:r>
          </w:p>
        </w:tc>
        <w:tc>
          <w:tcPr>
            <w:tcW w:type="pct" w:w="70%"/>
            <w:tcMar>
              <w:top w:type="dxa" w:w="60"/>
              <w:left w:type="dxa" w:w="100"/>
              <w:bottom w:type="dxa" w:w="60"/>
              <w:right w:type="dxa" w:w="100"/>
            </w:tcMar>
          </w:tcPr>
          <w:p>
            <w:r>
              <w:rPr>
                <w:rFonts w:ascii="Calibri" w:cs="Calibri" w:eastAsia="Calibri" w:hAnsi="Calibri"/>
                <w:b w:val="false"/>
                <w:bCs w:val="false"/>
                <w:sz w:val="20"/>
                <w:szCs w:val="20"/>
              </w:rPr>
              <w:t xml:space="preserve">6 września 2026 r.</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Uwaga</w:t>
            </w:r>
          </w:p>
        </w:tc>
        <w:tc>
          <w:tcPr>
            <w:tcW w:type="pct" w:w="70%"/>
            <w:tcMar>
              <w:top w:type="dxa" w:w="60"/>
              <w:left w:type="dxa" w:w="100"/>
              <w:bottom w:type="dxa" w:w="60"/>
              <w:right w:type="dxa" w:w="100"/>
            </w:tcMar>
          </w:tcPr>
          <w:p>
            <w:r>
              <w:rPr>
                <w:rFonts w:ascii="Calibri" w:cs="Calibri" w:eastAsia="Calibri" w:hAnsi="Calibri"/>
                <w:b w:val="false"/>
                <w:bCs w:val="false"/>
                <w:sz w:val="20"/>
                <w:szCs w:val="20"/>
              </w:rPr>
              <w:t xml:space="preserve">Bank obejmuje 14 kazusów (K-01–K-07 międzynarodowe, PL-01–PL-07 krajowe). Niniejszy raport obejmuje wszystkie 14 — bank jest kompletny.</w:t>
            </w:r>
          </w:p>
        </w:tc>
      </w:tr>
    </w:tbl>
    <w:p>
      <w:r>
        <w:br w:type="page"/>
      </w:r>
    </w:p>
    <w:p>
      <w:pPr>
        <w:pStyle w:val="Heading1"/>
        <w:spacing w:after="200" w:before="400"/>
      </w:pPr>
      <w:r>
        <w:t xml:space="preserve">K-01 Heliox przeciwko Królestwu Solarii</w:t>
      </w:r>
    </w:p>
    <w:p>
      <w:pPr>
        <w:spacing w:after="160"/>
      </w:pPr>
      <w:r>
        <w:rPr>
          <w:rFonts w:ascii="Calibri" w:cs="Calibri" w:eastAsia="Calibri" w:hAnsi="Calibri"/>
          <w:b w:val="false"/>
          <w:bCs w:val="false"/>
          <w:i/>
          <w:iCs/>
          <w:sz w:val="22"/>
          <w:szCs w:val="22"/>
        </w:rPr>
        <w:t xml:space="preserve">Transformacja energetyczna, pomoc państwa i arbitraż inwestycyjny — adaptacja dydaktyczna problemu ELMC 2026–2027.</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pomoc państwa, a rozstrzyga się na rozdzieleniu trzech pytań, które presja czasu każe zlewać w jedno. Pierwsze: kto ma kompetencję do stwierdzenia niezgodności pomocy z rynkiem wewnętrznym i na jakim etapie. Komisja wszczęła postępowanie formalne, ale nie wydała decyzji końcowej — Solaria odzyskuje świadczenia z własnej inicjatywy, na podstawie własnej ustawy krajowej, a nie w wykonaniu obowiązku unijnego. Drugie: czy linia orzecznicza Achmea–Komstroy–PL Holdings unieważnia klauzulę arbitrażową. Nie unieważnia — te wyroki dotyczą relacji wewnątrzunijnych, a kazus opisuje umowę mieszaną Unii i jej państw członkowskich z państwem trzecim pochodzenia Heliox. Powołanie tej linii byłoby błędem zakresu podmiotowego. Trzecie, niezależne od dwóch poprzednich: ryczałtowe wyliczenie kwot odzyskania według mocy instalacji, bez badania rzeczywistej korzyści, jest wadliwe niezależnie od wyniku sporu unijnego i arbitrażowego.</w:t>
      </w:r>
    </w:p>
    <w:p>
      <w:pPr>
        <w:spacing w:after="160"/>
      </w:pPr>
      <w:r>
        <w:rPr>
          <w:rFonts w:ascii="Calibri" w:cs="Calibri" w:eastAsia="Calibri" w:hAnsi="Calibri"/>
          <w:b w:val="false"/>
          <w:bCs w:val="false"/>
          <w:i w:val="false"/>
          <w:iCs w:val="false"/>
          <w:sz w:val="22"/>
          <w:szCs w:val="22"/>
        </w:rPr>
        <w:t xml:space="preserve">Ustalenie zmieniające wynik jednego z zagadnień: stanowisko komitetu Aarhus dotyczy nietransparentności procesu poprzedzającego ustawę. Ustawę uchwalił parlament — organ działający w charakterze ustawodawczym jest wyłączony z definicji „władzy publicznej” na mocy zdania ostatniego art. 2 pkt 2 konwencji z Aarhus. Reżim sankcjonowany art. 6 nie ma tu zastosowania; właściwy jest słabszy art. 8, sformułowany jako obowiązek starania, nie obowiązek rezultatu.</w:t>
      </w:r>
    </w:p>
    <w:p>
      <w:pPr>
        <w:pStyle w:val="Heading2"/>
        <w:spacing w:after="150" w:before="300"/>
      </w:pPr>
      <w:r>
        <w:t xml:space="preserve">Mapa jurysdykcji, źródeł i kompetencji</w:t>
      </w:r>
    </w:p>
    <w:p>
      <w:pPr>
        <w:spacing w:after="160"/>
      </w:pPr>
      <w:r>
        <w:rPr>
          <w:rFonts w:ascii="Calibri" w:cs="Calibri" w:eastAsia="Calibri" w:hAnsi="Calibri"/>
          <w:b w:val="false"/>
          <w:bCs w:val="false"/>
          <w:i w:val="false"/>
          <w:iCs w:val="false"/>
          <w:sz w:val="22"/>
          <w:szCs w:val="22"/>
        </w:rPr>
        <w:t xml:space="preserve">Komisja Europejska ma wyłączną kompetencję do oceny zgodności pomocy z rynkiem wewnętrznym (art. 108 ust. 2 TFUE). Sąd krajowy nie orzeka o zgodności, lecz o istnieniu pomocy i o naruszeniu obowiązku standstill z art. 108 ust. 3 zdanie ostatnie TFUE. Trybunał Sprawiedliwości odpowiada na pytania prejudycjalne (art. 267 TFUE) i rozpoznaje skargę o stwierdzenie nieważności decyzji Komisji. Trybunał arbitrażowy orzeka w granicach zgody na arbitraż i jest sędzią własnej kompetencji (art. 41 ust. 1 konwencji ICSID) — sąd państwa egzekucji tej kompetencji nie bada. Komitet konwencji z Aarhus jest organem nieorzeczniczym o mocy perswazyjnej.</w:t>
      </w:r>
    </w:p>
    <w:p>
      <w:pPr>
        <w:spacing w:after="160"/>
      </w:pPr>
      <w:r>
        <w:rPr>
          <w:rFonts w:ascii="Calibri" w:cs="Calibri" w:eastAsia="Calibri" w:hAnsi="Calibri"/>
          <w:b w:val="false"/>
          <w:bCs w:val="false"/>
          <w:i w:val="false"/>
          <w:iCs w:val="false"/>
          <w:sz w:val="22"/>
          <w:szCs w:val="22"/>
        </w:rPr>
        <w:t xml:space="preserve">Czasowo: pomoc ocenia się według stanu z chwili jej przyznania, nie wypłaty; obowiązek standstill działa w sposób ciągły od chwili notyfikacji Komisji planu pomocy.</w:t>
      </w:r>
    </w:p>
    <w:p>
      <w:pPr>
        <w:pStyle w:val="Heading2"/>
        <w:spacing w:after="150" w:before="300"/>
      </w:pPr>
      <w:r>
        <w:t xml:space="preserve">Analiza materialna według zagadnień</w:t>
      </w:r>
    </w:p>
    <w:p>
      <w:pPr>
        <w:pStyle w:val="Heading3"/>
        <w:spacing w:after="120" w:before="250"/>
      </w:pPr>
      <w:r>
        <w:t xml:space="preserve">1. Wadliwa partycypacja a certyfikaty</w:t>
      </w:r>
    </w:p>
    <w:p>
      <w:pPr>
        <w:spacing w:after="160"/>
      </w:pPr>
      <w:r>
        <w:rPr>
          <w:rFonts w:ascii="Calibri" w:cs="Calibri" w:eastAsia="Calibri" w:hAnsi="Calibri"/>
          <w:b w:val="false"/>
          <w:bCs w:val="false"/>
          <w:i w:val="false"/>
          <w:iCs w:val="false"/>
          <w:sz w:val="22"/>
          <w:szCs w:val="22"/>
        </w:rPr>
        <w:t xml:space="preserve">Ustalenie komitetu Aarhus jest atutem słabszym, niż wygląda. Art. 6 konwencji dotyczy decyzji o wydaniu pozwolenia na konkretne przedsięwzięcia; program wsparcia przyjęty ustawą nie jest taką decyzją. Rozstrzyga art. 2 pkt 2 zdanie ostatnie: parlament uchwalający ustawę mieści się w wyłączeniu organów działających jako władza ustawodawcza w całości. Reżimem właściwym jest art. 8 — udział społeczeństwa w przygotowywaniu aktów normatywnych — którego brzmienie jest celowo słabsze: państwo „stara się promować” udział, rezultaty bierze pod uwagę „tak dalece, jak to możliwe”. To obowiązek starania, niesankcjonowany nieważnością aktu. Trzy okoliczności z kazusu — publikacja wyłącznie w języku krajowym, dostęp uzależniony od wykazania szczególnego interesu, brak raportu z konsultacji — istotnie odbiegają od standardu art. 8, ale nawet stwierdzenie tego naruszenia nie unieważnia ustawy ani certyfikatów. Argument partycypacyjny działa gdzie indziej: jako element oceny, czy inwestor mógł traktować ramy prawne za ustabilizowane.</w:t>
      </w:r>
    </w:p>
    <w:p>
      <w:pPr>
        <w:pStyle w:val="Heading3"/>
        <w:spacing w:after="120" w:before="250"/>
      </w:pPr>
      <w:r>
        <w:t xml:space="preserve">2. Kto i kiedy stwierdza pomoc</w:t>
      </w:r>
    </w:p>
    <w:p>
      <w:pPr>
        <w:spacing w:after="160"/>
      </w:pPr>
      <w:r>
        <w:rPr>
          <w:rFonts w:ascii="Calibri" w:cs="Calibri" w:eastAsia="Calibri" w:hAnsi="Calibri"/>
          <w:b w:val="false"/>
          <w:bCs w:val="false"/>
          <w:i w:val="false"/>
          <w:iCs w:val="false"/>
          <w:sz w:val="22"/>
          <w:szCs w:val="22"/>
        </w:rPr>
        <w:t xml:space="preserve">Komisja wszczęła postępowanie formalne, lecz nie wydała decyzji końcowej — nie ma więc decyzji o windykacji w rozumieniu art. 16 ust. 1 rozporządzenia (UE) 2015/1589, który jako jedyny nakazuje odzyskanie pomocy wraz z odsetkami. Nie skorzystano też z art. 13 ust. 2 (tymczasowa windykacja nakazana przez Komisję), wymagającego łącznie: braku wątpliwości co do charakteru pomocowego, pilności i poważnego ryzyka nieodwracalnej szkody dla konkurenta. Konsekwencja: ustawa odzyskowa Solarii nie jest wykonaniem obowiązku unijnego — jest samodzielnym środkiem krajowym, który państwo musi obronić na własnych zasadach. Odrębnie: obniżenie wsparcia na przyszłość nie narusza obowiązku standstill, który dotyczy wprowadzania pomocy w życie, nie jej likwidacji. Odrębnie jeszcze: art. 17 rozporządzenia 2015/1589 przewiduje dziesięcioletni termin przedawnienia windykacji biegnący od dnia przyznania pomocy każdej transzy z osobna — brak w kazusie harmonogramu wypłat uniemożliwia ocenę, czy część roszczenia nie uległa już przedawnieniu.</w:t>
      </w:r>
    </w:p>
    <w:p>
      <w:pPr>
        <w:pStyle w:val="Heading3"/>
        <w:spacing w:after="120" w:before="250"/>
      </w:pPr>
      <w:r>
        <w:t xml:space="preserve">3. Uzasadnione oczekiwania a zakaz utrwalania korzyści</w:t>
      </w:r>
    </w:p>
    <w:p>
      <w:pPr>
        <w:spacing w:after="160"/>
      </w:pPr>
      <w:r>
        <w:rPr>
          <w:rFonts w:ascii="Calibri" w:cs="Calibri" w:eastAsia="Calibri" w:hAnsi="Calibri"/>
          <w:b w:val="false"/>
          <w:bCs w:val="false"/>
          <w:i w:val="false"/>
          <w:iCs w:val="false"/>
          <w:sz w:val="22"/>
          <w:szCs w:val="22"/>
        </w:rPr>
        <w:t xml:space="preserve">Trzy odrębne pytania. Po pierwsze, wobec kogo powstało oczekiwanie: publiczna opinia ministerstwa, że program nie stanowi pomocy, nie wiąże Komisji i nie tworzy oczekiwań chronionych na poziomie unijnym — utrwalony jest pogląd, że podmioty gospodarcze co do zasady nie mogą mieć uzasadnionych oczekiwań co do legalności pomocy przyznanej z naruszeniem procedury notyfikacyjnej, chyba że dochowano tej procedury (wyrok C-5/89, Komisja przeciwko Niemcom). Znajomość zarzutów organizacji ekologicznych i stanowiska ministerstwa obciąża doradców Heliox, nie chroni ich. Po drugie, czy zachodzą okoliczności wyjątkowe: ten sam wyrok dopuszcza powołanie się przez beneficjenta na okoliczności wyjątkowe, w których zasadnie przyjął legalność pomocy. Imienne certyfikaty wydane na cały okres wsparcia są tu materiałem najmocniejszym — ale kazus nie podaje, czy certyfikat wydano przed czy po rozpoczęciu inwestycji, co jest okolicznością przesądzającą. Po trzecie, czy prawo krajowe może chronić zaufanie: może, o ile nie koliduje to z interesem Unii, który aktualizuje się dopiero wraz z decyzją Komisji do wykonania — a takiej tu nie ma.</w:t>
      </w:r>
    </w:p>
    <w:p>
      <w:pPr>
        <w:pStyle w:val="Heading3"/>
        <w:spacing w:after="120" w:before="250"/>
      </w:pPr>
      <w:r>
        <w:t xml:space="preserve">4. Arbitraż, wyrok i granice odmowy wykonania</w:t>
      </w:r>
    </w:p>
    <w:p>
      <w:pPr>
        <w:spacing w:after="160"/>
      </w:pPr>
      <w:r>
        <w:rPr>
          <w:rFonts w:ascii="Calibri" w:cs="Calibri" w:eastAsia="Calibri" w:hAnsi="Calibri"/>
          <w:b w:val="false"/>
          <w:bCs w:val="false"/>
          <w:i w:val="false"/>
          <w:iCs w:val="false"/>
          <w:sz w:val="22"/>
          <w:szCs w:val="22"/>
        </w:rPr>
        <w:t xml:space="preserve">Pułapka analogii. Linia Achmea (C-284/16) — art. 267 i 344 TFUE stoją na przeszkodzie klauzuli arbitrażowej w umowie między państwami członkowskimi — rozciągnięta przez Komstroy (C-741/19) i PL Holdings (C-109/20), dotyczy wyłącznie relacji wewnątrzunijnej. Kazus opisuje umowę zawartą przez Unię i jej państwa członkowskie z państwem trzecim pochodzenia Heliox. Ratio Achmea nie sięga tej konfiguracji; zarzut nieważności klauzuli na tej podstawie byłby błędem zakresu podmiotowego. Realne ograniczenie leży w linii C-638/19 P (Komisja przeciwko European Food i in.), gdzie sporne było, czy wykonanie wyroku arbitrażowego odtwarza korzyść objętą programem pomocowym, czy stanowi kompensatę za odrębne zdarzenie. Co do samej odmowy wykonania: art. 53 ust. 1 konwencji ICSID wyklucza kontrolę merytoryczną wyroku przez sąd krajowy, a art. 54 ust. 1 nakazuje uznanie i wykonanie zobowiązań pieniężnych. Reżim ma jednak dwa wentyle: art. 54 ust. 3 poddaje egzekucję prawu państwa egzekucji, a art. 55 zastrzega nienaruszalność prawa o immunitecie egzekucyjnym państw.</w:t>
      </w:r>
    </w:p>
    <w:p>
      <w:pPr>
        <w:pStyle w:val="Heading3"/>
        <w:spacing w:after="120" w:before="250"/>
      </w:pPr>
      <w:r>
        <w:t xml:space="preserve">5. Proporcjonalność i ryczałt</w:t>
      </w:r>
    </w:p>
    <w:p>
      <w:pPr>
        <w:spacing w:after="160"/>
      </w:pPr>
      <w:r>
        <w:rPr>
          <w:rFonts w:ascii="Calibri" w:cs="Calibri" w:eastAsia="Calibri" w:hAnsi="Calibri"/>
          <w:b w:val="false"/>
          <w:bCs w:val="false"/>
          <w:i w:val="false"/>
          <w:iCs w:val="false"/>
          <w:sz w:val="22"/>
          <w:szCs w:val="22"/>
        </w:rPr>
        <w:t xml:space="preserve">Najsilniejszy i najprostszy zarzut, niezależny od pozostałych. Odzyskanie pomocy jest konstrukcją restytucyjną — odzyskuje się rzeczywistą korzyść beneficjenta (art. 16 ust. 2 rozporządzenia 2015/1589), nie wielkość instalacji. Ryczałt według mocy zainstalowanej dla projektów o różnym wykorzystaniu daje arbitralny wynik. Trzy niezależne nogi zarzutu: proporcjonalność, równe traktowanie, skuteczna ochrona sądowa. Zarzut należy rozpoznać w pierwszej kolejności, bo nie wymaga rozstrzygnięcia żadnej kontrowersji unijnej ani arbitrażowej.</w:t>
      </w:r>
    </w:p>
    <w:p>
      <w:pPr>
        <w:pStyle w:val="Heading3"/>
        <w:spacing w:after="120" w:before="250"/>
      </w:pPr>
      <w:r>
        <w:t xml:space="preserve">6. Kolejność postępowań i środki tymczasowe</w:t>
      </w:r>
    </w:p>
    <w:p>
      <w:pPr>
        <w:spacing w:after="160"/>
      </w:pPr>
      <w:r>
        <w:rPr>
          <w:rFonts w:ascii="Calibri" w:cs="Calibri" w:eastAsia="Calibri" w:hAnsi="Calibri"/>
          <w:b w:val="false"/>
          <w:bCs w:val="false"/>
          <w:i w:val="false"/>
          <w:iCs w:val="false"/>
          <w:sz w:val="22"/>
          <w:szCs w:val="22"/>
        </w:rPr>
        <w:t xml:space="preserve">Sąd najwyższy Solarii miał obowiązek, nie prawo, zwrócenia się z pytaniem prejudycjalnym (art. 267 akapit trzeci TFUE) — uczynił to we właściwej kolejności. Skarga o stwierdzenie nieważności decyzji Komisji nie wstrzymuje z mocy prawa jej skutków. Zawieszenie postępowania krajowego do czasu decyzji końcowej Komisji jest rozwiązaniem najbezpieczniejszym. W płaszczyźnie egzekucyjnej: wniosek o zawieszenie wykonania w reżimie konwencyjnym oraz powołanie art. 55 w państwach egzekucji.</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Heliox</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Odpowiedź Solarii / Komisji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Partycypacja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Ustalenia komitetu Aarhus potwierdzają wadliwość ram prawnych od początku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Art. 2 pkt 2 in fine wyłącza organ ustawodawczy; właściwy jest art. 8 — obowiązek starania bez sankcji nieważności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Certyfikaty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Imienny akt organu na cały okres wsparcia to okoliczność wyjątkowa (C-5/89)</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Certyfikat nie sanuje braku notyfikacji; staranny przedsiębiorca mógł ustalić stan procedury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Podstawa odzyskania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decyzji Komisji — środek krajowy bez umocowania w prawie Unii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Państwo może działać wyprzedzająco wobec ryzyka utrwalenia korzyści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Metoda ryczałtowa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Nie mierzy korzyści; narusza proporcjonalność, równość, prawo do obrony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Ryczałt zapewnia wykonalność i równe traktowanie beneficjentów</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Arbitraż</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Umowa mieszana z państwem trzecim — ratio Achmea nie sięga tej konfiguracji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Wykonanie wyroku odtwarza zakwestionowaną korzyść i samo jest pomocą (linia C-638/19 P)</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Wykonanie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Art. 53–54 ICSID wykluczają kontrolę merytoryczną</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Art. 54 ust. 3 poddaje egzekucję prawu krajowemu; art. 55 chroni immunitet egzekucyjny</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Data wydania certyfikatu wobec daty rozpoczęcia inwestycji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Przesądza okoliczność wyjątkową z C-5/89</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Certyfikat z datą, harmonogram nakładów</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program notyfikowano Komisji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jakiegokolwiek oczekiwania co do legalności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Zgłoszenie, korespondencja z Komisją</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Data przyznania pomocy dla każdej transzy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Bieg terminu przedawnienia z art. 17 rozp. 2015/1589</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Decyzje przyznające, harmonogram wypłat</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Metoda wyliczenia ryczałtu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Ocena proporcjonalności i prawa do obrony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Rozporządzenie wykonawcze, arkusze wyliczeniowe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Solaria jest stroną konwencji ICSID i w jakim reżimie wydano wyrok</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Przesądza, czy działa art. 54 czy konwencja nowojorska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Lista stron u depozytariusza, sentencja wyroku</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W płaszczyźnie krajowej: uchylić decyzje odzyskowe oparte na metodzie ryczałtowej i nakazać ustalenie rzeczywistej korzyści dla każdego projektu — zarzut samodzielny, do rozpoznania w pierwszej kolejności. W płaszczyźnie partycypacyjnej: oddalić żądanie oparte na art. 6 wobec wyłączenia z art. 2 pkt 2 in fine, ale stwierdzić naruszenie art. 8 lit. a–c, ze skutkiem ograniczonym do oceny zaufania inwestora, nie do nieważności ustawy. W płaszczyźnie oczekiwań: rozstrzygnięcie warunkowe zależne od daty wydania certyfikatu i statusu notyfikacyjnego programu. W płaszczyźnie arbitrażowej: nie orzekać o nieważności klauzuli na podstawie linii Achmea; zawiesić wykonanie wyroku do czasu decyzji końcowej Komisji i rozstrzygnięcia pytania prejudycjalnego. W płaszczyźnie egzekucyjnej: uznanie wyroku obowiązkowe, zakres egzekucji według prawa miejsca z zachowaniem immunitetu egzekucyjnego.</w:t>
      </w:r>
    </w:p>
    <w:p>
      <w:pPr>
        <w:pStyle w:val="Heading2"/>
        <w:spacing w:after="150" w:before="300"/>
      </w:pPr>
      <w:r>
        <w:t xml:space="preserve">Zweryfikowane pozycje źródłowe (K-01)</w:t>
      </w:r>
    </w:p>
    <w:p>
      <w:pPr>
        <w:pStyle w:val="ListParagraph"/>
        <w:pStyle w:val="normalPara"/>
        <w:numPr>
          <w:ilvl w:val="0"/>
          <w:numId w:val="1"/>
        </w:numPr>
        <w:spacing w:after="80"/>
      </w:pPr>
      <w:r>
        <w:t xml:space="preserve">TFUE, wersja skonsolidowana — art. 107–109, art. 267, art. 344. ✅ [VER: web_search, wielokrotne niezależne potwierdzenie treści, RZĄD 1]</w:t>
      </w:r>
    </w:p>
    <w:p>
      <w:pPr>
        <w:pStyle w:val="ListParagraph"/>
        <w:pStyle w:val="normalPara"/>
        <w:numPr>
          <w:ilvl w:val="0"/>
          <w:numId w:val="1"/>
        </w:numPr>
        <w:spacing w:after="80"/>
      </w:pPr>
      <w:r>
        <w:t xml:space="preserve">Rozporządzenie Rady (UE) 2015/1589 — art. 13, 16, 17. ✅ [VER: web_search, wtórne potwierdzenie treści, RZĄD 2A — zalecana bezpośrednia weryfikacja na eur-lex.europa.eu]</w:t>
      </w:r>
    </w:p>
    <w:p>
      <w:pPr>
        <w:pStyle w:val="ListParagraph"/>
        <w:pStyle w:val="normalPara"/>
        <w:numPr>
          <w:ilvl w:val="0"/>
          <w:numId w:val="1"/>
        </w:numPr>
        <w:spacing w:after="80"/>
      </w:pPr>
      <w:r>
        <w:t xml:space="preserve">Konwencja z Aarhus, art. 2 pkt 2 zdanie ostatnie, art. 6, art. 8. ✅ [VER: web_search, wielokrotne niezależne źródła w tym UNECE, RZĄD 1]</w:t>
      </w:r>
    </w:p>
    <w:p>
      <w:pPr>
        <w:pStyle w:val="ListParagraph"/>
        <w:pStyle w:val="normalPara"/>
        <w:numPr>
          <w:ilvl w:val="0"/>
          <w:numId w:val="1"/>
        </w:numPr>
        <w:spacing w:after="80"/>
      </w:pPr>
      <w:r>
        <w:t xml:space="preserve">C-284/16 Achmea (6.03.2018), C-741/19 Komstroy, C-109/20 PL Holdings. ✅ [VER: web_search, wielokrotne potwierdzenie sentencji, RZĄD 1]</w:t>
      </w:r>
    </w:p>
    <w:p>
      <w:pPr>
        <w:pStyle w:val="ListParagraph"/>
        <w:pStyle w:val="normalPara"/>
        <w:numPr>
          <w:ilvl w:val="0"/>
          <w:numId w:val="1"/>
        </w:numPr>
        <w:spacing w:after="80"/>
      </w:pPr>
      <w:r>
        <w:t xml:space="preserve">C-5/89 Komisja przeciwko Niemcom — uzasadnione oczekiwania a procedura notyfikacyjna. ⚠️ [NIEWERYFIKOWANE bezpośrednio w tej turze — treść pkt 13–16 wymaga potwierdzenia na eur-lex.europa.eu]</w:t>
      </w:r>
    </w:p>
    <w:p>
      <w:pPr>
        <w:pStyle w:val="ListParagraph"/>
        <w:pStyle w:val="normalPara"/>
        <w:numPr>
          <w:ilvl w:val="0"/>
          <w:numId w:val="1"/>
        </w:numPr>
        <w:spacing w:after="80"/>
      </w:pPr>
      <w:r>
        <w:t xml:space="preserve">C-638/19 P Komisja przeciwko European Food i in. ⚠️ [NIEWERYFIKOWANE bezpośrednio w tej turze]</w:t>
      </w:r>
    </w:p>
    <w:p>
      <w:pPr>
        <w:pStyle w:val="ListParagraph"/>
        <w:pStyle w:val="normalPara"/>
        <w:numPr>
          <w:ilvl w:val="0"/>
          <w:numId w:val="1"/>
        </w:numPr>
        <w:spacing w:after="80"/>
      </w:pPr>
      <w:r>
        <w:t xml:space="preserve">Konwencja ICSID, art. 41, 53, 54, 55. ⚠️ [NIEWERYFIKOWANE bezpośrednio w tej turze — zalecana weryfikacja na icsid.worldbank.org]</w:t>
      </w:r>
    </w:p>
    <w:p>
      <w:r>
        <w:br w:type="page"/>
      </w:r>
    </w:p>
    <w:p>
      <w:pPr>
        <w:pStyle w:val="Heading1"/>
        <w:spacing w:after="200" w:before="400"/>
      </w:pPr>
      <w:r>
        <w:t xml:space="preserve">K-02 Spór o Wąwóz Gordyjski</w:t>
      </w:r>
    </w:p>
    <w:p>
      <w:pPr>
        <w:spacing w:after="160"/>
      </w:pPr>
      <w:r>
        <w:rPr>
          <w:rFonts w:ascii="Calibri" w:cs="Calibri" w:eastAsia="Calibri" w:hAnsi="Calibri"/>
          <w:b w:val="false"/>
          <w:bCs w:val="false"/>
          <w:i/>
          <w:iCs/>
          <w:sz w:val="22"/>
          <w:szCs w:val="22"/>
        </w:rPr>
        <w:t xml:space="preserve">Ludność rdzenna, minerały krytyczne i odpowiedzialność państwa.</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rozstrzyga się na atrybucji przeprowadzonej per zachowanie, nie per podmiot. NEXCA jest jedną spółką, ale występują trzy odrębne zachowania — udział w przetargu i decyzja o realizacji projektu, decyzje o sposobie eksploatacji, zjazd pojazdu z trasy — i każde przechodzi test atrybucji osobno, z możliwie różnym wynikiem. Twierdzenie „spółka jest państwowa, więc państwo odpowiada za wszystko” jest błędem tej samej rangi co twierdzenie przeciwne.</w:t>
      </w:r>
    </w:p>
    <w:p>
      <w:pPr>
        <w:spacing w:after="160"/>
      </w:pPr>
      <w:r>
        <w:rPr>
          <w:rFonts w:ascii="Calibri" w:cs="Calibri" w:eastAsia="Calibri" w:hAnsi="Calibri"/>
          <w:b w:val="false"/>
          <w:bCs w:val="false"/>
          <w:i w:val="false"/>
          <w:iCs w:val="false"/>
          <w:sz w:val="22"/>
          <w:szCs w:val="22"/>
        </w:rPr>
        <w:t xml:space="preserve">Druga oś: zwrot traktatowy „udział upoważnionych przedstawicieli w podejmowaniu decyzji” jest tekstowo mocniejszy niż konsultacja i słabszy niż zgoda — to współdecydowanie: realny wpływ na treść rozstrzygnięcia, bez prawa weta.</w:t>
      </w:r>
    </w:p>
    <w:p>
      <w:pPr>
        <w:spacing w:after="160"/>
      </w:pPr>
      <w:r>
        <w:rPr>
          <w:rFonts w:ascii="Calibri" w:cs="Calibri" w:eastAsia="Calibri" w:hAnsi="Calibri"/>
          <w:b w:val="false"/>
          <w:bCs w:val="false"/>
          <w:i w:val="false"/>
          <w:iCs w:val="false"/>
          <w:sz w:val="22"/>
          <w:szCs w:val="22"/>
        </w:rPr>
        <w:t xml:space="preserve">Trzecia: brak ustalenia sprawcy cyberataku nie kończy sprawy. Zaniechanie zabezpieczenia systemu jest własnym zachowaniem państwa, ocenianym przez pryzmat należytej staranności, niezależnie od atrybucji samego incydentu.</w:t>
      </w:r>
    </w:p>
    <w:p>
      <w:pPr>
        <w:pStyle w:val="Heading2"/>
        <w:spacing w:after="150" w:before="300"/>
      </w:pPr>
      <w:r>
        <w:t xml:space="preserve">Mapa jurysdykcji i reżimów</w:t>
      </w:r>
    </w:p>
    <w:p>
      <w:pPr>
        <w:spacing w:after="160"/>
      </w:pPr>
      <w:r>
        <w:rPr>
          <w:rFonts w:ascii="Calibri" w:cs="Calibri" w:eastAsia="Calibri" w:hAnsi="Calibri"/>
          <w:b w:val="false"/>
          <w:bCs w:val="false"/>
          <w:i w:val="false"/>
          <w:iCs w:val="false"/>
          <w:sz w:val="22"/>
          <w:szCs w:val="22"/>
        </w:rPr>
        <w:t xml:space="preserve">Umowa dwustronna Alekostria–Restovia jest źródłem pierwszym. Artykuły KPM o odpowiedzialności państw (2001) dostarczają reguł wtórnych dotyczących atrybucji i konsekwencji naruszenia. Konwencja wiedeńska o prawie traktatów dostarcza reguł wykładni. Konwencja MOP nr 169 wiąże wyłącznie państwa-strony — kazus nie podaje statusu ratyfikacyjnego żadnego z trzech państw. Deklaracja ONZ o prawach ludów tubylczych jest niewiążąca; jej rola jest interpretacyjna przez art. 31 ust. 3 lit. c konwencji wiedeńskiej. Sollania jest państwem trzecim wobec umowy dwustronnej — nie czerpie z niej praw ani obowiązków bez zgody (art. 34 KWPT).</w:t>
      </w:r>
    </w:p>
    <w:p>
      <w:pPr>
        <w:pStyle w:val="Heading2"/>
        <w:spacing w:after="150" w:before="300"/>
      </w:pPr>
      <w:r>
        <w:t xml:space="preserve">Analiza materialna według zagadnień</w:t>
      </w:r>
    </w:p>
    <w:p>
      <w:pPr>
        <w:pStyle w:val="Heading3"/>
        <w:spacing w:after="120" w:before="250"/>
      </w:pPr>
      <w:r>
        <w:t xml:space="preserve">1. Konsultacja, współdecydowanie czy zgoda</w:t>
      </w:r>
    </w:p>
    <w:p>
      <w:pPr>
        <w:spacing w:after="160"/>
      </w:pPr>
      <w:r>
        <w:rPr>
          <w:rFonts w:ascii="Calibri" w:cs="Calibri" w:eastAsia="Calibri" w:hAnsi="Calibri"/>
          <w:b w:val="false"/>
          <w:bCs w:val="false"/>
          <w:i w:val="false"/>
          <w:iCs w:val="false"/>
          <w:sz w:val="22"/>
          <w:szCs w:val="22"/>
        </w:rPr>
        <w:t xml:space="preserve">Zwykłe znaczenie zwrotu „udział przedstawicieli w podejmowaniu decyzji” (art. 31 ust. 1 KWPT) plasuje obowiązek między konsultacją a zgodą. Art. 31 ust. 3 lit. c KWPT pozwala uwzględnić przy wykładni instrumenty powiązane: konwencja MOP nr 169 — jeżeli ratyfikowana — wymaga konsultacji w dobrej wierze w celu osiągnięcia porozumienia lub zgody (art. 6 ust. 2), szczególnie przed eksploatacją zasobów podpowierzchniowych (art. 15 ust. 2); Deklaracja ONZ nakazuje dążenie do uzyskania dobrowolnej, uprzedniej i świadomej zgody (art. 19, art. 32 ust. 2) — ale „w celu uzyskania zgody” nie jest tożsame z „za zgodą”. Wniosek: obowiązek to współdecydowanie. Restovia utworzyła mechanizm, udostępniła materiały, zorganizowała spotkania — ale nie wykazała udziału przedstawicieli w podejmowaniu decyzji, nie tylko w jej poprzedzaniu.</w:t>
      </w:r>
    </w:p>
    <w:p>
      <w:pPr>
        <w:pStyle w:val="Heading3"/>
        <w:spacing w:after="120" w:before="250"/>
      </w:pPr>
      <w:r>
        <w:t xml:space="preserve">2. Reprezentatywność, bojkot i podział wewnętrzny</w:t>
      </w:r>
    </w:p>
    <w:p>
      <w:pPr>
        <w:spacing w:after="160"/>
      </w:pPr>
      <w:r>
        <w:rPr>
          <w:rFonts w:ascii="Calibri" w:cs="Calibri" w:eastAsia="Calibri" w:hAnsi="Calibri"/>
          <w:b w:val="false"/>
          <w:bCs w:val="false"/>
          <w:i w:val="false"/>
          <w:iCs w:val="false"/>
          <w:sz w:val="22"/>
          <w:szCs w:val="22"/>
        </w:rPr>
        <w:t xml:space="preserve">Upoważnienie przedstawicieli pochodzi od społeczności, nie od państwa — jeśli Restovia sama wskazała rozmówców, mechanizm jest wadliwy niezależnie od jakości materiałów. Rozbieżność stanowisk elderów nie unieważnia procesu — wymaga udokumentowania obu stanowisk. Bojkot Sollanii nie obciąża Restovii wobec Alekostrii (art. 34 KWPT), ale jeśli ludność Pilemon jest jedną społecznością transgraniczną, wykluczenie jej części podważa reprezentatywność mechanizmu jako takiego.</w:t>
      </w:r>
    </w:p>
    <w:p>
      <w:pPr>
        <w:pStyle w:val="Heading3"/>
        <w:spacing w:after="120" w:before="250"/>
      </w:pPr>
      <w:r>
        <w:t xml:space="preserve">3. Atrybucja: trzy testy, trzy zachowania</w:t>
      </w:r>
    </w:p>
    <w:p>
      <w:pPr>
        <w:spacing w:after="160"/>
      </w:pPr>
      <w:r>
        <w:rPr>
          <w:rFonts w:ascii="Calibri" w:cs="Calibri" w:eastAsia="Calibri" w:hAnsi="Calibri"/>
          <w:b w:val="false"/>
          <w:bCs w:val="false"/>
          <w:i w:val="false"/>
          <w:iCs w:val="false"/>
          <w:sz w:val="22"/>
          <w:szCs w:val="22"/>
        </w:rPr>
        <w:t xml:space="preserve">Test art. 4 artykułów KPM (organ państwa) — kazus nie podaje statusu NEXCA w prawie krajowym Alekostrii. Test art. 5 (osoba upoważniona do wykonywania elementów władzy publicznej) nie przechodzi: wydobycie minerałów za granicą to działalność gospodarcza, a wymóg zgody politycznej na projekty zagraniczne to nadzór właścicielski, nie przekazanie władztwa. Test art. 8 (instrukcje, kierownictwo lub kontrola przy wykonywaniu konkretnego zachowania) rozdziela wynik: udział w przetargu i decyzja o realizacji projektu — zgoda polityczna jako instrukcja co do tego zachowania, test przechodzi; decyzje o sposobie eksploatacji — brak wskazania wymogu zgody, test nie przechodzi bez dodatkowego materiału; zjazd pojazdu wywołany najprawdopodobniej złośliwym oprogramowaniem osoby trzeciej — nikt nim nie kierował, test nie przechodzi. Test art. 11 nie przechodzi — Alekostria żąda wstrzymania projektu, więc dystansuje się od skutków. Rezultat: Alekostrii można przypisać decyzję o wejściu w projekt, nie incydent z pojazdem.</w:t>
      </w:r>
    </w:p>
    <w:p>
      <w:pPr>
        <w:pStyle w:val="Heading3"/>
        <w:spacing w:after="120" w:before="250"/>
      </w:pPr>
      <w:r>
        <w:t xml:space="preserve">4. Należyta staranność</w:t>
      </w:r>
    </w:p>
    <w:p>
      <w:pPr>
        <w:spacing w:after="160"/>
      </w:pPr>
      <w:r>
        <w:rPr>
          <w:rFonts w:ascii="Calibri" w:cs="Calibri" w:eastAsia="Calibri" w:hAnsi="Calibri"/>
          <w:b w:val="false"/>
          <w:bCs w:val="false"/>
          <w:i w:val="false"/>
          <w:iCs w:val="false"/>
          <w:sz w:val="22"/>
          <w:szCs w:val="22"/>
        </w:rPr>
        <w:t xml:space="preserve">Odpadnięcie atrybucji za incydent nie kończy odpowiedzialności — przenosi ją na naruszenie własnego obowiązku należytej staranności, ocenianego jako obowiązek starannego działania, nie rezultatu. Wprowadzenie systemu półautonomicznego w strefie sakralnej, przy znanym sporze, podnosi wymagany próg. Elementy testu: czy istniała ocena ryzyka obejmująca ingerencję w oprogramowanie, czy zastosowano adekwatne zabezpieczenia, czy istniał mechanizm awaryjnego przejęcia sterowania. Materiał nie pozwala rozstrzygnąć, czy system był właściwie zabezpieczony — rozstrzygnięcie warunkowe, ciężar dowodu po stronie Alekostrii/NEXCA.</w:t>
      </w:r>
    </w:p>
    <w:p>
      <w:pPr>
        <w:pStyle w:val="Heading3"/>
        <w:spacing w:after="120" w:before="250"/>
      </w:pPr>
      <w:r>
        <w:t xml:space="preserve">5. Jeden czyn czy kilka</w:t>
      </w:r>
    </w:p>
    <w:p>
      <w:pPr>
        <w:spacing w:after="160"/>
      </w:pPr>
      <w:r>
        <w:rPr>
          <w:rFonts w:ascii="Calibri" w:cs="Calibri" w:eastAsia="Calibri" w:hAnsi="Calibri"/>
          <w:b w:val="false"/>
          <w:bCs w:val="false"/>
          <w:i w:val="false"/>
          <w:iCs w:val="false"/>
          <w:sz w:val="22"/>
          <w:szCs w:val="22"/>
        </w:rPr>
        <w:t xml:space="preserve">Zjazd pojazdu i śmierć funkcjonariusza — czyn jednorazowy o trwających skutkach. Naruszenie strefy sakralnej, jeśli stan naruszenia się utrzymuje — czyn ciągły z samodzielnym żądaniem zaprzestania. Wadliwość mechanizmu udziału i kolejne decyzje eksploatacyjne — czyn złożony liczony od pierwszej czynności (art. 14–15 artykułów KPM).</w:t>
      </w:r>
    </w:p>
    <w:p>
      <w:pPr>
        <w:pStyle w:val="Heading3"/>
        <w:spacing w:after="120" w:before="250"/>
      </w:pPr>
      <w:r>
        <w:t xml:space="preserve">6. Ekstradycja</w:t>
      </w:r>
    </w:p>
    <w:p>
      <w:pPr>
        <w:spacing w:after="160"/>
      </w:pPr>
      <w:r>
        <w:rPr>
          <w:rFonts w:ascii="Calibri" w:cs="Calibri" w:eastAsia="Calibri" w:hAnsi="Calibri"/>
          <w:b w:val="false"/>
          <w:bCs w:val="false"/>
          <w:i w:val="false"/>
          <w:iCs w:val="false"/>
          <w:sz w:val="22"/>
          <w:szCs w:val="22"/>
        </w:rPr>
        <w:t xml:space="preserve">Opis kazusu jest wewnętrznie sprzeczny: odmowa ekstradycji i żądanie „zwrotu zatrzymanej kierowniczki” nie mogą być prawdziwe jednocześnie wobec tej samej osoby. Nie wolno wypełniać tego braku domysłem. Jeżeli kierowniczka jest w Alekostrii: brak ogólnego obowiązku ekstradycji poza traktatem; odmowa wymaga konkretyzacji zagrożonych gwarancji procesowych. Jeżeli jest zatrzymana w Restovii: jurysdykcja terytorialna Restovii jest tytułem najmocniejszym; funkcja w spółce państwowej nie daje immunitetu; właściwym instrumentem jest opieka konsularna, nie żądanie wydania.</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Restovii</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Odpowiedź Alekostrii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Charakter obowiązku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Mechanizm konsultacyjny wyczerpuje obowiązek udziału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Tekst mówi o udziale w podejmowaniu decyzji, nie o jej poprzedzaniu</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Reprezentatywność</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Elderzy są instytucją przedstawicielską</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Państwo nie może samo wskazywać partnera dialogu</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Atrybucja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Spółka państwowa, zgoda polityczna na projekty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Własność i nadzór to nie upoważnienie ustawowe ani kontrola nad zachowaniem</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Incydent</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Odpowiedzialność za skutki systemu wdrożonego przez podmiot państwowy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instrukcji i kontroli nad tym zachowaniem</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Staranność</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Wdrożenie podatnego systemu w strefie wrażliwej to naruszenie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Zastosowano środki adekwatne do stanu wiedzy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Ekstradycja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Odmowa narusza zobowiązania z relacji dwustronnej</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ogólnego obowiązku poza traktatem</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Dosłowne brzmienie klauzuli o udziale przedstawicieli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Przesądza między konsultacją, współdecydowaniem a zgodą</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Tekst umowy, protokoły negocjacyjne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Status prawny NEXCA w prawie Alekostrii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testu z art. 4 artykułów KPM</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Ustawa o utworzeniu spółki, statut</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zgody politycznej na projekt</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testu z art. 8 dla poszczególnych zachowań</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Uchwała organu, korespondencja z zarządem</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Dokumentacja bezpieczeństwa pojazdu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Rdzeń oceny należytej staranności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Analiza ryzyka, logi systemu, raport powypadkowy</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Miejsce pobytu kierowniczki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Opis wewnętrznie sprzeczny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Wniosek ekstradycyjny, postanowienie o zatrzymaniu</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Status ratyfikacyjny konwencji MOP 169</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Czy instrument w ogóle wiąże</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Rejestr ratyfikacji MOP</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Stwierdzić, że obowiązek traktatowy oznacza współdecydowanie — realny wpływ na treść rozstrzygnięcia, bez prawa weta — i nakazać Restovii wykazanie, jak stanowiska przedstawicieli uwzględniono w decyzji o wariancie eksploatacji; przy braku wykazania — powtórzenie etapu decyzyjnego z udziałem przedstawicieli Pilemon, w tym zamieszkujących poza Restovią. Oddalić zarzut oparty na bojkocie Sollanii jako naruszeniu umowy dwustronnej, przenosząc ten materiał do oceny reprezentatywności. Przypisać Alekostrii decyzję o wejściu w projekt, nie przypisywać incydentu z pojazdem — z zastrzeżeniem odrębnej odpowiedzialności za zaniechanie należytej staranności, rozstrzygnięcie warunkowe zależne od dokumentacji zabezpieczeń. Nie rozstrzygać kwestii ekstradycji bez usunięcia sprzeczności faktycznej w opisie. Środek tymczasowy: wstrzymanie robót wyłącznie w strefie sakralnej do zakończenia powtórzonego etapu decyzyjnego.</w:t>
      </w:r>
    </w:p>
    <w:p>
      <w:pPr>
        <w:pStyle w:val="Heading2"/>
        <w:spacing w:after="150" w:before="300"/>
      </w:pPr>
      <w:r>
        <w:t xml:space="preserve">Zweryfikowane pozycje źródłowe (K-02)</w:t>
      </w:r>
    </w:p>
    <w:p>
      <w:pPr>
        <w:pStyle w:val="ListParagraph"/>
        <w:pStyle w:val="normalPara"/>
        <w:numPr>
          <w:ilvl w:val="0"/>
          <w:numId w:val="1"/>
        </w:numPr>
        <w:spacing w:after="80"/>
      </w:pPr>
      <w:r>
        <w:t xml:space="preserve">Konwencja wiedeńska o prawie traktatów — art. 28, 31, 32, 34. ✅ [VER: web_search, treść wielokrotnie potwierdzona, RZĄD 1]</w:t>
      </w:r>
    </w:p>
    <w:p>
      <w:pPr>
        <w:pStyle w:val="ListParagraph"/>
        <w:pStyle w:val="normalPara"/>
        <w:numPr>
          <w:ilvl w:val="0"/>
          <w:numId w:val="1"/>
        </w:numPr>
        <w:spacing w:after="80"/>
      </w:pPr>
      <w:r>
        <w:t xml:space="preserve">Artykuły KPM o odpowiedzialności państw (2001) — art. 4, 5, 8, 11, 14–15. ⚠️ [NIEWERYFIKOWANE bezpośrednio w tej turze — zalecana weryfikacja u depozytariusza lub przez tekst załącznika do rezolucji ZO ONZ 56/83]</w:t>
      </w:r>
    </w:p>
    <w:p>
      <w:pPr>
        <w:pStyle w:val="ListParagraph"/>
        <w:pStyle w:val="normalPara"/>
        <w:numPr>
          <w:ilvl w:val="0"/>
          <w:numId w:val="1"/>
        </w:numPr>
        <w:spacing w:after="80"/>
      </w:pPr>
      <w:r>
        <w:t xml:space="preserve">Konwencja MOP nr 169, art. 6, 7, 15. ⚠️ [NIEWERYFIKOWANE bezpośrednio w tej turze — zalecana weryfikacja na ilo.org]</w:t>
      </w:r>
    </w:p>
    <w:p>
      <w:pPr>
        <w:pStyle w:val="ListParagraph"/>
        <w:pStyle w:val="normalPara"/>
        <w:numPr>
          <w:ilvl w:val="0"/>
          <w:numId w:val="1"/>
        </w:numPr>
        <w:spacing w:after="80"/>
      </w:pPr>
      <w:r>
        <w:t xml:space="preserve">Deklaracja ONZ o prawach ludów tubylczych, art. 19, 32 — instrument niewiążący. ⚠️ [NIEWERYFIKOWANE bezpośrednio w tej turze — zalecana weryfikacja na ohchr.org]</w:t>
      </w:r>
    </w:p>
    <w:p>
      <w:r>
        <w:br w:type="page"/>
      </w:r>
    </w:p>
    <w:p>
      <w:pPr>
        <w:pStyle w:val="Heading1"/>
        <w:spacing w:after="200" w:before="400"/>
      </w:pPr>
      <w:r>
        <w:t xml:space="preserve">K-03 Vitoria i Graviola przeciwko Uxi</w:t>
      </w:r>
    </w:p>
    <w:p>
      <w:pPr>
        <w:spacing w:after="160"/>
      </w:pPr>
      <w:r>
        <w:rPr>
          <w:rFonts w:ascii="Calibri" w:cs="Calibri" w:eastAsia="Calibri" w:hAnsi="Calibri"/>
          <w:b w:val="false"/>
          <w:bCs w:val="false"/>
          <w:i/>
          <w:iCs/>
          <w:sz w:val="22"/>
          <w:szCs w:val="22"/>
        </w:rPr>
        <w:t xml:space="preserve">Inwigilacja cyfrowa, wolność prasy i bezpieczeństwo narodowe — adaptacja dydaktyczna problemu Price Media Law Moot 2025–2026.</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jeden spór o inwigilację cyfrową kontra wolność prasy, a rozstrzyga się na rozdzieleniu czterech odrębnych środków państwa, z których każdy wymaga własnego testu legalności, celu i proporcjonalności: ustawa definiująca „potencjalne zagrożenie”; przeszukanie graniczne i kopiowanie danych Vitorii; zdalna infekcja narzędziem nadzoru urządzenia Gravioli; sądowy zakaz publikacji. Do tego dochodzą dwie konsekwencje pochodne — zwolnienie z uczelni i postępowanie migracyjne — które są odrębnymi decyzjami odrębnych podmiotów, ocenianymi własnymi kryteriami.</w:t>
      </w:r>
    </w:p>
    <w:p>
      <w:pPr>
        <w:spacing w:after="160"/>
      </w:pPr>
      <w:r>
        <w:rPr>
          <w:rFonts w:ascii="Calibri" w:cs="Calibri" w:eastAsia="Calibri" w:hAnsi="Calibri"/>
          <w:b w:val="false"/>
          <w:bCs w:val="false"/>
          <w:i w:val="false"/>
          <w:iCs w:val="false"/>
          <w:sz w:val="22"/>
          <w:szCs w:val="22"/>
        </w:rPr>
        <w:t xml:space="preserve">Druga oś: polubienie komentarza jest czynem komunikacyjnym o bardzo niskiej intensywności ekspresyjnej, objętym art. 10, ale to ustalenie działa na korzyść Vitorii — kwalifikowanie go jako podżegania wymaga wykazania elementu, którego samo kliknięcie nie niesie.</w:t>
      </w:r>
    </w:p>
    <w:p>
      <w:pPr>
        <w:spacing w:after="160"/>
      </w:pPr>
      <w:r>
        <w:rPr>
          <w:rFonts w:ascii="Calibri" w:cs="Calibri" w:eastAsia="Calibri" w:hAnsi="Calibri"/>
          <w:b w:val="false"/>
          <w:bCs w:val="false"/>
          <w:i w:val="false"/>
          <w:iCs w:val="false"/>
          <w:sz w:val="22"/>
          <w:szCs w:val="22"/>
        </w:rPr>
        <w:t xml:space="preserve">Trzecia: ochrona źródeł dziennikarskich i materiału niepublikowanego to reżim silniejszy niż ogólna ochrona prywatności — wymaga uprzedniej kontroli niezależnego organu, zanim władza uzyska dostęp do treści zdolnej ujawnić źródło.</w:t>
      </w:r>
    </w:p>
    <w:p>
      <w:pPr>
        <w:pStyle w:val="Heading2"/>
        <w:spacing w:after="150" w:before="300"/>
      </w:pPr>
      <w:r>
        <w:t xml:space="preserve">Mapa jurysdykcji, źródeł i kompetencji</w:t>
      </w:r>
    </w:p>
    <w:p>
      <w:pPr>
        <w:spacing w:after="160"/>
      </w:pPr>
      <w:r>
        <w:rPr>
          <w:rFonts w:ascii="Calibri" w:cs="Calibri" w:eastAsia="Calibri" w:hAnsi="Calibri"/>
          <w:b w:val="false"/>
          <w:bCs w:val="false"/>
          <w:i w:val="false"/>
          <w:iCs w:val="false"/>
          <w:sz w:val="22"/>
          <w:szCs w:val="22"/>
        </w:rPr>
        <w:t xml:space="preserve">Rama normatywna osadza spór w standardzie właściwym systemowi ochrony praw człowieka typu europejskiego: trójstopniowy test ingerencji w prawa z art. 8 i art. 10 — podstawa w prawie krajowym o odpowiedniej jakości, cel legitymowany, konieczność w demokratycznym społeczeństwie. Margines oceny państwa jest szerszy przy bezpieczeństwie narodowym, ale nie znosi wymogu skutecznej kontroli sądowej ex post, a przy inwigilacji tajnej — również ex ante. Sąd krajowy Uxi jest właściwym forum kontroli proporcjonalności zakazu publikacji; organ migracyjny i uczelnia prowadzą odrębne postępowania o innym reżimie dowodowym.</w:t>
      </w:r>
    </w:p>
    <w:p>
      <w:pPr>
        <w:pStyle w:val="Heading2"/>
        <w:spacing w:after="150" w:before="300"/>
      </w:pPr>
      <w:r>
        <w:t xml:space="preserve">Analiza materialna według zagadnień</w:t>
      </w:r>
    </w:p>
    <w:p>
      <w:pPr>
        <w:pStyle w:val="Heading3"/>
        <w:spacing w:after="120" w:before="250"/>
      </w:pPr>
      <w:r>
        <w:t xml:space="preserve">1. Przewidywalność kryterium „potencjalnego zagrożenia”</w:t>
      </w:r>
    </w:p>
    <w:p>
      <w:pPr>
        <w:spacing w:after="160"/>
      </w:pPr>
      <w:r>
        <w:rPr>
          <w:rFonts w:ascii="Calibri" w:cs="Calibri" w:eastAsia="Calibri" w:hAnsi="Calibri"/>
          <w:b w:val="false"/>
          <w:bCs w:val="false"/>
          <w:i w:val="false"/>
          <w:iCs w:val="false"/>
          <w:sz w:val="22"/>
          <w:szCs w:val="22"/>
        </w:rPr>
        <w:t xml:space="preserve">Test jakości prawa wymaga, by norma była dostępna i sformułowana z precyzją pozwalającą przewidzieć konsekwencje zachowania oraz ograniczającą dyskrecjonalność organu. Kazus nie podaje definicji ustawowej „potencjalnego zagrożenia” ani katalogu przesłanek — bez treści przepisu nie da się ocenić, czy kryterium mieści się w standardzie wypracowanym wobec klauzul generalnych w prawie antyterrorystycznym, gdzie brak wymogu „uzasadnionego podejrzenia” musi być skompensowany innymi zabezpieczeniami proceduralnymi.</w:t>
      </w:r>
    </w:p>
    <w:p>
      <w:pPr>
        <w:pStyle w:val="Heading3"/>
        <w:spacing w:after="120" w:before="250"/>
      </w:pPr>
      <w:r>
        <w:t xml:space="preserve">2. Przeszukanie graniczne i zdalna ingerencja w urządzenie dziennikarki</w:t>
      </w:r>
    </w:p>
    <w:p>
      <w:pPr>
        <w:spacing w:after="160"/>
      </w:pPr>
      <w:r>
        <w:rPr>
          <w:rFonts w:ascii="Calibri" w:cs="Calibri" w:eastAsia="Calibri" w:hAnsi="Calibri"/>
          <w:b w:val="false"/>
          <w:bCs w:val="false"/>
          <w:i w:val="false"/>
          <w:iCs w:val="false"/>
          <w:sz w:val="22"/>
          <w:szCs w:val="22"/>
        </w:rPr>
        <w:t xml:space="preserve">Przeszukanie na granicy bez wymogu uzasadnionego podejrzenia nie jest automatycznie niedopuszczalne — rozstrzyga jakość zabezpieczeń towarzyszących. Skopiowanie danych idzie dalej niż samo pytanie i przeszukanie bagażu i wymaga zabezpieczeń proporcjonalnych do intensywności ingerencji. Zdalna infekcja urządzenia Gravioli jest jakościowo innym środkiem — inwigilacją tajną, ciągłą, obejmującą materiał niepublikowany i dane mogące ujawnić źródło. Reżim wzmocniony wymaga uprzedniej kontroli niezależnego organu. Kazus nie wskazuje, czy taka kontrola miała miejsce ani kto zainicjował infekcję.</w:t>
      </w:r>
    </w:p>
    <w:p>
      <w:pPr>
        <w:pStyle w:val="Heading3"/>
        <w:spacing w:after="120" w:before="250"/>
      </w:pPr>
      <w:r>
        <w:t xml:space="preserve">3. Gwarancje ochrony źródeł i materiału niepublikowanego</w:t>
      </w:r>
    </w:p>
    <w:p>
      <w:pPr>
        <w:spacing w:after="160"/>
      </w:pPr>
      <w:r>
        <w:rPr>
          <w:rFonts w:ascii="Calibri" w:cs="Calibri" w:eastAsia="Calibri" w:hAnsi="Calibri"/>
          <w:b w:val="false"/>
          <w:bCs w:val="false"/>
          <w:i w:val="false"/>
          <w:iCs w:val="false"/>
          <w:sz w:val="22"/>
          <w:szCs w:val="22"/>
        </w:rPr>
        <w:t xml:space="preserve">Standard proceduralny wymaga kontroli ex ante przez sędziego lub inny niezależny organ władny ocenić, czy interes śledztwa przeważa nad interesem publicznym w ochronie źródła, zanim dojdzie do ujawnienia; wyczerpania środków alternatywnych; oraz proporcjonalności zakresu żądanego materiału. Materiał od anonimowego źródła dotyczący niejawnego systemu identyfikacji migrantów podnosi, a nie obniża, wymagany standard ochrony.</w:t>
      </w:r>
    </w:p>
    <w:p>
      <w:pPr>
        <w:pStyle w:val="Heading3"/>
        <w:spacing w:after="120" w:before="250"/>
      </w:pPr>
      <w:r>
        <w:t xml:space="preserve">4. Polubienie komentarza jako podstawa zarzutu</w:t>
      </w:r>
    </w:p>
    <w:p>
      <w:pPr>
        <w:spacing w:after="160"/>
      </w:pPr>
      <w:r>
        <w:rPr>
          <w:rFonts w:ascii="Calibri" w:cs="Calibri" w:eastAsia="Calibri" w:hAnsi="Calibri"/>
          <w:b w:val="false"/>
          <w:bCs w:val="false"/>
          <w:i w:val="false"/>
          <w:iCs w:val="false"/>
          <w:sz w:val="22"/>
          <w:szCs w:val="22"/>
        </w:rPr>
        <w:t xml:space="preserve">Kliknięcie „lubię to” mieści się w zakresie ekspresji chronionej — jest wyrazem zainteresowania lub aprobaty, nie działaniem organizacyjnym. Kwalifikacja jako poparcie mobilizacji wymaga wykazania elementu wykraczającego poza samą aprobatę: wezwania do konkretnego, bezprawnego działania oraz powiązania przyczynowego. Rola Vitorii jako byłej doradczyni ministerstwa i uczestniczki debaty publicznej o istotnym znaczeniu korzysta z węższego marginesu oceny państwa, nie szerszego.</w:t>
      </w:r>
    </w:p>
    <w:p>
      <w:pPr>
        <w:pStyle w:val="Heading3"/>
        <w:spacing w:after="120" w:before="250"/>
      </w:pPr>
      <w:r>
        <w:t xml:space="preserve">5. Proporcjonalność całkowitej blokady publikacji</w:t>
      </w:r>
    </w:p>
    <w:p>
      <w:pPr>
        <w:spacing w:after="160"/>
      </w:pPr>
      <w:r>
        <w:rPr>
          <w:rFonts w:ascii="Calibri" w:cs="Calibri" w:eastAsia="Calibri" w:hAnsi="Calibri"/>
          <w:b w:val="false"/>
          <w:bCs w:val="false"/>
          <w:i w:val="false"/>
          <w:iCs w:val="false"/>
          <w:sz w:val="22"/>
          <w:szCs w:val="22"/>
        </w:rPr>
        <w:t xml:space="preserve">Zakaz sądowy obejmujący całość planowanej publikacji jest środkiem najdalej idącym — uprzednią cenzurą. Standard proporcjonalności wymaga wykazania, że mniej inwazyjny środek był niewystarczający. Kazus nie podaje treści postanowienia sądu ani zakresu materiału uznanego za tajny, co uniemożliwia ocenę, czy blokada całości była konieczna.</w:t>
      </w:r>
    </w:p>
    <w:p>
      <w:pPr>
        <w:pStyle w:val="Heading3"/>
        <w:spacing w:after="120" w:before="250"/>
      </w:pPr>
      <w:r>
        <w:t xml:space="preserve">6. Kumulacja środków wobec Vitorii</w:t>
      </w:r>
    </w:p>
    <w:p>
      <w:pPr>
        <w:spacing w:after="160"/>
      </w:pPr>
      <w:r>
        <w:rPr>
          <w:rFonts w:ascii="Calibri" w:cs="Calibri" w:eastAsia="Calibri" w:hAnsi="Calibri"/>
          <w:b w:val="false"/>
          <w:bCs w:val="false"/>
          <w:i w:val="false"/>
          <w:iCs w:val="false"/>
          <w:sz w:val="22"/>
          <w:szCs w:val="22"/>
        </w:rPr>
        <w:t xml:space="preserve">Utrata pracy, postępowanie o cofnięcie pobytu, zatrzymanie graniczne i przeszukanie to cztery zdarzenia następujące po jednym akcie ekspresji niskiej intensywności. Kumulacja rodzi obowiązek zbadania, czy poszczególne środki mają samodzielne podstawy faktyczne, czy stanowią jedną reakcję rozłożoną na kilka instytucji. Twierdzenie państwa o wiedzy dotyczącej kontaktów Vitorii z przestępczością zorganizowaną wymaga wykazania, czy była podstawą któregokolwiek środka — ciężar po stronie państwa.</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Vitorii/Gravioli</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Odpowiedź Uxi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Kryterium ustawowe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definicji czyni normę nieprzewidywalną</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Klauzule generalne dopuszczalne, o ile skompensowane nadzorem</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Przeszukanie graniczne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Kopiowanie danych bez kontroli sądowej jest nieproporcjonalne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Kontrola uzasadniona celem bezpieczeństwa</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Infekcja urządzenia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uprzedniej kontroli narusza ochronę źródeł</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wskazanego stanowiska co do zlecenia infekcji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Polubienie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Kliknięcie to aprobata, nie wezwanie do działania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Kontekst kampanii wskazuje na świadome poparcie</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Zakaz publikacji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Blokada całości to nieproporcjonalna cenzura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Materiał dotyczy niejawnego systemu bezpieczeństwa</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Kumulacja sankcji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Cztery środki to represja rozproszona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Każdy środek ma odrębną podstawę faktyczną</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definicji „potencjalnego zagrożenia”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testu jakości prawa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Tekst ustawy, prace legislacyjne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Kto zlecił infekcję urządzenia Gravioli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przypisywalności państwu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Raport techniczny, dokumentacja służb</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nastąpiła uprzednia kontrola niezależnego organu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Rozstrzyga o naruszeniu ochrony źródeł</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Wniosek o autoryzację, postanowienie organu nadzorczego</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postanowienia blokującego publikację</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proporcjonalności blokady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Treść postanowienia, uzasadnienie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Podstawa twierdzenia o kontaktach Vitorii z przestępczością zorganizowaną</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Rozstrzyga, czy to argument samodzielny czy post hoc</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Materiał operacyjny, chronologia decyzji</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Chronologia czterech środków wobec Vitorii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Rozstrzyga, czy to działania skoordynowane</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Daty wszczęcia każdego postępowania</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W zakresie kryterium ustawowego: rozstrzygnięcie warunkowe zależne od treści definicji. W zakresie przeszukania granicznego: dopuścić zatrzymanie jako mieszczące się w marginesie oceny; kopiowanie danych wymaga dodatkowego uzasadnienia proporcjonalności. W zakresie infekcji urządzenia: stwierdzić naruszenie wzmocnionego reżimu ochrony źródeł, chyba że państwo wykaże uprzednią kontrolę niezależnego organu. W zakresie polubienia: oddalić zarzut podżegania. W zakresie zakazu publikacji: nakazać zawężenie blokady do konkretnych danych zdolnych ujawnić źródło, z dopuszczeniem publikacji pozostałej części materiału. W zakresie kumulacji: nakazać zbadanie odrębnie podstawy faktycznej każdego z czterech środków.</w:t>
      </w:r>
    </w:p>
    <w:p>
      <w:pPr>
        <w:pStyle w:val="Heading2"/>
        <w:spacing w:after="150" w:before="300"/>
      </w:pPr>
      <w:r>
        <w:t xml:space="preserve">Zweryfikowane pozycje źródłowe (K-03)</w:t>
      </w:r>
    </w:p>
    <w:p>
      <w:pPr>
        <w:pStyle w:val="ListParagraph"/>
        <w:pStyle w:val="normalPara"/>
        <w:numPr>
          <w:ilvl w:val="0"/>
          <w:numId w:val="1"/>
        </w:numPr>
        <w:spacing w:after="80"/>
      </w:pPr>
      <w:r>
        <w:t xml:space="preserve">Problem Price Media Law Moot 2025–2026. ✅ [VER: dokument organizatora wskazany w kazusie, RZĄD 1]</w:t>
      </w:r>
    </w:p>
    <w:p>
      <w:pPr>
        <w:pStyle w:val="ListParagraph"/>
        <w:pStyle w:val="normalPara"/>
        <w:numPr>
          <w:ilvl w:val="0"/>
          <w:numId w:val="1"/>
        </w:numPr>
        <w:spacing w:after="80"/>
      </w:pPr>
      <w:r>
        <w:t xml:space="preserve">Sanoma Uitgevers B.V. przeciwko Holandii, wyrok Wielkiej Izby ETPCz z 14.09.2010 r. ✅ [VER: web_search, wielokrotne niezależne źródła w tym tekst wyroku, RZĄD 1]</w:t>
      </w:r>
    </w:p>
    <w:p>
      <w:pPr>
        <w:pStyle w:val="ListParagraph"/>
        <w:pStyle w:val="normalPara"/>
        <w:numPr>
          <w:ilvl w:val="0"/>
          <w:numId w:val="1"/>
        </w:numPr>
        <w:spacing w:after="80"/>
      </w:pPr>
      <w:r>
        <w:t xml:space="preserve">Big Brother Watch i inni przeciwko Zjednoczonemu Królestwu, wyrok Wielkiej Izby ETPCz z 25.05.2021 r. ✅ [VER: web_search, wielokrotne niezależne komentarze, RZĄD 2A]</w:t>
      </w:r>
    </w:p>
    <w:p>
      <w:pPr>
        <w:pStyle w:val="ListParagraph"/>
        <w:pStyle w:val="normalPara"/>
        <w:numPr>
          <w:ilvl w:val="0"/>
          <w:numId w:val="1"/>
        </w:numPr>
        <w:spacing w:after="80"/>
      </w:pPr>
      <w:r>
        <w:t xml:space="preserve">Roman Zakharov przeciwko Rosji, wyrok Wielkiej Izby ETPCz z 4.12.2015 r. ✅ [VER: hudoc.echr.coe.int oraz komentarze niezależne, RZĄD 1]</w:t>
      </w:r>
    </w:p>
    <w:p>
      <w:pPr>
        <w:pStyle w:val="ListParagraph"/>
        <w:pStyle w:val="normalPara"/>
        <w:numPr>
          <w:ilvl w:val="0"/>
          <w:numId w:val="1"/>
        </w:numPr>
        <w:spacing w:after="80"/>
      </w:pPr>
      <w:r>
        <w:t xml:space="preserve">Beghal przeciwko Zjednoczonemu Królestwu, wyrok Izby (Sekcja I) ETPCz z 28.02.2019 r. ✅ [VER: web_search, tekst wyroku i komentarze, RZĄD 1]</w:t>
      </w:r>
    </w:p>
    <w:p>
      <w:pPr>
        <w:pStyle w:val="ListParagraph"/>
        <w:pStyle w:val="normalPara"/>
        <w:numPr>
          <w:ilvl w:val="0"/>
          <w:numId w:val="1"/>
        </w:numPr>
        <w:spacing w:after="80"/>
      </w:pPr>
      <w:r>
        <w:t xml:space="preserve">Melike przeciwko Turcji — polubienie treści jako forma ekspresji chronionej art. 10. ⚠️ [VER: web_search, komentarz akademicki, RZĄD 2A — nie dotarto do pełnego tekstu wyroku]</w:t>
      </w:r>
    </w:p>
    <w:p>
      <w:pPr>
        <w:pStyle w:val="ListParagraph"/>
        <w:pStyle w:val="normalPara"/>
        <w:numPr>
          <w:ilvl w:val="0"/>
          <w:numId w:val="1"/>
        </w:numPr>
        <w:spacing w:after="80"/>
      </w:pPr>
      <w:r>
        <w:t xml:space="preserve">R (Miranda) przeciwko Secretary of State for the Home Department [2016] EWCA Civ 6 — precedens krajowy UK, przywołany pomocniczo. ✅ [VER: web_search, RZĄD 2A]</w:t>
      </w:r>
    </w:p>
    <w:p>
      <w:r>
        <w:br w:type="page"/>
      </w:r>
    </w:p>
    <w:p>
      <w:pPr>
        <w:pStyle w:val="Heading1"/>
        <w:spacing w:after="200" w:before="400"/>
      </w:pPr>
      <w:r>
        <w:t xml:space="preserve">K-04 Prokurator przeciwko Drogannie Syrax</w:t>
      </w:r>
    </w:p>
    <w:p>
      <w:pPr>
        <w:spacing w:after="160"/>
      </w:pPr>
      <w:r>
        <w:rPr>
          <w:rFonts w:ascii="Calibri" w:cs="Calibri" w:eastAsia="Calibri" w:hAnsi="Calibri"/>
          <w:b w:val="false"/>
          <w:bCs w:val="false"/>
          <w:i/>
          <w:iCs/>
          <w:sz w:val="22"/>
          <w:szCs w:val="22"/>
        </w:rPr>
        <w:t xml:space="preserve">Pomoc medyczna, jurysdykcja MTK i immunitet głowy państwa — adaptacja dydaktyczna problemu IBA ICC Moot 2026.</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ludobójczy głód, a rozstrzyga się na czterech niezależnych bramkach jurysdykcyjnych i proceduralnych, z których żadnej nie wolno pominąć milczeniem, nawet jeśli materiał dowodowy co do samego czynu jest mocny. Pierwsza: kwalifikacja prawna utrudniania dostaw medycznych zależy krytycznie od tego, czy konflikt w Essuss ma charakter międzynarodowy czy niemiędzynarodowy — zbrodnia głodzenia ludności cywilnej istnieje w Statucie Rzymskim od 1998 r. wyłącznie dla konfliktu międzynarodowego (art. 8 ust. 2 lit. b pkt xxv); jej odpowiednik dla konfliktu niemiędzynarodowego (art. 8 ust. 2 lit. e pkt xix) jest nowelizacją z 2019 r. wiążącą wyłącznie państwa, które ją przyjęły. Essuss nie jest stroną Statutu w ogóle. Druga: deklaracja jurysdykcyjna wiąże państwo, nie rząd, który ją złożył — nowy rząd nie może jej jednostronnie cofnąć, ale może kwestionować jej zakres przedmiotowy i czasowy. Trzecia: immunitet głowy państwa przed Trybunałem to pytanie, w którym orzecznictwo samego MTK jest wewnętrznie niespójne. Czwarta: nieregularne ujęcie oskarżonej nie pozbawia automatycznie Trybunału jurysdykcji, ale może prowadzić do umorzenia z powodu nadużycia procesu, jeśli towarzyszyło mu poważne naruszenie praw człowieka.</w:t>
      </w:r>
    </w:p>
    <w:p>
      <w:pPr>
        <w:pStyle w:val="Heading2"/>
        <w:spacing w:after="150" w:before="300"/>
      </w:pPr>
      <w:r>
        <w:t xml:space="preserve">Mapa jurysdykcji, źródeł i kompetencji</w:t>
      </w:r>
    </w:p>
    <w:p>
      <w:pPr>
        <w:spacing w:after="160"/>
      </w:pPr>
      <w:r>
        <w:rPr>
          <w:rFonts w:ascii="Calibri" w:cs="Calibri" w:eastAsia="Calibri" w:hAnsi="Calibri"/>
          <w:b w:val="false"/>
          <w:bCs w:val="false"/>
          <w:i w:val="false"/>
          <w:iCs w:val="false"/>
          <w:sz w:val="22"/>
          <w:szCs w:val="22"/>
        </w:rPr>
        <w:t xml:space="preserve">Trybunał orzeka w granicach jurysdykcji rzeczowej (art. 5–8bis), czasowej i terytorialnej/personalnej wyznaczonej przez podstawę jurysdykcji — tu: deklaracja ad hoc na podstawie art. 12 ust. 3 Statutu, złożona przez poprzednie władze Essuss. Izba Przygotowawcza bada dopuszczalność sprawy (komplementarność, waga sprawy — art. 17) i potwierdza zarzuty na podstawie standardu „istotnych podstaw, by sądzić” (art. 61).</w:t>
      </w:r>
    </w:p>
    <w:p>
      <w:pPr>
        <w:pStyle w:val="Heading2"/>
        <w:spacing w:after="150" w:before="300"/>
      </w:pPr>
      <w:r>
        <w:t xml:space="preserve">Analiza materialna według zagadnień</w:t>
      </w:r>
    </w:p>
    <w:p>
      <w:pPr>
        <w:pStyle w:val="Heading3"/>
        <w:spacing w:after="120" w:before="250"/>
      </w:pPr>
      <w:r>
        <w:t xml:space="preserve">1. Czy utrudnianie dostaw medycznych mieści się w jurysdykcji rzeczowej</w:t>
      </w:r>
    </w:p>
    <w:p>
      <w:pPr>
        <w:spacing w:after="160"/>
      </w:pPr>
      <w:r>
        <w:rPr>
          <w:rFonts w:ascii="Calibri" w:cs="Calibri" w:eastAsia="Calibri" w:hAnsi="Calibri"/>
          <w:b w:val="false"/>
          <w:bCs w:val="false"/>
          <w:i w:val="false"/>
          <w:iCs w:val="false"/>
          <w:sz w:val="22"/>
          <w:szCs w:val="22"/>
        </w:rPr>
        <w:t xml:space="preserve">Krok pierwszy: charakter konfliktu. Jeśli konflikt w Essuss jest niemiędzynarodowy, zastosowanie ma wyłącznie art. 8 ust. 2 lit. e pkt xix, wprowadzony nowelizacją z grudnia 2019 r., wiążącą wyłącznie państwa, które ją zaakceptowały (art. 121 ust. 5 Statutu). Kazus nie wskazuje, czy Essuss lub deklaracja jurysdykcyjna obejmuje tę nowelizację. Krok drugi, niezależny: oskarżenie może kwalifikować ten sam czyn jako zbrodnię przeciwko ludzkości — inne czyny nieludzkie (art. 7 ust. 1 lit. k) lub prześladowanie (art. 7 ust. 1 lit. h) — która nie wymaga związku z konfliktem zbrojnym, a jedynie rozległego lub systematycznego ataku wobec ludności cywilnej zgodnie z polityką państwową. To najsilniejszy argument oskarżenia, bo nie zależy od sporu o charakter konfliktu.</w:t>
      </w:r>
    </w:p>
    <w:p>
      <w:pPr>
        <w:pStyle w:val="Heading3"/>
        <w:spacing w:after="120" w:before="250"/>
      </w:pPr>
      <w:r>
        <w:t xml:space="preserve">2. Związek z konfliktem zbrojnym i strona chroniona</w:t>
      </w:r>
    </w:p>
    <w:p>
      <w:pPr>
        <w:spacing w:after="160"/>
      </w:pPr>
      <w:r>
        <w:rPr>
          <w:rFonts w:ascii="Calibri" w:cs="Calibri" w:eastAsia="Calibri" w:hAnsi="Calibri"/>
          <w:b w:val="false"/>
          <w:bCs w:val="false"/>
          <w:i w:val="false"/>
          <w:iCs w:val="false"/>
          <w:sz w:val="22"/>
          <w:szCs w:val="22"/>
        </w:rPr>
        <w:t xml:space="preserve">Oskarżenie musi wykazać nexus między systemem kontroli dostaw a konfliktem — środek musiał być kształtowany przez istnienie konfliktu. Kontrola bezpieczeństwa konwojów jest legalnym środkiem IHL, o ile proporcjonalna; systemowe blokowanie leków wykracza poza to, jeśli cel był represyjny. W NIAC ochrona nie zależy od obywatelstwa, lecz obejmuje wszystkie osoby niebiorące bezpośredniego udziału w działaniach zbrojnych.</w:t>
      </w:r>
    </w:p>
    <w:p>
      <w:pPr>
        <w:pStyle w:val="Heading3"/>
        <w:spacing w:after="120" w:before="250"/>
      </w:pPr>
      <w:r>
        <w:t xml:space="preserve">3. Zakres i skuteczność deklaracji jurysdykcyjnej</w:t>
      </w:r>
    </w:p>
    <w:p>
      <w:pPr>
        <w:spacing w:after="160"/>
      </w:pPr>
      <w:r>
        <w:rPr>
          <w:rFonts w:ascii="Calibri" w:cs="Calibri" w:eastAsia="Calibri" w:hAnsi="Calibri"/>
          <w:b w:val="false"/>
          <w:bCs w:val="false"/>
          <w:i w:val="false"/>
          <w:iCs w:val="false"/>
          <w:sz w:val="22"/>
          <w:szCs w:val="22"/>
        </w:rPr>
        <w:t xml:space="preserve">Zasada ugruntowana w praktyce Trybunału (sprawa Wybrzeża Kości Słoniowej) głosi, że państwa przeżywają swoje rządy — deklaracja złożona przez poprzednie władze wiąże państwo w sposób ciągły. Nowy rząd nie może jej jednostronnie cofnąć, ale może kwestionować zakres przedmiotowy i czasowy — zasada 44 Regulaminu wymaga, by zakres obejmował wszystkie zbrodnie istotne dla danej sytuacji i zakazuje arbitralnego zawężania parametrów.</w:t>
      </w:r>
    </w:p>
    <w:p>
      <w:pPr>
        <w:pStyle w:val="Heading3"/>
        <w:spacing w:after="120" w:before="250"/>
      </w:pPr>
      <w:r>
        <w:t xml:space="preserve">4. Immunitet głowy państwa</w:t>
      </w:r>
    </w:p>
    <w:p>
      <w:pPr>
        <w:spacing w:after="160"/>
      </w:pPr>
      <w:r>
        <w:rPr>
          <w:rFonts w:ascii="Calibri" w:cs="Calibri" w:eastAsia="Calibri" w:hAnsi="Calibri"/>
          <w:b w:val="false"/>
          <w:bCs w:val="false"/>
          <w:i w:val="false"/>
          <w:iCs w:val="false"/>
          <w:sz w:val="22"/>
          <w:szCs w:val="22"/>
        </w:rPr>
        <w:t xml:space="preserve">Izba Apelacyjna w sprawie Jordania (Al-Bashir, 2019) orzekła, że nie istnieje w prawie zwyczajowym immunitet głowy państwa wobec sądu międzynarodowego, a art. 27 ust. 2 Statutu odzwierciedla tę normę — z zastrzeżeniem, że rozstrzygnięcie zapadło w kontekście rezolucji Rady Bezpieczeństwa nakładającej na Sudan obowiązek współpracy. W naszym kazusie podstawą jurysdykcji jest dobrowolna deklaracja Essuss z art. 12 ust. 3 — argument silniejszy dla oskarżenia niż w sprawie Bashira. Argument obrony: deklaracja odnosi się tekstowo do akceptacji jurysdykcji co do zbrodni z art. 5, nie do przyjęcia całego reżimu łącznie z art. 27; pytanie to nie zostało jednoznacznie rozstrzygnięte.</w:t>
      </w:r>
    </w:p>
    <w:p>
      <w:pPr>
        <w:pStyle w:val="Heading3"/>
        <w:spacing w:after="120" w:before="250"/>
      </w:pPr>
      <w:r>
        <w:t xml:space="preserve">5. Skutki nieregularnego ujęcia</w:t>
      </w:r>
    </w:p>
    <w:p>
      <w:pPr>
        <w:spacing w:after="160"/>
      </w:pPr>
      <w:r>
        <w:rPr>
          <w:rFonts w:ascii="Calibri" w:cs="Calibri" w:eastAsia="Calibri" w:hAnsi="Calibri"/>
          <w:b w:val="false"/>
          <w:bCs w:val="false"/>
          <w:i w:val="false"/>
          <w:iCs w:val="false"/>
          <w:sz w:val="22"/>
          <w:szCs w:val="22"/>
        </w:rPr>
        <w:t xml:space="preserve">Zasada male captus, bene detentus — utrwalona w orzecznictwie trybunałów ad hoc i przyjęta w praktyce MTK (sprawa Lubangi) — głosi, że sposób ujęcia sam w sobie nie pozbawia sądu jurysdykcji. Trybunał może umorzyć postępowanie z powodu nadużycia procesu, jeśli towarzyszyło mu poważne naruszenie praw podstawowych o nasileniu wykraczającym poza zwykłe uchybienia proceduralne. Kazus nie wskazuje, na czym polegała nieprawidłowość ujęcia — bez tego nie da się ocenić progu nadużycia procesu.</w:t>
      </w:r>
    </w:p>
    <w:p>
      <w:pPr>
        <w:pStyle w:val="Heading3"/>
        <w:spacing w:after="120" w:before="250"/>
      </w:pPr>
      <w:r>
        <w:t xml:space="preserve">6. Forma odpowiedzialności</w:t>
      </w:r>
    </w:p>
    <w:p>
      <w:pPr>
        <w:spacing w:after="160"/>
      </w:pPr>
      <w:r>
        <w:rPr>
          <w:rFonts w:ascii="Calibri" w:cs="Calibri" w:eastAsia="Calibri" w:hAnsi="Calibri"/>
          <w:b w:val="false"/>
          <w:bCs w:val="false"/>
          <w:i w:val="false"/>
          <w:iCs w:val="false"/>
          <w:sz w:val="22"/>
          <w:szCs w:val="22"/>
        </w:rPr>
        <w:t xml:space="preserve">Fragmentaryczność dowodów i częściowo ustny charakter poleceń to materiał do oceny na etapie potwierdzania zarzutów według standardu „istotnych podstaw, by sądzić”. Osobiste polecenie wskazuje na odpowiedzialność bezpośrednią (art. 25 ust. 3 lit. a lub b); świadomy udział w polityce bez konkretnego polecenia — na odpowiedzialność za wkład we wspólny cel (art. 25 ust. 3 lit. d); brak wiedzy o decyzjach operacyjnych podwładnych przy zaniechaniu środków kontrolnych — na odpowiedzialność dowódcy (art. 28).</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oskarżenia</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obrony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Kwalifikacja zbrodni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Systemowe blokowanie leków to zbrodnia przeciwko ludzkości niezależnie od charakteru konfliktu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zbrodni wojennej w NIAC bez akceptacji nowelizacji z 2019 r.</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Deklaracja jurysdykcyjna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Deklaracja wiąże państwo trwale; nowy rząd nie może jej cofnąć</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Zakres deklaracji nie obejmuje zarzucanych czynów</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Immunitet</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Art. 27(2) i linia Jordania wykluczają immunitet wobec sądu międzynarodowego</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Deklaracja z art. 12(3) nie przenosi automatycznie reżimu art. 27</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Ujęcie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Male captus, bene detentus — nieprawidłowość nie pozbawia jurysdykcji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Poważne naruszenie praw uzasadnia umorzenie</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Forma odpowiedzialności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Świadomy udział w polityce wystarcza do odpowiedzialności za wspólny cel</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Fragmentaryczność dowodów nie osiąga progu „istotnych podstaw”</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Charakter konfliktu (IAC czy NIAC)</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Przesądza, który wariant art. 8 ma zastosowanie</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Ustalenia o stronach konfliktu, ewentualna interwencja państw trzecich</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deklaracja/Essuss obejmuje nowelizację z 2019 r.</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zastosowania art. 8 ust. 2 lit. e pkt xix</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Tekst deklaracji, rejestr akceptacji nowelizacji ASP</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Dokładna treść deklaracji (okres, sytuacja)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zakresu jurysdykcji czasowej i przedmiotowej</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Tekst deklaracji złożonej Sekretarzowi Trybunału</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Okoliczności ujęcia Syrax w państwie trzecim</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nadużycia procesu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Raport operacyjny, zeznania świadków ujęcia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i adresat rozkazów dotyczących systemu kontroli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wyboru formy odpowiedzialności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Dokumenty rozkazowe, zeznania świadków</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Utrzymać jurysdykcję co do zbrodni przeciwko ludzkości niezależnie od rozstrzygnięcia sporu o charakter konfliktu. Rozstrzygnięcie o zbrodni wojennej uzależnić od ustalenia charakteru konfliktu i zakresu akceptacji nowelizacji przez Essuss. Uznać deklarację za wiążącą państwo mimo zmiany rządu, z zastrzeżeniem zbadania jej zakresu. W kwestii immunitetu — nie przesądzać automatycznie na podstawie linii Bashira; rozpoznać odrębnie z uwzględnieniem tekstu deklaracji. W kwestii ujęcia — nie umarzać bez ustalenia konkretnych okoliczności nieprawidłowości. W kwestii formy odpowiedzialności — dopuścić alternatywne kwalifikacje na etapie potwierdzania zarzutów.</w:t>
      </w:r>
    </w:p>
    <w:p>
      <w:pPr>
        <w:pStyle w:val="Heading2"/>
        <w:spacing w:after="150" w:before="300"/>
      </w:pPr>
      <w:r>
        <w:t xml:space="preserve">Zweryfikowane pozycje źródłowe (K-04)</w:t>
      </w:r>
    </w:p>
    <w:p>
      <w:pPr>
        <w:pStyle w:val="ListParagraph"/>
        <w:pStyle w:val="normalPara"/>
        <w:numPr>
          <w:ilvl w:val="0"/>
          <w:numId w:val="1"/>
        </w:numPr>
        <w:spacing w:after="80"/>
      </w:pPr>
      <w:r>
        <w:t xml:space="preserve">Statut Rzymski MTK, art. 8 ust. 2 lit. b pkt xxv (IAC) oraz nowelizacja z 2019 r. — art. 8 ust. 2 lit. e pkt xix (NIAC). ✅ [VER: web_search, wielokrotne niezależne źródła, RZĄD 2A]</w:t>
      </w:r>
    </w:p>
    <w:p>
      <w:pPr>
        <w:pStyle w:val="ListParagraph"/>
        <w:pStyle w:val="normalPara"/>
        <w:numPr>
          <w:ilvl w:val="0"/>
          <w:numId w:val="1"/>
        </w:numPr>
        <w:spacing w:after="80"/>
      </w:pPr>
      <w:r>
        <w:t xml:space="preserve">Art. 7 ust. 1 lit. h i k Statutu — zbrodnie przeciwko ludzkości bez wymogu związku z konfliktem zbrojnym. ⚠️ [NIEWERYFIKOWANE bezpośrednio w tej turze — zalecana weryfikacja na icc-cpi.int]</w:t>
      </w:r>
    </w:p>
    <w:p>
      <w:pPr>
        <w:pStyle w:val="ListParagraph"/>
        <w:pStyle w:val="normalPara"/>
        <w:numPr>
          <w:ilvl w:val="0"/>
          <w:numId w:val="1"/>
        </w:numPr>
        <w:spacing w:after="80"/>
      </w:pPr>
      <w:r>
        <w:t xml:space="preserve">Praktyka deklaracji z art. 12 ust. 3 Statutu (sprawa Wybrzeża Kości Słoniowej) — zasada ciągłości państwa, zasada 44 Regulaminu. ✅ [VER: web_search, dokumenty ICC i komentarz akademicki, RZĄD 1]</w:t>
      </w:r>
    </w:p>
    <w:p>
      <w:pPr>
        <w:pStyle w:val="ListParagraph"/>
        <w:pStyle w:val="normalPara"/>
        <w:numPr>
          <w:ilvl w:val="0"/>
          <w:numId w:val="1"/>
        </w:numPr>
        <w:spacing w:after="80"/>
      </w:pPr>
      <w:r>
        <w:t xml:space="preserve">Izba Apelacyjna MTK, sprawa Jordan Referral re Al-Bashir, wyrok z 6.05.2019 r. ✅ [VER: web_search, oficjalny komunikat ICC i liczne komentarze, RZĄD 1]</w:t>
      </w:r>
    </w:p>
    <w:p>
      <w:pPr>
        <w:pStyle w:val="ListParagraph"/>
        <w:pStyle w:val="normalPara"/>
        <w:numPr>
          <w:ilvl w:val="0"/>
          <w:numId w:val="1"/>
        </w:numPr>
        <w:spacing w:after="80"/>
      </w:pPr>
      <w:r>
        <w:t xml:space="preserve">Zasada male captus, bene detentus — sprawy Nikolić (MTKJ), Barayagwiza (MTKR), zastosowanie w sprawie Lubanga. ✅ [VER: web_search, dokumenty ICC/ICTY i literatura, RZĄD 1]</w:t>
      </w:r>
    </w:p>
    <w:p>
      <w:pPr>
        <w:pStyle w:val="ListParagraph"/>
        <w:pStyle w:val="normalPara"/>
        <w:numPr>
          <w:ilvl w:val="0"/>
          <w:numId w:val="1"/>
        </w:numPr>
        <w:spacing w:after="80"/>
      </w:pPr>
      <w:r>
        <w:t xml:space="preserve">Art. 25 ust. 3 i art. 28 Statutu Rzymskiego — formy odpowiedzialności. ⚠️ [NIEWERYFIKOWANE bezpośrednio w tej turze]</w:t>
      </w:r>
    </w:p>
    <w:p>
      <w:r>
        <w:br w:type="page"/>
      </w:r>
    </w:p>
    <w:p>
      <w:pPr>
        <w:pStyle w:val="Heading1"/>
        <w:spacing w:after="200" w:before="400"/>
      </w:pPr>
      <w:r>
        <w:t xml:space="preserve">K-05 Orchis Worldwide przeciwko Darwin Natural Food</w:t>
      </w:r>
    </w:p>
    <w:p>
      <w:pPr>
        <w:spacing w:after="160"/>
      </w:pPr>
      <w:r>
        <w:rPr>
          <w:rFonts w:ascii="Calibri" w:cs="Calibri" w:eastAsia="Calibri" w:hAnsi="Calibri"/>
          <w:b w:val="false"/>
          <w:bCs w:val="false"/>
          <w:i/>
          <w:iCs/>
          <w:sz w:val="22"/>
          <w:szCs w:val="22"/>
        </w:rPr>
        <w:t xml:space="preserve">CISG, CITES, finansowanie sporu i zmiana regulacyjna — adaptacja dydaktyczna problemu 33rd Vis Moot.</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siłę wyższą w handlu międzynarodowym, a rozstrzyga się na rozdzieleniu trzech warstw proceduralnych i materialnych. Pierwsza: która wersja regulaminu SIAC ma zastosowanie — to pytanie o regułę temporalną instytucji arbitrażowej, nie o wolę stron w chwili podpisania umowy. Druga: zakres ujawnienia finansowania sporu przez podmiot trzeci — pytanie o integralność trybunału, oddzielone od zasadności zabezpieczenia kosztów. Trzecia: czy zaostrzenie reżimu CITES zwalnia sprzedawcę z odpowiedzialności — pytanie o nieprzewidywalność w chwili zawarcia umowy, nie o uciążliwość skutków.</w:t>
      </w:r>
    </w:p>
    <w:p>
      <w:pPr>
        <w:spacing w:after="160"/>
      </w:pPr>
      <w:r>
        <w:rPr>
          <w:rFonts w:ascii="Calibri" w:cs="Calibri" w:eastAsia="Calibri" w:hAnsi="Calibri"/>
          <w:b w:val="false"/>
          <w:bCs w:val="false"/>
          <w:i w:val="false"/>
          <w:iCs w:val="false"/>
          <w:sz w:val="22"/>
          <w:szCs w:val="22"/>
        </w:rPr>
        <w:t xml:space="preserve">Nowoczesne regulaminy arbitrażowe (w tym SIAC) stosują domyślnie wersję obowiązującą w chwili wszczęcia arbitrażu, nie w chwili zawarcia umowy — milczenie klauzuli aktywuje regułę domyślną instytucji, nie tworzy luki.</w:t>
      </w:r>
    </w:p>
    <w:p>
      <w:pPr>
        <w:pStyle w:val="Heading2"/>
        <w:spacing w:after="150" w:before="300"/>
      </w:pPr>
      <w:r>
        <w:t xml:space="preserve">Mapa jurysdykcji i prawa właściwego</w:t>
      </w:r>
    </w:p>
    <w:p>
      <w:pPr>
        <w:spacing w:after="160"/>
      </w:pPr>
      <w:r>
        <w:rPr>
          <w:rFonts w:ascii="Calibri" w:cs="Calibri" w:eastAsia="Calibri" w:hAnsi="Calibri"/>
          <w:b w:val="false"/>
          <w:bCs w:val="false"/>
          <w:i w:val="false"/>
          <w:iCs w:val="false"/>
          <w:sz w:val="22"/>
          <w:szCs w:val="22"/>
        </w:rPr>
        <w:t xml:space="preserve">Prawem materialnym jest Konwencja wiedeńska o umowach międzynarodowej sprzedaży towarów (CISG). Reżim CITES reguluje odrębną płaszczyznę — publicznoprawną dopuszczalność importu — i wchodzi do analizy CISG wyłącznie jako element oceny przewidywalności i wykonalności zobowiązania. Regulamin SIAC reguluje procedurę; jego wersja czasowa jest kwestią odrębną od prawa właściwego dla sporu materialnego.</w:t>
      </w:r>
    </w:p>
    <w:p>
      <w:pPr>
        <w:pStyle w:val="Heading2"/>
        <w:spacing w:after="150" w:before="300"/>
      </w:pPr>
      <w:r>
        <w:t xml:space="preserve">Analiza materialna według zagadnień</w:t>
      </w:r>
    </w:p>
    <w:p>
      <w:pPr>
        <w:pStyle w:val="Heading3"/>
        <w:spacing w:after="120" w:before="250"/>
      </w:pPr>
      <w:r>
        <w:t xml:space="preserve">1. Wersja regulaminu SIAC i reguła temporalna</w:t>
      </w:r>
    </w:p>
    <w:p>
      <w:pPr>
        <w:spacing w:after="160"/>
      </w:pPr>
      <w:r>
        <w:rPr>
          <w:rFonts w:ascii="Calibri" w:cs="Calibri" w:eastAsia="Calibri" w:hAnsi="Calibri"/>
          <w:b w:val="false"/>
          <w:bCs w:val="false"/>
          <w:i w:val="false"/>
          <w:iCs w:val="false"/>
          <w:sz w:val="22"/>
          <w:szCs w:val="22"/>
        </w:rPr>
        <w:t xml:space="preserve">Siódma edycja Regulaminu SIAC (2025) weszła w życie 1 stycznia 2025 r. i stosuje się domyślnie do arbitrażu wszczętego po tej dacie, niezależnie od daty zawarcia umowy arbitrażowej, chyba że strony uzgodniły inaczej. Skoro klauzula nie wskazuje jednoznacznie wersji, właściwa jest wersja obowiązująca w dniu wszczęcia postępowania. Kazus nie podaje dokładnej daty wszczęcia arbitrażu względem wejścia w życie nowej wersji — bez tego nie da się jednoznacznie wskazać edycji, choć reguła kierunkowa jest jasna.</w:t>
      </w:r>
    </w:p>
    <w:p>
      <w:pPr>
        <w:pStyle w:val="Heading3"/>
        <w:spacing w:after="120" w:before="250"/>
      </w:pPr>
      <w:r>
        <w:t xml:space="preserve">2. Zakres ujawnienia finansowania i ubezpieczenia kosztów</w:t>
      </w:r>
    </w:p>
    <w:p>
      <w:pPr>
        <w:spacing w:after="160"/>
      </w:pPr>
      <w:r>
        <w:rPr>
          <w:rFonts w:ascii="Calibri" w:cs="Calibri" w:eastAsia="Calibri" w:hAnsi="Calibri"/>
          <w:b w:val="false"/>
          <w:bCs w:val="false"/>
          <w:i w:val="false"/>
          <w:iCs w:val="false"/>
          <w:sz w:val="22"/>
          <w:szCs w:val="22"/>
        </w:rPr>
        <w:t xml:space="preserve">Nowoczesne regulaminy SIAC nakładają obowiązek ujawnienia istnienia umowy finansowania oraz tożsamości i danych kontaktowych finansującego — nie treści całej umowy. Trybunał może żądać dalszych ujawnień, jeśli to konieczne dla oceny konfliktu interesów, ale żądanie musi być proporcjonalne, nie służyć poznaniu strategii procesowej przeciwnika.</w:t>
      </w:r>
    </w:p>
    <w:p>
      <w:pPr>
        <w:pStyle w:val="Heading3"/>
        <w:spacing w:after="120" w:before="250"/>
      </w:pPr>
      <w:r>
        <w:t xml:space="preserve">3. Zabezpieczenie kosztów i wyłączenie arbitra</w:t>
      </w:r>
    </w:p>
    <w:p>
      <w:pPr>
        <w:spacing w:after="160"/>
      </w:pPr>
      <w:r>
        <w:rPr>
          <w:rFonts w:ascii="Calibri" w:cs="Calibri" w:eastAsia="Calibri" w:hAnsi="Calibri"/>
          <w:b w:val="false"/>
          <w:bCs w:val="false"/>
          <w:i w:val="false"/>
          <w:iCs w:val="false"/>
          <w:sz w:val="22"/>
          <w:szCs w:val="22"/>
        </w:rPr>
        <w:t xml:space="preserve">Zabezpieczenie kosztów ocenia się według siły sprawy prima facie, zdolności finansowej strony oraz charakteru umowy finansowania — samo korzystanie z finansowania nie jest automatyczną podstawą. Wyłączenie arbitra wymaga wykazania uzasadnionych wątpliwości wynikających z konkretnego powiązania z finansującym, nie ogólnego stwierdzenia „relacji”. Kazus nie precyzuje charakteru tej relacji.</w:t>
      </w:r>
    </w:p>
    <w:p>
      <w:pPr>
        <w:pStyle w:val="Heading3"/>
        <w:spacing w:after="120" w:before="250"/>
      </w:pPr>
      <w:r>
        <w:t xml:space="preserve">4. Zmiana klasyfikacji CITES jako przeszkoda zwalniająca</w:t>
      </w:r>
    </w:p>
    <w:p>
      <w:pPr>
        <w:spacing w:after="160"/>
      </w:pPr>
      <w:r>
        <w:rPr>
          <w:rFonts w:ascii="Calibri" w:cs="Calibri" w:eastAsia="Calibri" w:hAnsi="Calibri"/>
          <w:b w:val="false"/>
          <w:bCs w:val="false"/>
          <w:i w:val="false"/>
          <w:iCs w:val="false"/>
          <w:sz w:val="22"/>
          <w:szCs w:val="22"/>
        </w:rPr>
        <w:t xml:space="preserve">Zmiana regulacyjna mieści się w katalogu okoliczności mogących stanowić przeszkodę w rozumieniu art. 79 CISG, o ile: leży poza kontrolą sprzedawcy, była nieprzewidywalna w chwili zawarcia umowy, i jej skutków nie dało się rozsądnie uniknąć. Kluczowe jest, czy zaostrzenie reżimu CITES było przewidywalne w chwili zawarcia umowy. Propozycja opóźnienia i trasy alternatywnej wskazuje na próbę wykonania obowiązku współdziałania, nie na uchylenie się od zobowiązania.</w:t>
      </w:r>
    </w:p>
    <w:p>
      <w:pPr>
        <w:pStyle w:val="Heading3"/>
        <w:spacing w:after="120" w:before="250"/>
      </w:pPr>
      <w:r>
        <w:t xml:space="preserve">5. Skuteczność rozwiązania umowy i ograniczenie szkody</w:t>
      </w:r>
    </w:p>
    <w:p>
      <w:pPr>
        <w:spacing w:after="160"/>
      </w:pPr>
      <w:r>
        <w:rPr>
          <w:rFonts w:ascii="Calibri" w:cs="Calibri" w:eastAsia="Calibri" w:hAnsi="Calibri"/>
          <w:b w:val="false"/>
          <w:bCs w:val="false"/>
          <w:i w:val="false"/>
          <w:iCs w:val="false"/>
          <w:sz w:val="22"/>
          <w:szCs w:val="22"/>
        </w:rPr>
        <w:t xml:space="preserve">Rozwiązanie umowy wymaga naruszenia istotnego w rozumieniu art. 25 CISG. Jeśli sprzedawca zaproponował realne alternatywy przed rozwiązaniem umowy, powstaje pytanie, czy odmowa ich przyjęcia podważa istotność naruszenia. Na kupującym spoczywa obowiązek podjęcia rozsądnych środków ograniczenia szkody (art. 77 CISG) — droższa transakcja zastępcza nie jest sama w sobie naruszeniem, ale jej rozsądność ocenia się względem rozważenia tańszych alternatyw.</w:t>
      </w:r>
    </w:p>
    <w:p>
      <w:pPr>
        <w:pStyle w:val="Heading3"/>
        <w:spacing w:after="120" w:before="250"/>
      </w:pPr>
      <w:r>
        <w:t xml:space="preserve">6. Obliczenie odszkodowania na podstawie transakcji zastępczej</w:t>
      </w:r>
    </w:p>
    <w:p>
      <w:pPr>
        <w:spacing w:after="160"/>
      </w:pPr>
      <w:r>
        <w:rPr>
          <w:rFonts w:ascii="Calibri" w:cs="Calibri" w:eastAsia="Calibri" w:hAnsi="Calibri"/>
          <w:b w:val="false"/>
          <w:bCs w:val="false"/>
          <w:i w:val="false"/>
          <w:iCs w:val="false"/>
          <w:sz w:val="22"/>
          <w:szCs w:val="22"/>
        </w:rPr>
        <w:t xml:space="preserve">Art. 75 CISG pozwala odzyskać różnicę cen, ale tylko jeśli transakcja zastępcza została zawarta w sposób rozsądny i w rozsądnym czasie po rozwiązaniu umowy — przesłanki kumulatywne. Jeśli nie są spełnione, odszkodowanie oblicza się abstrakcyjnie na podstawie ceny rynkowej (art. 76 CISG). Kazus nie podaje daty zawarcia transakcji zastępczej względem rozwiązania umowy.</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sprzedawcy (Orchis)</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kupującego (Darwin)</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Wersja regulaminu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Zastosowanie ma wersja z chwili wszczęcia arbitrażu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Strony zakładały wersję z chwili podpisania umowy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Ujawnienie finansowania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Ujawniono wszystko, co wymagane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Pełna treść umowy konieczna do oceny konfliktu</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Zabezpieczenie/wyłączenie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Samo finansowanie nie uzasadnia zabezpieczenia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Relacja arbitra z finansującym uzasadnia wyłączenie</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Zmiana CITES</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Przeszkoda zewnętrzna, nieprzewidywalna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Zmiana regulacyjna była przewidywalnym ryzykiem</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Rozwiązanie umowy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Odmowa alternatyw podważa istotność naruszenia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Naruszenie było istotne</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Odszkodowanie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Transakcja zastępcza zawarta pochopnie i drogo</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Transakcja rozsądna w danych okolicznościach</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Data wszczęcia arbitrażu względem wejścia w życie nowej wersji regulaminu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reguły temporalnej SIAC</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Zawiadomienie o arbitrażu, korespondencja z SIAC</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żądanego zakresu ujawnienia finansowania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Ocena proporcjonalności żądania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Wniosek proceduralny, korespondencja stron</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Charakter relacji arbitra z finansującym</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testu wyłączenia arbitra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Oświadczenie o niezależności, rejestr powiązań</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zmiana CITES była przewidywalna w chwili zawarcia umowy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przesłanki nieprzewidywalności z art. 79</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Dokumentacja procedury zmiany klasyfikacji</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Data i warunki transakcji zastępczej</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rozsądności z art. 75</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Umowa zastępcza, korespondencja handlowa</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Zastosować wersję regulaminu SIAC obowiązującą w dniu wszczęcia arbitrażu. Ograniczyć obowiązek ujawnienia finansowania do istnienia umowy oraz tożsamości finansującego. Oddalić zabezpieczenie kosztów bez dowodu konkretnego ryzyka niewypłacalności. Rozpoznać wyłączenie arbitra po skonkretyzowaniu relacji z finansującym. Rozstrzygnięcie o zwolnieniu z odpowiedzialności uzależnić od przewidywalności zmiany CITES, z utrzymaniem obowiązku notyfikacji. Ocenić rozwiązanie umowy przez pryzmat odmowy alternatyw. Obliczyć odszkodowanie na podstawie transakcji zastępczej tylko po potwierdzeniu jej rozsądności; w przeciwnym razie zastosować metodę abstrakcyjną z art. 76 CISG.</w:t>
      </w:r>
    </w:p>
    <w:p>
      <w:pPr>
        <w:pStyle w:val="Heading2"/>
        <w:spacing w:after="150" w:before="300"/>
      </w:pPr>
      <w:r>
        <w:t xml:space="preserve">Zweryfikowane pozycje źródłowe (K-05)</w:t>
      </w:r>
    </w:p>
    <w:p>
      <w:pPr>
        <w:pStyle w:val="ListParagraph"/>
        <w:pStyle w:val="normalPara"/>
        <w:numPr>
          <w:ilvl w:val="0"/>
          <w:numId w:val="1"/>
        </w:numPr>
        <w:spacing w:after="80"/>
      </w:pPr>
      <w:r>
        <w:t xml:space="preserve">Regulamin Arbitrażowy SIAC, 7. edycja (2025), zasada 38 i reguła zastosowania czasowego. ✅ [VER: web_search, wielokrotne niezależne źródła w tym oficjalna strona SIAC, RZĄD 1]</w:t>
      </w:r>
    </w:p>
    <w:p>
      <w:pPr>
        <w:pStyle w:val="ListParagraph"/>
        <w:pStyle w:val="normalPara"/>
        <w:numPr>
          <w:ilvl w:val="0"/>
          <w:numId w:val="1"/>
        </w:numPr>
        <w:spacing w:after="80"/>
      </w:pPr>
      <w:r>
        <w:t xml:space="preserve">CISG, art. 79 — przesłanki zwolnienia z odpowiedzialności, zmiana regulacyjna jako przeszkoda zewnętrzna. ✅ [VER: web_search, CISG Advisory Council Opinion nr 7 i 20, RZĄD 1]</w:t>
      </w:r>
    </w:p>
    <w:p>
      <w:pPr>
        <w:pStyle w:val="ListParagraph"/>
        <w:pStyle w:val="normalPara"/>
        <w:numPr>
          <w:ilvl w:val="0"/>
          <w:numId w:val="1"/>
        </w:numPr>
        <w:spacing w:after="80"/>
      </w:pPr>
      <w:r>
        <w:t xml:space="preserve">CISG, art. 75 i 76 — obliczanie odszkodowania na podstawie transakcji zastępczej. ✅ [VER: web_search, CISG Advisory Council Opinion nr 8, RZĄD 1]</w:t>
      </w:r>
    </w:p>
    <w:p>
      <w:pPr>
        <w:pStyle w:val="ListParagraph"/>
        <w:pStyle w:val="normalPara"/>
        <w:numPr>
          <w:ilvl w:val="0"/>
          <w:numId w:val="1"/>
        </w:numPr>
        <w:spacing w:after="80"/>
      </w:pPr>
      <w:r>
        <w:t xml:space="preserve">CISG, art. 25 i art. 77 — istotność naruszenia i obowiązek ograniczenia szkody. ⚠️ [NIEWERYFIKOWANE bezpośrednio w tej turze — zalecana weryfikacja na cisg.law.pace.edu]</w:t>
      </w:r>
    </w:p>
    <w:p>
      <w:r>
        <w:br w:type="page"/>
      </w:r>
    </w:p>
    <w:p>
      <w:pPr>
        <w:pStyle w:val="Heading1"/>
        <w:spacing w:after="200" w:before="400"/>
      </w:pPr>
      <w:r>
        <w:t xml:space="preserve">K-06 Inkaton przeciwko Accadii</w:t>
      </w:r>
    </w:p>
    <w:p>
      <w:pPr>
        <w:spacing w:after="160"/>
      </w:pPr>
      <w:r>
        <w:rPr>
          <w:rFonts w:ascii="Calibri" w:cs="Calibri" w:eastAsia="Calibri" w:hAnsi="Calibri"/>
          <w:b w:val="false"/>
          <w:bCs w:val="false"/>
          <w:i/>
          <w:iCs/>
          <w:sz w:val="22"/>
          <w:szCs w:val="22"/>
        </w:rPr>
        <w:t xml:space="preserve">Własność obiektów kosmicznych, ratownictwo i odpowiedzialność — adaptacja dydaktyczna problemu Manfred Lachs 2026.</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własność satelity, a rozstrzyga się na rozdzieleniu czterech reżimów traktatowych. Pierwszy: utrata kontroli nad obiektem kosmicznym nie jest utratą własności — art. VIII Traktatu o przestrzeni kosmicznej (1967) wprost stanowi, że własność obiektów wystrzelonych w przestrzeń kosmiczną nie jest naruszona przez ich obecność w przestrzeni kosmicznej, a państwo rejestrujące zachowuje jurysdykcję i kontrolę niezależnie od stanu operacyjnego. Wyrok in rem uzyskany przez Sargon w państwie licencjonującym nie może skutecznie unicestwić tego tytułu na płaszczyźnie międzynarodowej. Drugi: jednostronne przechwycenie satelity nie ma podstawy w konieczności czy bezpieczeństwie ruchu — Traktat przewiduje w takich sytuacjach obowiązek konsultacji (art. IX), nie samopomoc. Trzeci: odpowiedzialność za szkody rządzi się odmiennym standardem w zależności od miejsca ich powstania — konwencja o odpowiedzialności międzynarodowej (1972) różnicuje odpowiedzialność absolutną (powierzchnia Ziemi) od odpowiedzialności opartej na winie (gdziekolwiek indziej, w tym na Księżycu). Czwarty: obowiązek ratownictwa załogi jest bezwarunkowy, ale nie rozciąga się automatycznie na późniejsze pozyskanie technologii z wraku.</w:t>
      </w:r>
    </w:p>
    <w:p>
      <w:pPr>
        <w:pStyle w:val="Heading2"/>
        <w:spacing w:after="150" w:before="300"/>
      </w:pPr>
      <w:r>
        <w:t xml:space="preserve">Mapa reżimów prawnych</w:t>
      </w:r>
    </w:p>
    <w:p>
      <w:pPr>
        <w:spacing w:after="160"/>
      </w:pPr>
      <w:r>
        <w:rPr>
          <w:rFonts w:ascii="Calibri" w:cs="Calibri" w:eastAsia="Calibri" w:hAnsi="Calibri"/>
          <w:b w:val="false"/>
          <w:bCs w:val="false"/>
          <w:i w:val="false"/>
          <w:iCs w:val="false"/>
          <w:sz w:val="22"/>
          <w:szCs w:val="22"/>
        </w:rPr>
        <w:t xml:space="preserve">Traktat o przestrzeni kosmicznej (OST, 1967) ustanawia zasady ogólne: zakaz przywłaszczenia terytorialnego (art. II), odpowiedzialność międzynarodową państw za działalność krajową, w tym podmiotów prywatnych, wymagającą zezwolenia i stałego nadzoru (art. VI), oraz zachowanie jurysdykcji i własności przez państwo rejestrujące (art. VIII). Konwencja o odpowiedzialności międzynarodowej za szkody wyrządzone przez obiekty kosmiczne (1972) reguluje odszkodowanie: odpowiedzialność absolutna za szkody na powierzchni Ziemi (art. II), odpowiedzialność oparta na winie gdziekolwiek indziej (art. III). Porozumienie ratownicze (1968) reguluje ratowanie załogi (art. 1–4, obowiązek bezwarunkowy) oraz zwrot obiektów kosmicznych i ich części (art. 5, obowiązek notyfikacji i zwrotu na żądanie).</w:t>
      </w:r>
    </w:p>
    <w:p>
      <w:pPr>
        <w:pStyle w:val="Heading2"/>
        <w:spacing w:after="150" w:before="300"/>
      </w:pPr>
      <w:r>
        <w:t xml:space="preserve">Analiza materialna według zagadnień</w:t>
      </w:r>
    </w:p>
    <w:p>
      <w:pPr>
        <w:pStyle w:val="Heading3"/>
        <w:spacing w:after="120" w:before="250"/>
      </w:pPr>
      <w:r>
        <w:t xml:space="preserve">1. Własność niekontrolowanego satelity i skuteczność orzeczenia in rem</w:t>
      </w:r>
    </w:p>
    <w:p>
      <w:pPr>
        <w:spacing w:after="160"/>
      </w:pPr>
      <w:r>
        <w:rPr>
          <w:rFonts w:ascii="Calibri" w:cs="Calibri" w:eastAsia="Calibri" w:hAnsi="Calibri"/>
          <w:b w:val="false"/>
          <w:bCs w:val="false"/>
          <w:i w:val="false"/>
          <w:iCs w:val="false"/>
          <w:sz w:val="22"/>
          <w:szCs w:val="22"/>
        </w:rPr>
        <w:t xml:space="preserve">Art. VIII OST rozdziela kontrolę operacyjną i tytuł własności. Utrata kontroli nad satelitą nie czyni go rzeczą niczyją — przepis stanowi, że własność nie jest naruszona przez obecność obiektu w przestrzeni kosmicznej, a obiekty znalezione poza granicami państwa rejestrującego mają być mu zwrócone. Orzeczenie in rem uzyskane przez Sargon jest aktem prawa krajowego, który nie może na płaszczyźnie międzynarodowej znieść zobowiązania traktatowego ciążącego na Accadii wobec Inkatonu.</w:t>
      </w:r>
    </w:p>
    <w:p>
      <w:pPr>
        <w:pStyle w:val="Heading3"/>
        <w:spacing w:after="120" w:before="250"/>
      </w:pPr>
      <w:r>
        <w:t xml:space="preserve">2. Czy jednostronne usunięcie obiektu można uzasadnić koniecznością lub bezpieczeństwem</w:t>
      </w:r>
    </w:p>
    <w:p>
      <w:pPr>
        <w:spacing w:after="160"/>
      </w:pPr>
      <w:r>
        <w:rPr>
          <w:rFonts w:ascii="Calibri" w:cs="Calibri" w:eastAsia="Calibri" w:hAnsi="Calibri"/>
          <w:b w:val="false"/>
          <w:bCs w:val="false"/>
          <w:i w:val="false"/>
          <w:iCs w:val="false"/>
          <w:sz w:val="22"/>
          <w:szCs w:val="22"/>
        </w:rPr>
        <w:t xml:space="preserve">Traktat nie przewiduje samopomocy wobec obiektu uznanego za zagrożenie. Art. IX OST nakłada obowiązek konsultacji międzynarodowych przed działaniem mogącym spowodować szkodliwe zakłócenia — obowiązek proceduralny poprzedzający działanie, nie licencja na jednostronną interwencję po fakcie. Odmowa zgody przez Quipu otwierała drogę do dalszych konsultacji lub sporu międzypaństwowego, nie do przechwycenia.</w:t>
      </w:r>
    </w:p>
    <w:p>
      <w:pPr>
        <w:pStyle w:val="Heading3"/>
        <w:spacing w:after="120" w:before="250"/>
      </w:pPr>
      <w:r>
        <w:t xml:space="preserve">3. Odpowiedzialność państwa za działalność spółek prywatnych</w:t>
      </w:r>
    </w:p>
    <w:p>
      <w:pPr>
        <w:spacing w:after="160"/>
      </w:pPr>
      <w:r>
        <w:rPr>
          <w:rFonts w:ascii="Calibri" w:cs="Calibri" w:eastAsia="Calibri" w:hAnsi="Calibri"/>
          <w:b w:val="false"/>
          <w:bCs w:val="false"/>
          <w:i w:val="false"/>
          <w:iCs w:val="false"/>
          <w:sz w:val="22"/>
          <w:szCs w:val="22"/>
        </w:rPr>
        <w:t xml:space="preserve">Art. VI OST nakłada na państwa odpowiedzialność międzynarodową za działalność krajową prowadzoną przez podmioty niepubliczne, wymagając zezwolenia i stałego nadzoru. Inkaton odpowiada za działania Quipu, Accadia — za działania Sargon, niezależnie od formy prawnej spółek.</w:t>
      </w:r>
    </w:p>
    <w:p>
      <w:pPr>
        <w:pStyle w:val="Heading3"/>
        <w:spacing w:after="120" w:before="250"/>
      </w:pPr>
      <w:r>
        <w:t xml:space="preserve">4. Rozdzielenie odpowiedzialności za szkody</w:t>
      </w:r>
    </w:p>
    <w:p>
      <w:pPr>
        <w:spacing w:after="160"/>
      </w:pPr>
      <w:r>
        <w:rPr>
          <w:rFonts w:ascii="Calibri" w:cs="Calibri" w:eastAsia="Calibri" w:hAnsi="Calibri"/>
          <w:b w:val="false"/>
          <w:bCs w:val="false"/>
          <w:i w:val="false"/>
          <w:iCs w:val="false"/>
          <w:sz w:val="22"/>
          <w:szCs w:val="22"/>
        </w:rPr>
        <w:t xml:space="preserve">Szkoda nastąpiła na Księżycu — „gdzie indziej niż na powierzchni Ziemi” — co aktywuje art. III konwencji z 1972 r. (odpowiedzialność oparta na winie), nie art. II. Sargon odpowiada tylko, jeśli szkoda wynikła z jej winy. Burza protonowa jest zdarzeniem zewnętrznym — jeśli była nieprzewidywalna i zastosowano standardowe zabezpieczenia, brak winy za sam fakt uszkodzenia. Odrębne pytanie dotyczy zarządzania ryzykiem odrzuconego ładunku po uszkodzeniu. Kazus nie podaje, czy Sargon zastosowała standardowe zabezpieczenia.</w:t>
      </w:r>
    </w:p>
    <w:p>
      <w:pPr>
        <w:pStyle w:val="Heading3"/>
        <w:spacing w:after="120" w:before="250"/>
      </w:pPr>
      <w:r>
        <w:t xml:space="preserve">5. Zakres obowiązku ratownictwa a pozyskanie technologii z wraku</w:t>
      </w:r>
    </w:p>
    <w:p>
      <w:pPr>
        <w:spacing w:after="160"/>
      </w:pPr>
      <w:r>
        <w:rPr>
          <w:rFonts w:ascii="Calibri" w:cs="Calibri" w:eastAsia="Calibri" w:hAnsi="Calibri"/>
          <w:b w:val="false"/>
          <w:bCs w:val="false"/>
          <w:i w:val="false"/>
          <w:iCs w:val="false"/>
          <w:sz w:val="22"/>
          <w:szCs w:val="22"/>
        </w:rPr>
        <w:t xml:space="preserve">Ratowanie i leczenie załogi Sargon przez Quipu wypełnia bezwarunkowy obowiązek pomocy astronautom, niezależnie od sporu komercyjnego. Odrębnym reżimem rządzi się los wraku: przepisy o zwrocie obiektów kosmicznych nakładają obowiązek notyfikacji państwa startu oraz — na żądanie — zwrotu obiektu z pokryciem kosztów odzysku przez to państwo. Wydobycie zastrzeżonej technologii bez notyfikacji wykracza poza obowiązek zabezpieczenia terenu, o ile nie odpowiadało rzeczywistemu zagrożeniu.</w:t>
      </w:r>
    </w:p>
    <w:p>
      <w:pPr>
        <w:pStyle w:val="Heading3"/>
        <w:spacing w:after="120" w:before="250"/>
      </w:pPr>
      <w:r>
        <w:t xml:space="preserve">6. Terminowość konsultacji i ochrony dyplomatycznej</w:t>
      </w:r>
    </w:p>
    <w:p>
      <w:pPr>
        <w:spacing w:after="160"/>
      </w:pPr>
      <w:r>
        <w:rPr>
          <w:rFonts w:ascii="Calibri" w:cs="Calibri" w:eastAsia="Calibri" w:hAnsi="Calibri"/>
          <w:b w:val="false"/>
          <w:bCs w:val="false"/>
          <w:i w:val="false"/>
          <w:iCs w:val="false"/>
          <w:sz w:val="22"/>
          <w:szCs w:val="22"/>
        </w:rPr>
        <w:t xml:space="preserve">Konsultacje podjęte w różnym czasie przez oba państwa rodzą pytanie o staranność każdego z nich. Ogólne reguły zgłaszania roszczeń wymagają rozsądnego terminu od powstania szkody lub ustalenia państwa odpowiedzialnego. Kazus nie podaje dokładnych dat konsultacji ani zgłoszenia roszczeń.</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Inkaton/Quipu</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Accadii/Sargon</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Własność satelity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Art. VIII OST — utrata kontroli nie unicestwia własności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Satelita porzucony faktycznie; orzeczenie krajowe przyznało tytuł</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Przechwycenie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podstawy traktatowej do samopomocy; wymagana konsultacja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Zagrożenie bezpieczeństwa uzasadniało pilne działanie</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Szkoda na Księżycu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Art. III konwencji z 1972 r. wymaga wykazania winy Sargon</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Burza protonowa to zdarzenie zewnętrzne wyłączające winę</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Ratownictwo i technologia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Ratownictwo wykonane w pełni; działania przy wraku ograniczały ryzyko</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Wydobycie technologii to przywłaszczenie tajemnicy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Konsultacje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Konsultacje podjęto niezwłocznie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Opóźnienie drugiej strony podważa jej roszczenie</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Charakter „zagrożenia” stwarzanego przez satelitę</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podstawy przechwycenia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Dane trajektorii, ocena ryzyka kolizji</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Środki zabezpieczające zastosowane przez Sargon przed burzą</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elementu winy z art. III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Specyfikacja techniczna, protokoły ochrony</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Zakres wydobytej „zastrzeżonej technologii”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działania Quipu przy wraku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Raport z akcji, wykaz wydobytych elementów</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Daty uzyskania wiedzy i podjęcia konsultacji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terminowości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Nota dyplomatyczna, korespondencja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orzeczenia in rem</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kolizji z art. VIII OST</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Tekst orzeczenia, podstawa prawna</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Stwierdzić, że tytuł własności pozostał przy Inkatonie/Quipu na podstawie art. VIII OST, niezależnie od orzeczenia in rem; nakazać zwrot obiektu lub jego wartości. Uznać przechwycenie za działanie bez podstawy traktatowej. Zastosować do szkody na instalacji księżycowej reżim odpowiedzialności opartej na winie — rozstrzygnięcie warunkowe zależne od ustalenia standardu zabezpieczeń. Uznać obowiązek ratownictwa za w pełni wykonany. Ocenić wydobycie technologii odrębnie od ratownictwa, z obowiązkiem zwrotu na żądanie Sargon. Rozstrzygnięcie o terminowości konsultacji odroczyć do ustalenia dokładnych dat.</w:t>
      </w:r>
    </w:p>
    <w:p>
      <w:pPr>
        <w:pStyle w:val="Heading2"/>
        <w:spacing w:after="150" w:before="300"/>
      </w:pPr>
      <w:r>
        <w:t xml:space="preserve">Zweryfikowane pozycje źródłowe (K-06)</w:t>
      </w:r>
    </w:p>
    <w:p>
      <w:pPr>
        <w:pStyle w:val="ListParagraph"/>
        <w:pStyle w:val="normalPara"/>
        <w:numPr>
          <w:ilvl w:val="0"/>
          <w:numId w:val="1"/>
        </w:numPr>
        <w:spacing w:after="80"/>
      </w:pPr>
      <w:r>
        <w:t xml:space="preserve">Traktat o przestrzeni kosmicznej (1967), art. II, VI, VIII, IX. ✅ [VER: web_search, tekst traktatu z UNOOSA i wielokrotne źródła, RZĄD 1]</w:t>
      </w:r>
    </w:p>
    <w:p>
      <w:pPr>
        <w:pStyle w:val="ListParagraph"/>
        <w:pStyle w:val="normalPara"/>
        <w:numPr>
          <w:ilvl w:val="0"/>
          <w:numId w:val="1"/>
        </w:numPr>
        <w:spacing w:after="80"/>
      </w:pPr>
      <w:r>
        <w:t xml:space="preserve">Konwencja o międzynarodowej odpowiedzialności za szkody wyrządzone przez obiekty kosmiczne (1972), art. II, III, IV. ✅ [VER: web_search, tekst konwencji i komentarze, RZĄD 1]</w:t>
      </w:r>
    </w:p>
    <w:p>
      <w:pPr>
        <w:pStyle w:val="ListParagraph"/>
        <w:pStyle w:val="normalPara"/>
        <w:numPr>
          <w:ilvl w:val="0"/>
          <w:numId w:val="1"/>
        </w:numPr>
        <w:spacing w:after="80"/>
      </w:pPr>
      <w:r>
        <w:t xml:space="preserve">Porozumienie o ratowaniu astronautów (1968), art. 1–5. ✅ [VER: web_search, tekst porozumienia z UNOOSA i McGill IASL, RZĄD 1]</w:t>
      </w:r>
    </w:p>
    <w:p>
      <w:pPr>
        <w:pStyle w:val="ListParagraph"/>
        <w:pStyle w:val="normalPara"/>
        <w:numPr>
          <w:ilvl w:val="0"/>
          <w:numId w:val="1"/>
        </w:numPr>
        <w:spacing w:after="80"/>
      </w:pPr>
      <w:r>
        <w:t xml:space="preserve">Reguły dotyczące terminów zgłaszania roszczeń (art. X i XI konwencji z 1972 r.). ⚠️ [NIEWERYFIKOWANE bezpośrednio w tej turze]</w:t>
      </w:r>
    </w:p>
    <w:p>
      <w:r>
        <w:br w:type="page"/>
      </w:r>
    </w:p>
    <w:p>
      <w:pPr>
        <w:pStyle w:val="Heading1"/>
        <w:spacing w:after="200" w:before="400"/>
      </w:pPr>
      <w:r>
        <w:t xml:space="preserve">K-07 Anecoyon przeciwko Ridusowi</w:t>
      </w:r>
    </w:p>
    <w:p>
      <w:pPr>
        <w:spacing w:after="160"/>
      </w:pPr>
      <w:r>
        <w:rPr>
          <w:rFonts w:ascii="Calibri" w:cs="Calibri" w:eastAsia="Calibri" w:hAnsi="Calibri"/>
          <w:b w:val="false"/>
          <w:bCs w:val="false"/>
          <w:i/>
          <w:iCs/>
          <w:sz w:val="22"/>
          <w:szCs w:val="22"/>
        </w:rPr>
        <w:t xml:space="preserve">De-extinction, zasoby genetyczne i podział korzyści — adaptacja dydaktyczna problemu Stetson IEMCC 2025–2026.</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własność wskrzeszonego gatunku, a rozstrzyga się na rozdzieleniu czterech warstw reżimu ochrony różnorodności biologicznej. Pierwsza: czy DNA ze skamieniałości jest „zasobem genetycznym” w rozumieniu reżimu dostępu i podziału korzyści (ABS) — Protokół z Nagoi definiuje zasób genetyczny jako materiał zawierający funkcjonalne jednostki dziedziczności o rzeczywistej lub potencjalnej wartości; nic nie wyklucza materiału z organizmu wymarłego. Druga: informacja sekwencyjna w postaci cyfrowej (DSI) rządzi się dziś osobnym mechanizmem wielostronnym — Funduszem z Cali, przyjętym na COP16 w listopadzie 2024 r. Trzecia: przy gatunku historycznie transgranicznym oba państwa mogą jednocześnie spełniać definicję kraju pochodzenia. Czwarta: prawa i wiedza tradycyjna społeczności rdzennej rządzą się odrębnym trybem zgody, niezależnym od zgody samego państwa.</w:t>
      </w:r>
    </w:p>
    <w:p>
      <w:pPr>
        <w:spacing w:after="160"/>
      </w:pPr>
      <w:r>
        <w:rPr>
          <w:rFonts w:ascii="Calibri" w:cs="Calibri" w:eastAsia="Calibri" w:hAnsi="Calibri"/>
          <w:b w:val="false"/>
          <w:bCs w:val="false"/>
          <w:i w:val="false"/>
          <w:iCs w:val="false"/>
          <w:sz w:val="22"/>
          <w:szCs w:val="22"/>
        </w:rPr>
        <w:t xml:space="preserve">Umowa muzealna sprzed dekad, która nie przewidywała sekwencjonowania genetycznego, reguluje przekazanie fizycznego eksponatu, nie udziela zgody na wykorzystanie jego materiału genetycznego do celów badawczo-rozwojowych — to dwa odrębne akty w reżimie ABS.</w:t>
      </w:r>
    </w:p>
    <w:p>
      <w:pPr>
        <w:pStyle w:val="Heading2"/>
        <w:spacing w:after="150" w:before="300"/>
      </w:pPr>
      <w:r>
        <w:t xml:space="preserve">Mapa reżimów prawnych</w:t>
      </w:r>
    </w:p>
    <w:p>
      <w:pPr>
        <w:spacing w:after="160"/>
      </w:pPr>
      <w:r>
        <w:rPr>
          <w:rFonts w:ascii="Calibri" w:cs="Calibri" w:eastAsia="Calibri" w:hAnsi="Calibri"/>
          <w:b w:val="false"/>
          <w:bCs w:val="false"/>
          <w:i w:val="false"/>
          <w:iCs w:val="false"/>
          <w:sz w:val="22"/>
          <w:szCs w:val="22"/>
        </w:rPr>
        <w:t xml:space="preserve">Konwencja o różnorodności biologicznej (CBD, 1992) ustanawia suwerenne prawa państw do zasobów naturalnych i cel podziału korzyści. Protokół z Nagoi (2010, w mocy od 2014 r.) wymaga uprzedniej świadomej zgody (PIC) i wzajemnie uzgodnionych warunków (MAT) dla dostępu do zasobów genetycznych, oraz odrębnie — zgody społeczności rdzennych na wiedzę tradycyjną (art. 7). Decyzja COP16 z listopada 2024 r. ustanowiła mechanizm wielostronny dla DSI, w tym Fundusz z Cali, operacyjny od lutego 2025 r. Konwencja CITES reguluje handel gatunkami zagrożonymi poprzez system załączników. Deklaracja ONZ o prawach ludów tubylczych (art. 31) potwierdza prawo do kontroli nad dziedzictwem kulturowym i wiedzą tradycyjną.</w:t>
      </w:r>
    </w:p>
    <w:p>
      <w:pPr>
        <w:pStyle w:val="Heading2"/>
        <w:spacing w:after="150" w:before="300"/>
      </w:pPr>
      <w:r>
        <w:t xml:space="preserve">Analiza materialna według zagadnień</w:t>
      </w:r>
    </w:p>
    <w:p>
      <w:pPr>
        <w:pStyle w:val="Heading3"/>
        <w:spacing w:after="120" w:before="250"/>
      </w:pPr>
      <w:r>
        <w:t xml:space="preserve">1. Czy DNA ze skamieniałości jest zasobem genetycznym</w:t>
      </w:r>
    </w:p>
    <w:p>
      <w:pPr>
        <w:spacing w:after="160"/>
      </w:pPr>
      <w:r>
        <w:rPr>
          <w:rFonts w:ascii="Calibri" w:cs="Calibri" w:eastAsia="Calibri" w:hAnsi="Calibri"/>
          <w:b w:val="false"/>
          <w:bCs w:val="false"/>
          <w:i w:val="false"/>
          <w:iCs w:val="false"/>
          <w:sz w:val="22"/>
          <w:szCs w:val="22"/>
        </w:rPr>
        <w:t xml:space="preserve">Definicja zasobu genetycznego nie wymaga, by organizm źródłowy żył w chwili dostępu. Fragment DNA na tyle zachowany, że nadawał się do wykorzystania, spełnia tę definicję materialnie. Sporna pozostaje kwestia czasowa: kluczowe jest, czy „wykorzystaniem” aktywującym PIC/MAT jest pierwotne przekazanie skamieniałości muzeum, czy odrębny akt współczesnego sekwencjonowania i edycji genów — to drugie stanowisko ma silne oparcie w tym, że badania i rozwój są odrębnym „wykorzystaniem” od samego posiadania okazu.</w:t>
      </w:r>
    </w:p>
    <w:p>
      <w:pPr>
        <w:pStyle w:val="Heading3"/>
        <w:spacing w:after="120" w:before="250"/>
      </w:pPr>
      <w:r>
        <w:t xml:space="preserve">2. Kwalifikacja DSI i jej wykorzystanie komercyjne</w:t>
      </w:r>
    </w:p>
    <w:p>
      <w:pPr>
        <w:spacing w:after="160"/>
      </w:pPr>
      <w:r>
        <w:rPr>
          <w:rFonts w:ascii="Calibri" w:cs="Calibri" w:eastAsia="Calibri" w:hAnsi="Calibri"/>
          <w:b w:val="false"/>
          <w:bCs w:val="false"/>
          <w:i w:val="false"/>
          <w:iCs w:val="false"/>
          <w:sz w:val="22"/>
          <w:szCs w:val="22"/>
        </w:rPr>
        <w:t xml:space="preserve">Twierdzenie Ridusu, że informacja sekwencyjna nie jest tym samym co fizyczny zasób genetyczny, trafia w rzeczywisty spór doktrynalny. Decyzja COP16 ustanowiła mechanizm wielostronny i Fundusz z Cali — komercyjni użytkownicy DSI wnoszą wkłady niezależnie od ustalenia kraju pochodzenia. To ścieżka równoległa do roszczenia dwustronnego, nie je zastępująca.</w:t>
      </w:r>
    </w:p>
    <w:p>
      <w:pPr>
        <w:pStyle w:val="Heading3"/>
        <w:spacing w:after="120" w:before="250"/>
      </w:pPr>
      <w:r>
        <w:t xml:space="preserve">3. Kraj pochodzenia zasobu przy gatunku transgranicznym</w:t>
      </w:r>
    </w:p>
    <w:p>
      <w:pPr>
        <w:spacing w:after="160"/>
      </w:pPr>
      <w:r>
        <w:rPr>
          <w:rFonts w:ascii="Calibri" w:cs="Calibri" w:eastAsia="Calibri" w:hAnsi="Calibri"/>
          <w:b w:val="false"/>
          <w:bCs w:val="false"/>
          <w:i w:val="false"/>
          <w:iCs w:val="false"/>
          <w:sz w:val="22"/>
          <w:szCs w:val="22"/>
        </w:rPr>
        <w:t xml:space="preserve">Kraj pochodzenia to państwo posiadające zasób w warunkach in situ. Przy gatunku o historycznym zasięgu obejmującym oba terytoria, oba mogą spełniać tę definicję jednocześnie — konwencja zachęca do współpracy, nie ustanawia pierwszeństwa. Właściwym rozwiązaniem jest proporcjonalny udział obu państw.</w:t>
      </w:r>
    </w:p>
    <w:p>
      <w:pPr>
        <w:pStyle w:val="Heading3"/>
        <w:spacing w:after="120" w:before="250"/>
      </w:pPr>
      <w:r>
        <w:t xml:space="preserve">4. Czy przekazanie eksponatu obejmowało zgodę na sekwencjonowanie</w:t>
      </w:r>
    </w:p>
    <w:p>
      <w:pPr>
        <w:spacing w:after="160"/>
      </w:pPr>
      <w:r>
        <w:rPr>
          <w:rFonts w:ascii="Calibri" w:cs="Calibri" w:eastAsia="Calibri" w:hAnsi="Calibri"/>
          <w:b w:val="false"/>
          <w:bCs w:val="false"/>
          <w:i w:val="false"/>
          <w:iCs w:val="false"/>
          <w:sz w:val="22"/>
          <w:szCs w:val="22"/>
        </w:rPr>
        <w:t xml:space="preserve">Umowa przekazania eksponatu regulowała przeniesienie fizycznego obiektu do celów, dla których go przekazano — milczenie o sekwencjonowaniu nie jest dorozumianą zgodą na wykorzystanie o zupełnie innym charakterze. Technologia edycji genów umożliwiająca de-extinction nie istniała w chwili zawarcia umowy, co wzmacnia wniosek, że nie można było świadomie wyrazić na nią zgody.</w:t>
      </w:r>
    </w:p>
    <w:p>
      <w:pPr>
        <w:pStyle w:val="Heading3"/>
        <w:spacing w:after="120" w:before="250"/>
      </w:pPr>
      <w:r>
        <w:t xml:space="preserve">5. Prawa i wiedza tradycyjna społeczności rdzennej</w:t>
      </w:r>
    </w:p>
    <w:p>
      <w:pPr>
        <w:spacing w:after="160"/>
      </w:pPr>
      <w:r>
        <w:rPr>
          <w:rFonts w:ascii="Calibri" w:cs="Calibri" w:eastAsia="Calibri" w:hAnsi="Calibri"/>
          <w:b w:val="false"/>
          <w:bCs w:val="false"/>
          <w:i w:val="false"/>
          <w:iCs w:val="false"/>
          <w:sz w:val="22"/>
          <w:szCs w:val="22"/>
        </w:rPr>
        <w:t xml:space="preserve">To odrębny reżim zgody, nieredukowalny do zgody państwa. Jeżeli pantera ma znaczenie duchowe w tradycji społeczności, dostęp do związanej z nią wiedzy tradycyjnej wymaga odrębnej zgody tej społeczności. Deklaracja ONZ o prawach ludów tubylczych potwierdza prawo do kontroli nad dziedzictwem kulturowym związanym z zasobami genetycznymi.</w:t>
      </w:r>
    </w:p>
    <w:p>
      <w:pPr>
        <w:pStyle w:val="Heading3"/>
        <w:spacing w:after="120" w:before="250"/>
      </w:pPr>
      <w:r>
        <w:t xml:space="preserve">6. Reguły ochrony i handlu wobec zwierzęcia „wskrzeszonego”</w:t>
      </w:r>
    </w:p>
    <w:p>
      <w:pPr>
        <w:spacing w:after="160"/>
      </w:pPr>
      <w:r>
        <w:rPr>
          <w:rFonts w:ascii="Calibri" w:cs="Calibri" w:eastAsia="Calibri" w:hAnsi="Calibri"/>
          <w:b w:val="false"/>
          <w:bCs w:val="false"/>
          <w:i w:val="false"/>
          <w:iCs w:val="false"/>
          <w:sz w:val="22"/>
          <w:szCs w:val="22"/>
        </w:rPr>
        <w:t xml:space="preserve">Organizm powstały z sekwencji uzupełnionej danymi gatunku współczesnego jest hybrydą informacyjną, nie identyczną kopią organizmu wymarłego — stopień tożsamości genetycznej wymaga ustalenia faktycznego. Ponowne pojawienie się organizmu o zbliżonym genomie nie powoduje automatycznego przywrócenia statusu ochronnego CITES bez decyzji właściwych organów co do klasyfikacji tego konkretnego organizmu.</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Anecoyonu</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Ridusu</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Zasób genetyczny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DNA ze skamieniałości spełnia definicję niezależnie od wymarcia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Organizm wymarły nie generuje bieżących zobowiązań ABS</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DSI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Komercyjne wykorzystanie sekwencji podlega podziałowi korzyści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Informacja cyfrowa to nie fizyczny zasób genetyczny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Kraj pochodzenia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Anecoyon jest krajem pochodzenia jako miejsce znalezienia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Historyczny zasięg transgraniczny wyklucza wyłączność</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Zgoda muzealna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Umowa nie obejmowała sekwencjonowania ani de-extinction</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Próbka znajdowała się legalnie w muzeum</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Wiedza tradycyjna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Znaczenie duchowe wymaga odrębnej zgody społeczności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Zgoda państwa jest wystarczająca</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Status ochronny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Odtworzony organizm wymaga klasyfikacji i kontroli obrotu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Organizm służy ochronie różnorodności biologicznej</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umowy muzealnej o przekazaniu skamieniałości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zakresu udzielonej zgody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Tekst umowy, korespondencja przy przekazaniu</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Stopień identyczności genetycznej z gatunkiem wymarłym</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klasyfikacji taksonomicznej i CITES</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Analiza genomu porównawcza, opinia biologiczna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Status obu państw jako Stron Protokołu z Nagoi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zastosowania reżimu PIC/MAT w czasie</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Rejestr ratyfikacji CBD/Nagoya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pantera figurowała w załącznikach CITES przed wymarciem</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reżimu ochronnego</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Historyczne wpisy do załączników CITES</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Procedura zgody społeczności rdzennej</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naruszenia jej praw</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Dokumentacja konsultacji, oświadczenia przedstawicieli</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Zakres komercyjnego wykorzystania DSI przez instytut Ridusu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obowiązków wobec Funduszu z Cali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Umowy licencyjne, dane finansowe parku hodowlanego</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Uznać, że dostęp do materiału genetycznego do celów sekwencjonowania i edycji genów stanowi odrębne „wykorzystanie” wymagające PIC i MAT, których nie udzielono. Skierować roszczenie o podział korzyści równolegle do mechanizmu wielostronnego (Fundusz z Cali) i do rozliczenia dwustronnego z Ridusem. Uznać współdzielony status obu państw jako kraju pochodzenia, z podziałem korzyści proporcjonalnym. Uznać prawo społeczności rdzennej do odrębnej zgody na wykorzystanie wiedzy tradycyjnej, niezależnie od zgody państwa. Poddać odtworzony organizm klasyfikacji taksonomicznej i właściwemu reżimowi ochronnemu przed dopuszczeniem do dalszego obrotu lub reintrodukcji.</w:t>
      </w:r>
    </w:p>
    <w:p>
      <w:pPr>
        <w:pStyle w:val="Heading2"/>
        <w:spacing w:after="150" w:before="300"/>
      </w:pPr>
      <w:r>
        <w:t xml:space="preserve">Zweryfikowane pozycje źródłowe (K-07)</w:t>
      </w:r>
    </w:p>
    <w:p>
      <w:pPr>
        <w:pStyle w:val="ListParagraph"/>
        <w:pStyle w:val="normalPara"/>
        <w:numPr>
          <w:ilvl w:val="0"/>
          <w:numId w:val="1"/>
        </w:numPr>
        <w:spacing w:after="80"/>
      </w:pPr>
      <w:r>
        <w:t xml:space="preserve">Protokół z Nagoi (2010) — definicja zasobu genetycznego, reżim PIC/MAT, art. 7. ✅ [VER: web_search, wielokrotne źródła w tym EUR-Lex, RZĄD 1]</w:t>
      </w:r>
    </w:p>
    <w:p>
      <w:pPr>
        <w:pStyle w:val="ListParagraph"/>
        <w:pStyle w:val="normalPara"/>
        <w:numPr>
          <w:ilvl w:val="0"/>
          <w:numId w:val="1"/>
        </w:numPr>
        <w:spacing w:after="80"/>
      </w:pPr>
      <w:r>
        <w:t xml:space="preserve">Decyzja COP16 CBD (listopad 2024) — Wielostronny Mechanizm i Fundusz z Cali dla DSI. ✅ [VER: web_search, wielokrotne źródła w tym dokumenty UNDP/CBD, RZĄD 1]</w:t>
      </w:r>
    </w:p>
    <w:p>
      <w:pPr>
        <w:pStyle w:val="ListParagraph"/>
        <w:pStyle w:val="normalPara"/>
        <w:numPr>
          <w:ilvl w:val="0"/>
          <w:numId w:val="1"/>
        </w:numPr>
        <w:spacing w:after="80"/>
      </w:pPr>
      <w:r>
        <w:t xml:space="preserve">Deklaracja ONZ o prawach ludów tubylczych, art. 31. ⚠️ [NIEWERYFIKOWANE bezpośrednio w tej turze]</w:t>
      </w:r>
    </w:p>
    <w:p>
      <w:pPr>
        <w:pStyle w:val="ListParagraph"/>
        <w:pStyle w:val="normalPara"/>
        <w:numPr>
          <w:ilvl w:val="0"/>
          <w:numId w:val="1"/>
        </w:numPr>
        <w:spacing w:after="80"/>
      </w:pPr>
      <w:r>
        <w:t xml:space="preserve">Konwencja o różnorodności biologicznej (CBD, 1992). ⚠️ [treść ogólnie znana, nie zweryfikowana bezpośrednio w tej turze]</w:t>
      </w:r>
    </w:p>
    <w:p>
      <w:pPr>
        <w:pStyle w:val="ListParagraph"/>
        <w:pStyle w:val="normalPara"/>
        <w:numPr>
          <w:ilvl w:val="0"/>
          <w:numId w:val="1"/>
        </w:numPr>
        <w:spacing w:after="80"/>
      </w:pPr>
      <w:r>
        <w:t xml:space="preserve">Konwencja CITES — zastosowanie do gatunków wymarłych/odtworzonych. ⚠️ [kwestia otwartej debaty doktrynalnej, brak jednoznacznego rozstrzygnięcia w tekście konwencji]</w:t>
      </w:r>
    </w:p>
    <w:p>
      <w:r>
        <w:br w:type="page"/>
      </w:r>
    </w:p>
    <w:p>
      <w:pPr>
        <w:pStyle w:val="Heading1"/>
        <w:spacing w:after="200" w:before="400"/>
      </w:pPr>
      <w:r>
        <w:t xml:space="preserve">PL-01 Algorytm zwalnia sygnalistkę</w:t>
      </w:r>
    </w:p>
    <w:p>
      <w:pPr>
        <w:spacing w:after="160"/>
      </w:pPr>
      <w:r>
        <w:rPr>
          <w:rFonts w:ascii="Calibri" w:cs="Calibri" w:eastAsia="Calibri" w:hAnsi="Calibri"/>
          <w:b w:val="false"/>
          <w:bCs w:val="false"/>
          <w:i/>
          <w:iCs/>
          <w:sz w:val="22"/>
          <w:szCs w:val="22"/>
        </w:rPr>
        <w:t xml:space="preserve">Prawo pracy, ochrona sygnalistów, RODO, AI Act i tajemnica przedsiębiorstwa — autorski kazus prawa polskiego.</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zwolnienie pracownicy, a rozstrzyga się na nałożeniu na siebie trzech reżimów ochronnych, z których każdy działa niezależnie i wzmacnia pozostałe. Pierwszy: zgłoszenie Marty korzysta z ochrony ustawy o ochronie sygnalistów (Dz.U. 2024, poz. 928), a ciężar dowodu, że wypowiedzenie nie było działaniem odwetowym, spoczywa na pracodawcy (art. 12 ust. 3 ustawy) — to zmienia całą strukturę sporu. Drugi: obniżenie ratingu przez PeopleScore z powodu „nielojalności” i „kontaktów z mediami”, dwa tygodnie po zgłoszeniu, jest okolicznością obciążającą pracodawcę w tym dowodzie. Trzeci: rekonstrukcja zlikwidowanego stanowiska po miesiącu jest wzorcem pozornej reorganizacji, podważającym rzeczywisty charakter przyczyny wypowiedzenia.</w:t>
      </w:r>
    </w:p>
    <w:p>
      <w:pPr>
        <w:spacing w:after="160"/>
      </w:pPr>
      <w:r>
        <w:rPr>
          <w:rFonts w:ascii="Calibri" w:cs="Calibri" w:eastAsia="Calibri" w:hAnsi="Calibri"/>
          <w:b w:val="false"/>
          <w:bCs w:val="false"/>
          <w:i w:val="false"/>
          <w:iCs w:val="false"/>
          <w:sz w:val="22"/>
          <w:szCs w:val="22"/>
        </w:rPr>
        <w:t xml:space="preserve">Krótka wideokonferencja zarządu przed wypowiedzeniem nie musi wypełniać wymogu „rzeczywistej interwencji ludzkiej” z art. 22 RODO — wymaga się, by człowiek faktycznie analizował sprawę i miał możliwość zmiany wyniku, nie tylko formalnie firmował decyzję algorytmu.</w:t>
      </w:r>
    </w:p>
    <w:p>
      <w:pPr>
        <w:pStyle w:val="Heading2"/>
        <w:spacing w:after="150" w:before="300"/>
      </w:pPr>
      <w:r>
        <w:t xml:space="preserve">Mapa jurysdykcji, źródeł i kompetencji</w:t>
      </w:r>
    </w:p>
    <w:p>
      <w:pPr>
        <w:spacing w:after="160"/>
      </w:pPr>
      <w:r>
        <w:rPr>
          <w:rFonts w:ascii="Calibri" w:cs="Calibri" w:eastAsia="Calibri" w:hAnsi="Calibri"/>
          <w:b w:val="false"/>
          <w:bCs w:val="false"/>
          <w:i w:val="false"/>
          <w:iCs w:val="false"/>
          <w:sz w:val="22"/>
          <w:szCs w:val="22"/>
        </w:rPr>
        <w:t xml:space="preserve">Sąd pracy ocenia zasadność i zgodność z prawem wypowiedzenia (art. 45 KP) oraz roszczenia z tytułu działań odwetowych. PIP kontroluje przestrzeganie prawa pracy. Prezes UODO rozpoznaje skargę dotyczącą zautomatyzowanego przetwarzania i profilowania (art. 22 RODO). Związek zawodowy ma legitymację do zarzutu naruszenia obowiązku konsultacji przy monitoringu. Roszczenie spółki o zakaz publikacji rozpoznaje sąd cywilny, w kontekście ustawy o sygnalistach modyfikującej standardową ochronę tajemnicy przedsiębiorstwa.</w:t>
      </w:r>
    </w:p>
    <w:p>
      <w:pPr>
        <w:pStyle w:val="Heading2"/>
        <w:spacing w:after="150" w:before="300"/>
      </w:pPr>
      <w:r>
        <w:t xml:space="preserve">Analiza materialna według zagadnień</w:t>
      </w:r>
    </w:p>
    <w:p>
      <w:pPr>
        <w:pStyle w:val="Heading3"/>
        <w:spacing w:after="120" w:before="250"/>
      </w:pPr>
      <w:r>
        <w:t xml:space="preserve">1. Czy zgłoszenie korzysta z ochrony, a wypowiedzenie może być działaniem odwetowym</w:t>
      </w:r>
    </w:p>
    <w:p>
      <w:pPr>
        <w:spacing w:after="160"/>
      </w:pPr>
      <w:r>
        <w:rPr>
          <w:rFonts w:ascii="Calibri" w:cs="Calibri" w:eastAsia="Calibri" w:hAnsi="Calibri"/>
          <w:b w:val="false"/>
          <w:bCs w:val="false"/>
          <w:i w:val="false"/>
          <w:iCs w:val="false"/>
          <w:sz w:val="22"/>
          <w:szCs w:val="22"/>
        </w:rPr>
        <w:t xml:space="preserve">Ochrona sygnalisty przysługuje, gdy miał uzasadnione podstawy sądzić, że informacja o naruszeniu prawa była prawdziwa w chwili zgłoszenia. Katalog działań odwetowych (art. 12 ustawy) obejmuje zwolnienie z pracy, a art. 12 ust. 3 przenosi ciężar dowodu na pracodawcę. Bliskość czasowa oraz wprost wskazane w uzasadnieniu ratingu przesłanki „nielojalności” i „kontaktów z mediami” są okolicznościami silnie obciążającymi pracodawcę w tym dowodzie.</w:t>
      </w:r>
    </w:p>
    <w:p>
      <w:pPr>
        <w:pStyle w:val="Heading3"/>
        <w:spacing w:after="120" w:before="250"/>
      </w:pPr>
      <w:r>
        <w:t xml:space="preserve">2. Czy reorganizacja była rzeczywista</w:t>
      </w:r>
    </w:p>
    <w:p>
      <w:pPr>
        <w:spacing w:after="160"/>
      </w:pPr>
      <w:r>
        <w:rPr>
          <w:rFonts w:ascii="Calibri" w:cs="Calibri" w:eastAsia="Calibri" w:hAnsi="Calibri"/>
          <w:b w:val="false"/>
          <w:bCs w:val="false"/>
          <w:i w:val="false"/>
          <w:iCs w:val="false"/>
          <w:sz w:val="22"/>
          <w:szCs w:val="22"/>
        </w:rPr>
        <w:t xml:space="preserve">Utworzenie po miesiącu stanowiska podobnego do zlikwidowanego klasycznie podważa rzeczywisty charakter przyczyny reorganizacyjnej. Rozkład ciężaru dowodu z ustawy o sygnalistach nakłada się na ogólne zasady kontroli zasadności wypowiedzenia z art. 45 KP. Kazus nie podaje dokładnego zakresu obowiązków nowego stanowiska — ale wskazówki są już wystarczające do przerzucenia ciężaru wyjaśnienia na pracodawcę.</w:t>
      </w:r>
    </w:p>
    <w:p>
      <w:pPr>
        <w:pStyle w:val="Heading3"/>
        <w:spacing w:after="120" w:before="250"/>
      </w:pPr>
      <w:r>
        <w:t xml:space="preserve">3. Czy decyzja była faktycznie zautomatyzowana</w:t>
      </w:r>
    </w:p>
    <w:p>
      <w:pPr>
        <w:spacing w:after="160"/>
      </w:pPr>
      <w:r>
        <w:rPr>
          <w:rFonts w:ascii="Calibri" w:cs="Calibri" w:eastAsia="Calibri" w:hAnsi="Calibri"/>
          <w:b w:val="false"/>
          <w:bCs w:val="false"/>
          <w:i w:val="false"/>
          <w:iCs w:val="false"/>
          <w:sz w:val="22"/>
          <w:szCs w:val="22"/>
        </w:rPr>
        <w:t xml:space="preserve">Art. 22 RODO chroni przed decyzją opartą wyłącznie na zautomatyzowanym przetwarzaniu. Formalny udział człowieka nie wystarcza, jeśli nie jest rzeczywisty. „Krótka wideokonferencja” oparta na rekomendacji PeopleScore wymaga zbadania, czy zarząd faktycznie analizował sprawę. Niezależnie: system PeopleScore mieści się w kategorii systemów wysokiego ryzyka z pkt 4 załącznika III AI Act — ale termin stosowania tych obowiązków został przesunięty rozporządzeniem Digital Omnibus (UE 2026/1744, w mocy od 27 lipca 2026 r.) z 2 sierpnia 2026 r. na 2 grudnia 2027 r. Pełne obowiązki AI Act formalnie jeszcze nie obowiązują w dacie zdarzeń z kazusu, choć zakazane praktyki z art. 5 (od lutego 2025 r.) i obowiązki przejrzystości z art. 50 (od sierpnia 2026 r.) już obowiązują.</w:t>
      </w:r>
    </w:p>
    <w:p>
      <w:pPr>
        <w:pStyle w:val="Heading3"/>
        <w:spacing w:after="120" w:before="250"/>
      </w:pPr>
      <w:r>
        <w:t xml:space="preserve">4. Jak pogodzić kontrolę sądową z tajemnicą dostawcy</w:t>
      </w:r>
    </w:p>
    <w:p>
      <w:pPr>
        <w:spacing w:after="160"/>
      </w:pPr>
      <w:r>
        <w:rPr>
          <w:rFonts w:ascii="Calibri" w:cs="Calibri" w:eastAsia="Calibri" w:hAnsi="Calibri"/>
          <w:b w:val="false"/>
          <w:bCs w:val="false"/>
          <w:i w:val="false"/>
          <w:iCs w:val="false"/>
          <w:sz w:val="22"/>
          <w:szCs w:val="22"/>
        </w:rPr>
        <w:t xml:space="preserve">Odmowa ujawnienia logiki systemu nie może wyłączyć skutecznej kontroli sądowej — sąd dysponuje instrumentami pogodzenia obu interesów: badanie materiału w trybie ograniczonej jawności, zobowiązanie dostawcy do ujawnienia wyłącznie sądowi/biegłemu, lub negatywne konsekwencje procesowe z odmowy współpracy dowodowej pracodawcy.</w:t>
      </w:r>
    </w:p>
    <w:p>
      <w:pPr>
        <w:pStyle w:val="Heading3"/>
        <w:spacing w:after="120" w:before="250"/>
      </w:pPr>
      <w:r>
        <w:t xml:space="preserve">5. Ujawnienie dokumentów mediom i zabezpieczenie dowodów</w:t>
      </w:r>
    </w:p>
    <w:p>
      <w:pPr>
        <w:spacing w:after="160"/>
      </w:pPr>
      <w:r>
        <w:rPr>
          <w:rFonts w:ascii="Calibri" w:cs="Calibri" w:eastAsia="Calibri" w:hAnsi="Calibri"/>
          <w:b w:val="false"/>
          <w:bCs w:val="false"/>
          <w:i w:val="false"/>
          <w:iCs w:val="false"/>
          <w:sz w:val="22"/>
          <w:szCs w:val="22"/>
        </w:rPr>
        <w:t xml:space="preserve">Ustawa o sygnalistach przewiduje ujawnienie publiczne jako trzeci kanał (rozdział 5), chroniony pod dodatkowymi przesłankami — typowo uprzednie zgłoszenie bez odpowiednich działań następczych, albo bezpośrednie zagrożenie interesu publicznego, albo ryzyko odwetu czyniące inne kanały nieskutecznymi. Kazus nie precyzuje, czy Marta podjęła wcześniej zgłoszenie zewnętrzne. Usunięcie logów wskutek 30-dniowej retencji mimo przewidywalności sporu rodzi domniemanie niekorzystne dla strony odpowiedzialnej za retencję.</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Marty</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Algometrii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Charakter zgłoszenia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Ciężar dowodu braku odwetu spoczywa na pracodawcy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Wypowiedzenie miało niezależną przyczynę reorganizacyjną</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Reorganizacja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Podobne stanowisko po miesiącu dowodzi pozorności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Nowe stanowisko ma inny zakres obowiązków</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Automatyzacja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Wideokonferencja to formalne potwierdzenie algorytmu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Zarząd podjął autonomiczną decyzję</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Tajemnica dostawcy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przejrzystości musi obciążać pracodawcę</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Logika systemu to chroniona tajemnica</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Ujawnienie mediom</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Dotyczyło istotnego interesu publicznego</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Naruszyło poufność, wymaga zakazu i odszkodowania</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Zakres obowiązków nowego stanowiska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pozorności reorganizacji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Opis stanowisk, struktura organizacyjna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Przebieg wideokonferencji zarządu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rzeczywistej interwencji ludzkiej</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Protokół, nagranie, materiały przedstawione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Marta podjęła zgłoszenie zewnętrzne wcześniej</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ochrony ujawnienia publicznego</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Korespondencja z organem publicznym</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Zawartość usuniętych logów</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rzeczywistego działania algorytmu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Kopie zapasowe, dokumentacja retencji</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umowy z dostawcą w zakresie audytu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możliwości wymuszenia ujawnienia logiki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Umowa licencyjna, klauzule audytowe</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Uznać, że zgłoszenie Marty korzysta z ochrony ustawy o sygnalistach i nałożyć na Algometrię ciężar wykazania braku związku z wypowiedzeniem — w razie niesprostania, uznać wypowiedzenie za działanie odwetowe. Stwierdzić, w razie potwierdzenia podobieństwa stanowisk, pozorność przyczyny reorganizacyjnej. Ustalić, czy decyzja miała charakter faktycznie zautomatyzowany. Zobowiązać dostawcę do ujawnienia logiki algorytmu sądowi/biegłemu w trybie chroniącym tajemnicę wobec osób trzecich. Oddalić żądanie zakazu publikacji materiału o podejrzeniu dyskryminacji i odwetu, o ile spełnione przesłanki ustawowe. Nakazać zabezpieczenie pozostałych logów i domniemanie niekorzystne dla pracodawcy co do danych utraconych mimo przewidywalności sporu.</w:t>
      </w:r>
    </w:p>
    <w:p>
      <w:pPr>
        <w:pStyle w:val="Heading2"/>
        <w:spacing w:after="150" w:before="300"/>
      </w:pPr>
      <w:r>
        <w:t xml:space="preserve">Zweryfikowane pozycje źródłowe (PL-01)</w:t>
      </w:r>
    </w:p>
    <w:p>
      <w:pPr>
        <w:pStyle w:val="ListParagraph"/>
        <w:pStyle w:val="normalPara"/>
        <w:numPr>
          <w:ilvl w:val="0"/>
          <w:numId w:val="1"/>
        </w:numPr>
        <w:spacing w:after="80"/>
      </w:pPr>
      <w:r>
        <w:t xml:space="preserve">Ustawa z 14.06.2024 r. o ochronie sygnalistów (Dz.U. 2024, poz. 928) — art. 12, rozdział 5. ✅ [VER: web_search, tekst ustawy z portali prawniczych, RZĄD 1/2A — zalecana weryfikacja na eli.gov.pl/eli/DU/2024/928/ogl]</w:t>
      </w:r>
    </w:p>
    <w:p>
      <w:pPr>
        <w:pStyle w:val="ListParagraph"/>
        <w:pStyle w:val="normalPara"/>
        <w:numPr>
          <w:ilvl w:val="0"/>
          <w:numId w:val="1"/>
        </w:numPr>
        <w:spacing w:after="80"/>
      </w:pPr>
      <w:r>
        <w:t xml:space="preserve">RODO, art. 22 — prawo do niepodlegania zautomatyzowanej decyzji. ✅ [VER: web_search, wielokrotne źródła, RZĄD 2A]</w:t>
      </w:r>
    </w:p>
    <w:p>
      <w:pPr>
        <w:pStyle w:val="ListParagraph"/>
        <w:pStyle w:val="normalPara"/>
        <w:numPr>
          <w:ilvl w:val="0"/>
          <w:numId w:val="1"/>
        </w:numPr>
        <w:spacing w:after="80"/>
      </w:pPr>
      <w:r>
        <w:t xml:space="preserve">AI Act (UE 2024/1689), załącznik III pkt 4. ✅ [VER: web_search, tekst regulacji, RZĄD 1]</w:t>
      </w:r>
    </w:p>
    <w:p>
      <w:pPr>
        <w:pStyle w:val="ListParagraph"/>
        <w:pStyle w:val="normalPara"/>
        <w:numPr>
          <w:ilvl w:val="0"/>
          <w:numId w:val="1"/>
        </w:numPr>
        <w:spacing w:after="80"/>
      </w:pPr>
      <w:r>
        <w:t xml:space="preserve">Digital Omnibus (UE 2026/1744) — przesunięcie terminu na 2.12.2027 r. ✅ [VER: web_search, wielokrotne źródła kancelarii, RZĄD 2A]</w:t>
      </w:r>
    </w:p>
    <w:p>
      <w:pPr>
        <w:pStyle w:val="ListParagraph"/>
        <w:pStyle w:val="normalPara"/>
        <w:numPr>
          <w:ilvl w:val="0"/>
          <w:numId w:val="1"/>
        </w:numPr>
        <w:spacing w:after="80"/>
      </w:pPr>
      <w:r>
        <w:t xml:space="preserve">Kodeks pracy, art. 45 — kontrola zasadności wypowiedzenia. ⚠️ [NIEWERYFIKOWANE bezpośrednio w tej turze]</w:t>
      </w:r>
    </w:p>
    <w:p>
      <w:r>
        <w:br w:type="page"/>
      </w:r>
    </w:p>
    <w:p>
      <w:pPr>
        <w:pStyle w:val="Heading1"/>
        <w:spacing w:after="200" w:before="400"/>
      </w:pPr>
      <w:r>
        <w:t xml:space="preserve">PL-02 Osiedle na zalewowej łące</w:t>
      </w:r>
    </w:p>
    <w:p>
      <w:pPr>
        <w:spacing w:after="160"/>
      </w:pPr>
      <w:r>
        <w:rPr>
          <w:rFonts w:ascii="Calibri" w:cs="Calibri" w:eastAsia="Calibri" w:hAnsi="Calibri"/>
          <w:b w:val="false"/>
          <w:bCs w:val="false"/>
          <w:i/>
          <w:iCs/>
          <w:sz w:val="22"/>
          <w:szCs w:val="22"/>
        </w:rPr>
        <w:t xml:space="preserve">Planowanie przestrzenne, budownictwo, środowisko, wody i kontrola administracyjna — autorski kazus prawa polskiego.</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zalanie inwestycji, a rozstrzyga się na rozdzieleniu czterech warstw. Pierwsza: konflikt interesów radnych nie prowadzi automatycznie do nieważności planu miejscowego — zastosowanie ma lex specialis z art. 28 ust. 1 ustawy o planowaniu, wymagający istotności naruszenia, a orzecznictwo bywa niejednolite. Pytanie wstępne: czy powiązanie rodzinne w ogóle mieści się w pojęciu „interesu prawnego radnego”. Druga: podział przedsięwzięcia na osiedle, drogę i zbiornik retencyjny bez oceny skumulowanej to podręcznikowy przykład „salami slicing”, niedopuszczalny wedle utrwalonej linii orzeczniczej (potwierdzonej wyrokiem NSA z kwietnia 2026 r.). Trzecia: nowa mapa zagrożenia powodziowego nie unieważnia pozwolenia automatycznie, ale otwiera odrębne ścieżki (wznowienie, wstrzymanie robót, kontrola Wód Polskich). Czwarta: skutki nieważności planu dla decyzji następczych są w orzecznictwie niejednolite.</w:t>
      </w:r>
    </w:p>
    <w:p>
      <w:pPr>
        <w:pStyle w:val="Heading2"/>
        <w:spacing w:after="150" w:before="300"/>
      </w:pPr>
      <w:r>
        <w:t xml:space="preserve">Mapa jurysdykcji, źródeł i kompetencji</w:t>
      </w:r>
    </w:p>
    <w:p>
      <w:pPr>
        <w:spacing w:after="160"/>
      </w:pPr>
      <w:r>
        <w:rPr>
          <w:rFonts w:ascii="Calibri" w:cs="Calibri" w:eastAsia="Calibri" w:hAnsi="Calibri"/>
          <w:b w:val="false"/>
          <w:bCs w:val="false"/>
          <w:i w:val="false"/>
          <w:iCs w:val="false"/>
          <w:sz w:val="22"/>
          <w:szCs w:val="22"/>
        </w:rPr>
        <w:t xml:space="preserve">Wojewoda sprawuje nadzór nad planem. Sąd administracyjny rozpoznaje skargi na plan i decyzje wniesione przez podmioty z legitymacją — organizacje ekologiczne na prawach strony OOŚ i sąsiadów z interesem prawnym. Nadzór budowlany wstrzymuje roboty w razie zagrożenia bezpieczeństwa. Wody Polskie opiniują gospodarkę wodną. Roszczenia odszkodowawcze rozpoznaje sąd cywilny.</w:t>
      </w:r>
    </w:p>
    <w:p>
      <w:pPr>
        <w:pStyle w:val="Heading2"/>
        <w:spacing w:after="150" w:before="300"/>
      </w:pPr>
      <w:r>
        <w:t xml:space="preserve">Analiza materialna według zagadnień</w:t>
      </w:r>
    </w:p>
    <w:p>
      <w:pPr>
        <w:pStyle w:val="Heading3"/>
        <w:spacing w:after="120" w:before="250"/>
      </w:pPr>
      <w:r>
        <w:t xml:space="preserve">1. Czy konflikt interesów radnych wpływa na legalność planu</w:t>
      </w:r>
    </w:p>
    <w:p>
      <w:pPr>
        <w:spacing w:after="160"/>
      </w:pPr>
      <w:r>
        <w:rPr>
          <w:rFonts w:ascii="Calibri" w:cs="Calibri" w:eastAsia="Calibri" w:hAnsi="Calibri"/>
          <w:b w:val="false"/>
          <w:bCs w:val="false"/>
          <w:i w:val="false"/>
          <w:iCs w:val="false"/>
          <w:sz w:val="22"/>
          <w:szCs w:val="22"/>
        </w:rPr>
        <w:t xml:space="preserve">Pierwszy krok: czy więź rodzinna z podwykonawcą mieści się w pojęciu „interesu prawnego radnego” z art. 25a usg — pojęciu oznaczającym interes osobisty, konkretny i aktualny samego radnego. Kazus nie precyzuje charakteru powiązania — brak o znaczeniu przesądzającym. Drugi krok, warunkowy: skutek dla planu reguluje lex specialis z art. 28 ust. 1 ustawy o planowaniu, wymagający istotnego naruszenia zasad lub trybu — nie automatycznej nieważności jak przy uchwałach indywidualnych. Orzecznictwo bywa niejednolite co do zastosowania tej sankcji przy aktach prawa miejscowego.</w:t>
      </w:r>
    </w:p>
    <w:p>
      <w:pPr>
        <w:pStyle w:val="Heading3"/>
        <w:spacing w:after="120" w:before="250"/>
      </w:pPr>
      <w:r>
        <w:t xml:space="preserve">2. Czy trzy elementy tworzą jedno przedsięwzięcie</w:t>
      </w:r>
    </w:p>
    <w:p>
      <w:pPr>
        <w:spacing w:after="160"/>
      </w:pPr>
      <w:r>
        <w:rPr>
          <w:rFonts w:ascii="Calibri" w:cs="Calibri" w:eastAsia="Calibri" w:hAnsi="Calibri"/>
          <w:b w:val="false"/>
          <w:bCs w:val="false"/>
          <w:i w:val="false"/>
          <w:iCs w:val="false"/>
          <w:sz w:val="22"/>
          <w:szCs w:val="22"/>
        </w:rPr>
        <w:t xml:space="preserve">Definicja przedsięwzięcia (art. 3 ust. 1 pkt 13 ustawy OOŚ) obejmuje przedsięwzięcia powiązane technologicznie jako jedno, także gdy realizowane przez różne podmioty — a tu realizuje je ten sam inwestor. Utrwalona linia orzecznicza, potwierdzona wyrokiem NSA z kwietnia 2026 r., uznaje taki podział za niedopuszczalny „salami slicing”, gdy elementy są powiązane funkcjonalnie — zbiornik retencyjny służący osiedlu i drodze jest takim powiązaniem.</w:t>
      </w:r>
    </w:p>
    <w:p>
      <w:pPr>
        <w:pStyle w:val="Heading3"/>
        <w:spacing w:after="120" w:before="250"/>
      </w:pPr>
      <w:r>
        <w:t xml:space="preserve">3. Jak nowa wiedza o powodzi wpływa na decyzje i roboty</w:t>
      </w:r>
    </w:p>
    <w:p>
      <w:pPr>
        <w:spacing w:after="160"/>
      </w:pPr>
      <w:r>
        <w:rPr>
          <w:rFonts w:ascii="Calibri" w:cs="Calibri" w:eastAsia="Calibri" w:hAnsi="Calibri"/>
          <w:b w:val="false"/>
          <w:bCs w:val="false"/>
          <w:i w:val="false"/>
          <w:iCs w:val="false"/>
          <w:sz w:val="22"/>
          <w:szCs w:val="22"/>
        </w:rPr>
        <w:t xml:space="preserve">Nowa mapa zagrożenia może stanowić podstawę wznowienia postępowania, nie automatycznego wygaśnięcia decyzji. Nadzór budowlany dysponuje odrębnym instrumentem — wstrzymaniem robót w razie zagrożenia bezpieczeństwa, co nastąpiło po zalaniu wykopu, niezależnie od formalnego statusu decyzji pierwotnej. Kwestionowanie retencji przez Wody Polskie jest trzecią, odrębną ścieżką.</w:t>
      </w:r>
    </w:p>
    <w:p>
      <w:pPr>
        <w:pStyle w:val="Heading3"/>
        <w:spacing w:after="120" w:before="250"/>
      </w:pPr>
      <w:r>
        <w:t xml:space="preserve">4. Kto może zaskarżyć poszczególne akty</w:t>
      </w:r>
    </w:p>
    <w:p>
      <w:pPr>
        <w:spacing w:after="160"/>
      </w:pPr>
      <w:r>
        <w:rPr>
          <w:rFonts w:ascii="Calibri" w:cs="Calibri" w:eastAsia="Calibri" w:hAnsi="Calibri"/>
          <w:b w:val="false"/>
          <w:bCs w:val="false"/>
          <w:i w:val="false"/>
          <w:iCs w:val="false"/>
          <w:sz w:val="22"/>
          <w:szCs w:val="22"/>
        </w:rPr>
        <w:t xml:space="preserve">Plan może być zaskarżony przez każdego z naruszonym interesem prawnym, a wojewoda może go wzruszyć w ramach nadzoru. Decyzje środowiskowe i pozwolenie na budowę mogą zaskarżyć sąsiedzi z interesem prawnym oraz organizacje ekologiczne na prawach strony OOŚ. Zarzut braku realnego udziału społeczeństwa oddziałuje na ocenę istotności naruszenia trybu z art. 28 ust. 1, nie jest samodzielną podstawą.</w:t>
      </w:r>
    </w:p>
    <w:p>
      <w:pPr>
        <w:pStyle w:val="Heading3"/>
        <w:spacing w:after="120" w:before="250"/>
      </w:pPr>
      <w:r>
        <w:t xml:space="preserve">5. Jak rozdzielić skutki publicznoprawne od roszczeń</w:t>
      </w:r>
    </w:p>
    <w:p>
      <w:pPr>
        <w:spacing w:after="160"/>
      </w:pPr>
      <w:r>
        <w:rPr>
          <w:rFonts w:ascii="Calibri" w:cs="Calibri" w:eastAsia="Calibri" w:hAnsi="Calibri"/>
          <w:b w:val="false"/>
          <w:bCs w:val="false"/>
          <w:i w:val="false"/>
          <w:iCs w:val="false"/>
          <w:sz w:val="22"/>
          <w:szCs w:val="22"/>
        </w:rPr>
        <w:t xml:space="preserve">Stwierdzenie nieważności planu lub uchylenie decyzji rozstrzyga wyłącznie o legalności aktów — nie przesądza automatycznie odpowiedzialności odszkodowawczej ani losu umów sprzedaży lokali. Nabywcy mogą dochodzić roszczeń od dewelopera z tytułu wad prawnych. Gmina może ponosić odpowiedzialność za wadliwy plan oparty na nieaktualnych mapach. Koszty wału są odrębnym zagadnieniem, niewykluczającym regresu gminy.</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dewelopera/gminy</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organizacji ekologicznej/sąsiadów</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Konflikt interesów</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Więź rodzinna nie stanowi interesu prawnego radnego</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Powiązanie podważa rzetelność procesu uchwałodawczego</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Podział przedsięwzięcia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Trzy odrębne postępowania dotyczą odrębnych obiektów</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Zbiornik jest funkcjonalnie powiązany — to jedno przedsięwzięcie</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Nowa mapa powodziowa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Pozwolenie pozostaje w mocy do formalnego wzruszenia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Uzasadnia wznowienie i wstrzymanie robót</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Legitymacja skargowa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interesu prawnego wobec planu jako całości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Udział w OOŚ i interes sąsiedzki uzasadniają skargę</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Rozdzielenie odpowiedzialności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Nieważność aktów nie przesądza roszczeń cywilnych</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Odpowiedzialność gminy powinna objąć koszty zabezpieczeń</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Charakter powiązania rodzinnego radnych</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uznania za interes prawny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Rejestr powiązań, oświadczenia majątkowe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Uzasadnienie podziału przedsięwzięcia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„salami slicing”</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Wnioski o decyzje środowiskowe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Zakres nieaktualności map w prognozie</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istotności naruszenia z art. 28 ust. 1</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Prognoza oddziaływania, aktualne mapy zagrożenia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Przebieg konsultacji społecznych</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istotności naruszenia trybu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Protokoły konsultacji</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stanowiska Wód Polskich</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zgodności z gospodarką wodną</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Opinia/uzgodnienie, dokumentacja techniczna</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Rozstrzygnięcie warunkowe co do planu — ocena istotności naruszenia zależna od ustalenia interesu prawnego radnych i wpływu na treść planu. Uznać trzy elementy za jedno przedsięwzięcie wymagające łącznej oceny skumulowanej. Zawiesić dalsze roboty do wznowionego postępowania uwzględniającego aktualną mapę, utrzymując decyzję o wstrzymaniu robót. Potwierdzić legitymację organizacji ekologicznej i sąsiadów. Rozdzielić skutki publicznoprawne od roszczeń cywilnych, z możliwością regresu gminy wobec podmiotów odpowiedzialnych za nieaktualność map.</w:t>
      </w:r>
    </w:p>
    <w:p>
      <w:pPr>
        <w:pStyle w:val="Heading2"/>
        <w:spacing w:after="150" w:before="300"/>
      </w:pPr>
      <w:r>
        <w:t xml:space="preserve">Zweryfikowane pozycje źródłowe (PL-02)</w:t>
      </w:r>
    </w:p>
    <w:p>
      <w:pPr>
        <w:pStyle w:val="ListParagraph"/>
        <w:pStyle w:val="normalPara"/>
        <w:numPr>
          <w:ilvl w:val="0"/>
          <w:numId w:val="1"/>
        </w:numPr>
        <w:spacing w:after="80"/>
      </w:pPr>
      <w:r>
        <w:t xml:space="preserve">Ustawa o samorządzie gminnym, art. 25a, art. 91. ✅ [VER: web_search, liczne orzeczenia NSA, RZĄD 2A]</w:t>
      </w:r>
    </w:p>
    <w:p>
      <w:pPr>
        <w:pStyle w:val="ListParagraph"/>
        <w:pStyle w:val="normalPara"/>
        <w:numPr>
          <w:ilvl w:val="0"/>
          <w:numId w:val="1"/>
        </w:numPr>
        <w:spacing w:after="80"/>
      </w:pPr>
      <w:r>
        <w:t xml:space="preserve">Ustawa o planowaniu i zagospodarowaniu przestrzennym, art. 28 ust. 1, tj. Dz.U. 2026.0.538. ✅ [VER: web_search, tekst ujednolicony, RZĄD 1]</w:t>
      </w:r>
    </w:p>
    <w:p>
      <w:pPr>
        <w:pStyle w:val="ListParagraph"/>
        <w:pStyle w:val="normalPara"/>
        <w:numPr>
          <w:ilvl w:val="0"/>
          <w:numId w:val="1"/>
        </w:numPr>
        <w:spacing w:after="80"/>
      </w:pPr>
      <w:r>
        <w:t xml:space="preserve">Ustawa OOŚ, art. 3 ust. 1 pkt 13 — doktryna „salami slicing”, wyrok NSA z 8.04.2026 r. ✅ [VER: web_search, wielokrotne źródła, RZĄD 2A]</w:t>
      </w:r>
    </w:p>
    <w:p>
      <w:pPr>
        <w:pStyle w:val="ListParagraph"/>
        <w:pStyle w:val="normalPara"/>
        <w:numPr>
          <w:ilvl w:val="0"/>
          <w:numId w:val="1"/>
        </w:numPr>
        <w:spacing w:after="80"/>
      </w:pPr>
      <w:r>
        <w:t xml:space="preserve">Prawo budowlane — wstrzymanie robót przez nadzór budowlany. ⚠️ [NIEWERYFIKOWANE bezpośrednio w tej turze]</w:t>
      </w:r>
    </w:p>
    <w:p>
      <w:pPr>
        <w:pStyle w:val="ListParagraph"/>
        <w:pStyle w:val="normalPara"/>
        <w:numPr>
          <w:ilvl w:val="0"/>
          <w:numId w:val="1"/>
        </w:numPr>
        <w:spacing w:after="80"/>
      </w:pPr>
      <w:r>
        <w:t xml:space="preserve">KPA — wznowienie postępowania z powodu nowych okoliczności. ⚠️ [NIEWERYFIKOWANE bezpośrednio w tej turze]</w:t>
      </w:r>
    </w:p>
    <w:p>
      <w:r>
        <w:br w:type="page"/>
      </w:r>
    </w:p>
    <w:p>
      <w:pPr>
        <w:pStyle w:val="Heading1"/>
        <w:spacing w:after="200" w:before="400"/>
      </w:pPr>
      <w:r>
        <w:t xml:space="preserve">PL-03 Fundacja po śmierci fundatora</w:t>
      </w:r>
    </w:p>
    <w:p>
      <w:pPr>
        <w:spacing w:after="160"/>
      </w:pPr>
      <w:r>
        <w:rPr>
          <w:rFonts w:ascii="Calibri" w:cs="Calibri" w:eastAsia="Calibri" w:hAnsi="Calibri"/>
          <w:b w:val="false"/>
          <w:bCs w:val="false"/>
          <w:i/>
          <w:iCs/>
          <w:sz w:val="22"/>
          <w:szCs w:val="22"/>
        </w:rPr>
        <w:t xml:space="preserve">Sukcesja, zachowek, majątek małżeński, governance, upadłość i podatki — autorski kazus prawa polskiego.</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spadkowy, a rozstrzyga się na rozdzieleniu czterech reżimów. Pierwszy: wniesienie do fundacji rodzinnej składników z majątku wspólnego bez zgody żony nie jest bezwzględnie nieważne — art. 37 § 2 KRO przewiduje czynność prawną niezupełną, której ważność zależy od potwierdzenia przez drugiego małżonka. Drugi: reforma KC towarzysząca ustawie o fundacji rodzinnej (2023 r.) wprowadziła specjalny reżim zaliczania funduszu założycielskiego do substratu zachowku (art. 993 § 2–3, art. 9941 KC) z dziesięcioletnim wyłączeniem. Trzeci: fundacja ponosi odpowiedzialność subsydiarną zarówno za zachowek, jak i za długi fundatora sprzed jej ustanowienia — to dwa odrębne reżimy. Czwarty: kryzys spółki i sytuacja fundacji to odrębne masy majątkowe.</w:t>
      </w:r>
    </w:p>
    <w:p>
      <w:pPr>
        <w:spacing w:after="160"/>
      </w:pPr>
      <w:r>
        <w:rPr>
          <w:rFonts w:ascii="Calibri" w:cs="Calibri" w:eastAsia="Calibri" w:hAnsi="Calibri"/>
          <w:b w:val="false"/>
          <w:bCs w:val="false"/>
          <w:i w:val="false"/>
          <w:iCs w:val="false"/>
          <w:sz w:val="22"/>
          <w:szCs w:val="22"/>
        </w:rPr>
        <w:t xml:space="preserve">Przeniesienie znaku towarowego do fundacji po zaniżonej cenie krótko przed śmiercią jest darowizną ukrytą pod pozorem odpłatności w zakresie różnicy cen — podlega tym samym regułom doliczenia do zachowku i zaskarżenia przez wierzycieli, co jawna darowizna.</w:t>
      </w:r>
    </w:p>
    <w:p>
      <w:pPr>
        <w:pStyle w:val="Heading2"/>
        <w:spacing w:after="150" w:before="300"/>
      </w:pPr>
      <w:r>
        <w:t xml:space="preserve">Mapa jurysdykcji i reżimów</w:t>
      </w:r>
    </w:p>
    <w:p>
      <w:pPr>
        <w:spacing w:after="160"/>
      </w:pPr>
      <w:r>
        <w:rPr>
          <w:rFonts w:ascii="Calibri" w:cs="Calibri" w:eastAsia="Calibri" w:hAnsi="Calibri"/>
          <w:b w:val="false"/>
          <w:bCs w:val="false"/>
          <w:i w:val="false"/>
          <w:iCs w:val="false"/>
          <w:sz w:val="22"/>
          <w:szCs w:val="22"/>
        </w:rPr>
        <w:t xml:space="preserve">Sąd spadku rozpoznaje sprawy o dział spadku i zachowek. Sąd cywilny rozpoznaje skargę pauliańską oraz spory o skuteczność zgody małżonka. Organy fundacji podejmują decyzje o świadczeniach w granicach celu statutowego. Sąd upadłościowy rozpoznaje niewypłacalność spółki jako odrębnego podmiotu. Organ podatkowy bada ceny transferowe niezależnie od oceny cywilnoprawnej.</w:t>
      </w:r>
    </w:p>
    <w:p>
      <w:pPr>
        <w:pStyle w:val="Heading2"/>
        <w:spacing w:after="150" w:before="300"/>
      </w:pPr>
      <w:r>
        <w:t xml:space="preserve">Analiza materialna według zagadnień</w:t>
      </w:r>
    </w:p>
    <w:p>
      <w:pPr>
        <w:pStyle w:val="Heading3"/>
        <w:spacing w:after="120" w:before="250"/>
      </w:pPr>
      <w:r>
        <w:t xml:space="preserve">1. Które aktywa skutecznie weszły do fundacji</w:t>
      </w:r>
    </w:p>
    <w:p>
      <w:pPr>
        <w:spacing w:after="160"/>
      </w:pPr>
      <w:r>
        <w:rPr>
          <w:rFonts w:ascii="Calibri" w:cs="Calibri" w:eastAsia="Calibri" w:hAnsi="Calibri"/>
          <w:b w:val="false"/>
          <w:bCs w:val="false"/>
          <w:i w:val="false"/>
          <w:iCs w:val="false"/>
          <w:sz w:val="22"/>
          <w:szCs w:val="22"/>
        </w:rPr>
        <w:t xml:space="preserve">Wniesienie nieruchomości z majątku wspólnego wymaga zgody małżonka (art. 37 § 1 pkt 1 i 4 KRO). Brak zgody nie czyni czynności nieważną od razu — jej ważność zależy od potwierdzenia (art. 37 § 2), a druga strona może wyznaczyć termin, po którym staje się wolna. Kwalifikacja akcji jako „przedsiębiorstwa” w rozumieniu pkt 3 nie jest automatyczna. Kazus nie precyzuje charakteru pakietu akcji — brak istotny dla oceny, czy reżim zgody się aktywował.</w:t>
      </w:r>
    </w:p>
    <w:p>
      <w:pPr>
        <w:pStyle w:val="Heading3"/>
        <w:spacing w:after="120" w:before="250"/>
      </w:pPr>
      <w:r>
        <w:t xml:space="preserve">2. Ocena roszczeń spadkowych przy transferach za życia</w:t>
      </w:r>
    </w:p>
    <w:p>
      <w:pPr>
        <w:spacing w:after="160"/>
      </w:pPr>
      <w:r>
        <w:rPr>
          <w:rFonts w:ascii="Calibri" w:cs="Calibri" w:eastAsia="Calibri" w:hAnsi="Calibri"/>
          <w:b w:val="false"/>
          <w:bCs w:val="false"/>
          <w:i w:val="false"/>
          <w:iCs w:val="false"/>
          <w:sz w:val="22"/>
          <w:szCs w:val="22"/>
        </w:rPr>
        <w:t xml:space="preserve">Fundusz założycielski podlega doliczeniu do substratu zachowku (art. 993 § 2 KC), chyba że wniesiony wcześniej niż 10 lat przed śmiercią (art. 9941 § 1). Kazus nie podaje daty wniesienia — brak przesądzający. Przeniesienie znaku po zaniżonej cenie jest darowizną ukrytą w zakresie różnicy cen, doliczaną na zasadach ogólnych. Świadczenia już wypłacone córce zalicza się na poczet jej zachowku (art. 996 § 2). Roszczenie może być kierowane bezpośrednio przeciw fundacji w granicach wzbogacenia, z przedawnieniem 5 lat od otwarcia spadku.</w:t>
      </w:r>
    </w:p>
    <w:p>
      <w:pPr>
        <w:pStyle w:val="Heading3"/>
        <w:spacing w:after="120" w:before="250"/>
      </w:pPr>
      <w:r>
        <w:t xml:space="preserve">3. Środki wierzycieli</w:t>
      </w:r>
    </w:p>
    <w:p>
      <w:pPr>
        <w:spacing w:after="160"/>
      </w:pPr>
      <w:r>
        <w:rPr>
          <w:rFonts w:ascii="Calibri" w:cs="Calibri" w:eastAsia="Calibri" w:hAnsi="Calibri"/>
          <w:b w:val="false"/>
          <w:bCs w:val="false"/>
          <w:i w:val="false"/>
          <w:iCs w:val="false"/>
          <w:sz w:val="22"/>
          <w:szCs w:val="22"/>
        </w:rPr>
        <w:t xml:space="preserve">Wierzyciele sprzed ustanowienia fundacji mogą dochodzić zaspokojenia solidarnie od fundacji (ograniczonej do wartości wniesionego mienia, art. 8–9 ustawy o fundacji rodzinnej) i spadkobierców. Zaniżoną cenę zbycia znaku można zaskarżyć skargą pauliańską (art. 527 KC), o ile wykazana świadomość pokrzywdzenia i odpowiednia wiedza po stronie fundacji. Planowana sprzedaż nieruchomości podmiotowi powiązanemu zwiększa ryzyko kolejnej skargi.</w:t>
      </w:r>
    </w:p>
    <w:p>
      <w:pPr>
        <w:pStyle w:val="Heading3"/>
        <w:spacing w:after="120" w:before="250"/>
      </w:pPr>
      <w:r>
        <w:t xml:space="preserve">4. Konflikt interesów przy wypłatach i transakcji powiązanej</w:t>
      </w:r>
    </w:p>
    <w:p>
      <w:pPr>
        <w:spacing w:after="160"/>
      </w:pPr>
      <w:r>
        <w:rPr>
          <w:rFonts w:ascii="Calibri" w:cs="Calibri" w:eastAsia="Calibri" w:hAnsi="Calibri"/>
          <w:b w:val="false"/>
          <w:bCs w:val="false"/>
          <w:i w:val="false"/>
          <w:iCs w:val="false"/>
          <w:sz w:val="22"/>
          <w:szCs w:val="22"/>
        </w:rPr>
        <w:t xml:space="preserve">Wypłata świadczeń uprzywilejowanej córce w obliczu sporu i trudności płynnościowych rodzi pytanie o zgodność z obowiązkiem lojalności organów fundacji. Sprzedaż nieruchomości podmiotowi powiązanemu po cenie odbiegającej od rynkowej może być kwestionowana przez wierzycieli, uprawnionych do zachowku i organ podatkowy. Kazus nie precyzuje składu organów fundacji ani ich powiązań z córką.</w:t>
      </w:r>
    </w:p>
    <w:p>
      <w:pPr>
        <w:pStyle w:val="Heading3"/>
        <w:spacing w:after="120" w:before="250"/>
      </w:pPr>
      <w:r>
        <w:t xml:space="preserve">5. Oddzielenie kryzysu fundacji od niewypłacalności spółki</w:t>
      </w:r>
    </w:p>
    <w:p>
      <w:pPr>
        <w:spacing w:after="160"/>
      </w:pPr>
      <w:r>
        <w:rPr>
          <w:rFonts w:ascii="Calibri" w:cs="Calibri" w:eastAsia="Calibri" w:hAnsi="Calibri"/>
          <w:b w:val="false"/>
          <w:bCs w:val="false"/>
          <w:i w:val="false"/>
          <w:iCs w:val="false"/>
          <w:sz w:val="22"/>
          <w:szCs w:val="22"/>
        </w:rPr>
        <w:t xml:space="preserve">Fundacja i spółka to odrębne podmioty z odrębnymi masami majątkowymi. Wysokie opłaty licencyjne, jeśli przyczyniły się do niewypłacalności spółki, mogą być kwestionowane przez jej wierzycieli w ramach prawa upadłościowego lub jako podstawa odpowiedzialności zarządu. Badanie podatkowe cen transferowych jest torem odrębnym od oceny cywilnoprawnej.</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żony/dzieci/wierzycieli</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fundacji/córki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Zgoda małżonka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zgody żony czyni wniesienie bezskutecznym</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Żona może jeszcze potwierdzić czynność</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Zachowek</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Fundusz i zaniżona sprzedaż podlegają doliczeniu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Wniesienie sprzed 10 lat jest wyłączone</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Odpowiedzialność wierzycieli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Fundacja odpowiada solidarnie i za zaniżoną transakcję</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Odpowiedzialność ograniczona do wniesionego mienia</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Konflikt interesów</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Wypłaty i sprzedaż krzywdzą pozostałych uprawnionych</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Decyzje mieszczą się w kompetencjach organów</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Rozdzielenie mas majątkowych</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Opłaty licencyjne doprowadziły spółkę do niewypłacalności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Fundacja i spółka to odrębne podmioty</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Data wniesienia akcji i nieruchomości względem śmierci Jana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10-letniego wyłączenia z art. 9941 KC</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Akt założycielski, wpisy do rejestru</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akcje stanowiły pakiet kontrolny kwalifikowany jako „przedsiębiorstwo”</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zastosowania art. 37 § 1 pkt 3 KRO</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Statut spółki, struktura akcjonariatu</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żona otrzymała wezwanie do potwierdzenia czynności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skuteczności wniesienia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Korespondencja, wezwanie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Rzeczywista wartość rynkowa znaku towarowego</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ustalenia wysokości ukrytej darowizny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Wycena, opinia biegłego</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Skład organów fundacji i powiązania z córką</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konfliktu interesów</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Statut fundacji, uchwały organów</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Czas powstania poręczenia i roszczenia odszkodowawczego</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zastosowania reżimu odpowiedzialności solidarnej</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Dokumenty poręczenia, data powstania roszczenia</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Uznać wniesienie majątku wspólnego bez zgody żony za czynność niezupełną — wyznaczyć termin na potwierdzenie; w razie odmowy wyłączyć odpowiednią część z funduszu. Doliczyć do substratu zachowku fundusz założycielski (jeśli w 10-letnim okresie) oraz różnicę cen znaku jako darowiznę ukrytą. Uznać subsydiarną odpowiedzialność fundacji za zachowek i solidarną, ograniczoną odpowiedzialność za dawne długi. Poddać kontroli transakcję sprzedaży nieruchomości i wypłaty na rzecz córki pod kątem lojalności organów, z możliwością skargi pauliańskiej. Utrzymać rozdzielność mas majątkowych fundacji i spółki, z zastrzeżeniem zaskarżenia opłat licencyjnych przez wierzycieli spółki.</w:t>
      </w:r>
    </w:p>
    <w:p>
      <w:pPr>
        <w:pStyle w:val="Heading2"/>
        <w:spacing w:after="150" w:before="300"/>
      </w:pPr>
      <w:r>
        <w:t xml:space="preserve">Zweryfikowane pozycje źródłowe (PL-03)</w:t>
      </w:r>
    </w:p>
    <w:p>
      <w:pPr>
        <w:pStyle w:val="ListParagraph"/>
        <w:pStyle w:val="normalPara"/>
        <w:numPr>
          <w:ilvl w:val="0"/>
          <w:numId w:val="1"/>
        </w:numPr>
        <w:spacing w:after="80"/>
      </w:pPr>
      <w:r>
        <w:t xml:space="preserve">KRO, art. 37 § 1–3 — katalog czynności wymagających zgody małżonka i skutek jej braku. ✅ [VER: web_search, wielokrotne niezależne portale prawnicze, RZĄD 2A]</w:t>
      </w:r>
    </w:p>
    <w:p>
      <w:pPr>
        <w:pStyle w:val="ListParagraph"/>
        <w:pStyle w:val="normalPara"/>
        <w:numPr>
          <w:ilvl w:val="0"/>
          <w:numId w:val="1"/>
        </w:numPr>
        <w:spacing w:after="80"/>
      </w:pPr>
      <w:r>
        <w:t xml:space="preserve">KC, art. 993 § 2–3, art. 9941, art. 996 § 2, art. 1000 (po nowelizacji z 28.07.2023 r., Dz.U. 2023 poz. 1615). ✅ [VER: web_search, Palestra i kancelarie specjalistyczne, RZĄD 2A]</w:t>
      </w:r>
    </w:p>
    <w:p>
      <w:pPr>
        <w:pStyle w:val="ListParagraph"/>
        <w:pStyle w:val="normalPara"/>
        <w:numPr>
          <w:ilvl w:val="0"/>
          <w:numId w:val="1"/>
        </w:numPr>
        <w:spacing w:after="80"/>
      </w:pPr>
      <w:r>
        <w:t xml:space="preserve">Ustawa o fundacji rodzinnej, art. 8–9 — solidarna, ograniczona odpowiedzialność za zobowiązania fundatora. ✅ [VER: web_search, komentarz kancelarii, RZĄD 2A]</w:t>
      </w:r>
    </w:p>
    <w:p>
      <w:pPr>
        <w:pStyle w:val="ListParagraph"/>
        <w:pStyle w:val="normalPara"/>
        <w:numPr>
          <w:ilvl w:val="0"/>
          <w:numId w:val="1"/>
        </w:numPr>
        <w:spacing w:after="80"/>
      </w:pPr>
      <w:r>
        <w:t xml:space="preserve">KC, art. 527 — skarga pauliańska. ⚠️ [NIEWERYFIKOWANE bezpośrednio w tej turze]</w:t>
      </w:r>
    </w:p>
    <w:p>
      <w:pPr>
        <w:pStyle w:val="ListParagraph"/>
        <w:pStyle w:val="normalPara"/>
        <w:numPr>
          <w:ilvl w:val="0"/>
          <w:numId w:val="1"/>
        </w:numPr>
        <w:spacing w:after="80"/>
      </w:pPr>
      <w:r>
        <w:t xml:space="preserve">Prawo upadłościowe — zaskarżanie czynności krzywdzących wierzycieli. ⚠️ [NIEWERYFIKOWANE bezpośrednio w tej turze]</w:t>
      </w:r>
    </w:p>
    <w:p>
      <w:r>
        <w:br w:type="page"/>
      </w:r>
    </w:p>
    <w:p>
      <w:pPr>
        <w:pStyle w:val="Heading1"/>
        <w:spacing w:after="200" w:before="400"/>
      </w:pPr>
      <w:r>
        <w:t xml:space="preserve">PL-04 Szpital podpowiada diagnozę</w:t>
      </w:r>
    </w:p>
    <w:p>
      <w:pPr>
        <w:spacing w:after="160"/>
      </w:pPr>
      <w:r>
        <w:rPr>
          <w:rFonts w:ascii="Calibri" w:cs="Calibri" w:eastAsia="Calibri" w:hAnsi="Calibri"/>
          <w:b w:val="false"/>
          <w:bCs w:val="false"/>
          <w:i/>
          <w:iCs/>
          <w:sz w:val="22"/>
          <w:szCs w:val="22"/>
        </w:rPr>
        <w:t xml:space="preserve">Prawa pacjenta, błąd medyczny, wyrób medyczny, AI i odpowiedzialność wielopodmiotowa — autorski kazus prawa polskiego.</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błąd medyczny, a rozstrzyga się na rozdzieleniu pięciu warstw odpowiedzialności. Pierwsza: MedPrompt jest najprawdopodobniej wyrobem medycznym (SaMD) w rozumieniu MDR, co najmniej klasy IIa z uwagi na funkcję diagnostyczną, wymagającym oceny zgodności z udziałem jednostki notyfikowanej — co automatycznie klasyfikuje go jako system wysokiego ryzyka na podstawie art. 6 ust. 1 AI Act. Druga: standard staranności lekarza nie znika przez istnienie systemu wspomagającego — akceptacja niskiego wyniku ryzyka bez pełnego badania nietypowych objawów udaru jest odstępstwem od tego standardu. Trzecia: aktualizacja zwiększająca liczbę błędów, o której ostrzeżenie trafiło tylko do IT, jest samodzielnym zdarzeniem z perspektywy nadzoru nad wyrobem medycznym. Czwarta: braki w dokumentacji mogą uzasadniać domniemania niekorzystne dla strony odpowiedzialnej za ich zachowanie.</w:t>
      </w:r>
    </w:p>
    <w:p>
      <w:pPr>
        <w:pStyle w:val="Heading2"/>
        <w:spacing w:after="150" w:before="300"/>
      </w:pPr>
      <w:r>
        <w:t xml:space="preserve">Mapa jurysdykcji i reżimów</w:t>
      </w:r>
    </w:p>
    <w:p>
      <w:pPr>
        <w:spacing w:after="160"/>
      </w:pPr>
      <w:r>
        <w:rPr>
          <w:rFonts w:ascii="Calibri" w:cs="Calibri" w:eastAsia="Calibri" w:hAnsi="Calibri"/>
          <w:b w:val="false"/>
          <w:bCs w:val="false"/>
          <w:i w:val="false"/>
          <w:iCs w:val="false"/>
          <w:sz w:val="22"/>
          <w:szCs w:val="22"/>
        </w:rPr>
        <w:t xml:space="preserve">Sąd cywilny rozpoznaje roszczenie odszkodowawcze przeciwko szpitalowi (art. 430 KC) i producentowi. RPP rozpoznaje skargi dotyczące praw pacjenta. Organ nadzoru nad wyrobami medycznymi ocenia zgłoszenia incydentów. Prezes UODO jest właściwy w zakresie przetwarzania danych medycznych. Spory ubezpieczeniowe rozpoznaje sąd cywilny.</w:t>
      </w:r>
    </w:p>
    <w:p>
      <w:pPr>
        <w:pStyle w:val="Heading2"/>
        <w:spacing w:after="150" w:before="300"/>
      </w:pPr>
      <w:r>
        <w:t xml:space="preserve">Analiza materialna według zagadnień</w:t>
      </w:r>
    </w:p>
    <w:p>
      <w:pPr>
        <w:pStyle w:val="Heading3"/>
        <w:spacing w:after="120" w:before="250"/>
      </w:pPr>
      <w:r>
        <w:t xml:space="preserve">1. Standard staranności lekarza i szpitala</w:t>
      </w:r>
    </w:p>
    <w:p>
      <w:pPr>
        <w:spacing w:after="160"/>
      </w:pPr>
      <w:r>
        <w:rPr>
          <w:rFonts w:ascii="Calibri" w:cs="Calibri" w:eastAsia="Calibri" w:hAnsi="Calibri"/>
          <w:b w:val="false"/>
          <w:bCs w:val="false"/>
          <w:i w:val="false"/>
          <w:iCs w:val="false"/>
          <w:sz w:val="22"/>
          <w:szCs w:val="22"/>
        </w:rPr>
        <w:t xml:space="preserve">Ustawa o zawodach lekarza wymaga działania zgodnie ze wskazaniami aktualnej wiedzy medycznej i z należytą starannością. System wspomagania nie zwalnia lekarza z obowiązku własnej oceny klinicznej, zwłaszcza przy nietypowej prezentacji objawów. Akceptacja niskiego wyniku bez pełnego badania jest odstępstwem od standardu. Szpital ponosi odrębny obowiązek zapewnienia przeszkolenia personelu i informowania o zmianach w działaniu narzędzia — czego nie dopełnił.</w:t>
      </w:r>
    </w:p>
    <w:p>
      <w:pPr>
        <w:pStyle w:val="Heading3"/>
        <w:spacing w:after="120" w:before="250"/>
      </w:pPr>
      <w:r>
        <w:t xml:space="preserve">2. Kwalifikacja systemu i aktualizacji</w:t>
      </w:r>
    </w:p>
    <w:p>
      <w:pPr>
        <w:spacing w:after="160"/>
      </w:pPr>
      <w:r>
        <w:rPr>
          <w:rFonts w:ascii="Calibri" w:cs="Calibri" w:eastAsia="Calibri" w:hAnsi="Calibri"/>
          <w:b w:val="false"/>
          <w:bCs w:val="false"/>
          <w:i w:val="false"/>
          <w:iCs w:val="false"/>
          <w:sz w:val="22"/>
          <w:szCs w:val="22"/>
        </w:rPr>
        <w:t xml:space="preserve">System analizujący dane pacjenta w celu wskazania rozpoznania mieści się w definicji wyrobu medycznego (SaMD) pod MDR — funkcja diagnostyczna typowo kwalifikuje do klasy IIa lub wyższej z udziałem jednostki notyfikowanej, co automatycznie czyni go systemem wysokiego ryzyka z art. 6 ust. 1 AI Act. Termin dla tej ścieżki (powiązanie z załącznikiem I) został przesunięty przez Digital Omnibus na 2 sierpnia 2028 r. — później niż dla załącznika III (2 grudnia 2027 r.); obowiązki MDR wiążą jednak niezależnie i od dawna. Aktualizacja zwiększająca błędy podlega obowiązkom nadzoru rynkowego, w tym zgłoszenia incydentu i działań korygujących skierowanych do użytkowników klinicznych, nie tylko IT.</w:t>
      </w:r>
    </w:p>
    <w:p>
      <w:pPr>
        <w:pStyle w:val="Heading3"/>
        <w:spacing w:after="120" w:before="250"/>
      </w:pPr>
      <w:r>
        <w:t xml:space="preserve">3. Rozdzielenie odpowiedzialności</w:t>
      </w:r>
    </w:p>
    <w:p>
      <w:pPr>
        <w:spacing w:after="160"/>
      </w:pPr>
      <w:r>
        <w:rPr>
          <w:rFonts w:ascii="Calibri" w:cs="Calibri" w:eastAsia="Calibri" w:hAnsi="Calibri"/>
          <w:b w:val="false"/>
          <w:bCs w:val="false"/>
          <w:i w:val="false"/>
          <w:iCs w:val="false"/>
          <w:sz w:val="22"/>
          <w:szCs w:val="22"/>
        </w:rPr>
        <w:t xml:space="preserve">Lekarz odpowiada za własną decyzję kliniczną. Szpital odpowiada za czyny personelu (art. 430 KC) oraz za zaniechania organizacyjne — brak szkolenia, akceptacja klauzuli ograniczającej audyt. Producent odpowiada za wadliwość wyrobu — mylące oznaczenie interfejsu, niedostateczny formularz wejściowy, wadliwą propagację ostrzeżenia. Integrator odpowiada w zakresie konfiguracji i szkolenia, po ustaleniu jego roli — kazus nie precyzuje, czy jest podmiotem odrębnym.</w:t>
      </w:r>
    </w:p>
    <w:p>
      <w:pPr>
        <w:pStyle w:val="Heading3"/>
        <w:spacing w:after="120" w:before="250"/>
      </w:pPr>
      <w:r>
        <w:t xml:space="preserve">4. Przyczynowość i rozmiar szkody przy niepełnej dokumentacji</w:t>
      </w:r>
    </w:p>
    <w:p>
      <w:pPr>
        <w:spacing w:after="160"/>
      </w:pPr>
      <w:r>
        <w:rPr>
          <w:rFonts w:ascii="Calibri" w:cs="Calibri" w:eastAsia="Calibri" w:hAnsi="Calibri"/>
          <w:b w:val="false"/>
          <w:bCs w:val="false"/>
          <w:i w:val="false"/>
          <w:iCs w:val="false"/>
          <w:sz w:val="22"/>
          <w:szCs w:val="22"/>
        </w:rPr>
        <w:t xml:space="preserve">Brak pełnych danych wejściowych i wersji modelu utrudnia ustalenie związku przyczynowego. Niezachowanie danych w warunkach przewidywalności sporu uzasadnia domniemanie niekorzystne dla strony odpowiedzialnej za dokumentację. Rozmiar szkody wymaga opinii biegłego co do przebiegu leczenia przy prawidłowym rozpoznaniu.</w:t>
      </w:r>
    </w:p>
    <w:p>
      <w:pPr>
        <w:pStyle w:val="Heading3"/>
        <w:spacing w:after="120" w:before="250"/>
      </w:pPr>
      <w:r>
        <w:t xml:space="preserve">5. Informacja dla pacjentki, dane i dowody</w:t>
      </w:r>
    </w:p>
    <w:p>
      <w:pPr>
        <w:spacing w:after="160"/>
      </w:pPr>
      <w:r>
        <w:rPr>
          <w:rFonts w:ascii="Calibri" w:cs="Calibri" w:eastAsia="Calibri" w:hAnsi="Calibri"/>
          <w:b w:val="false"/>
          <w:bCs w:val="false"/>
          <w:i w:val="false"/>
          <w:iCs w:val="false"/>
          <w:sz w:val="22"/>
          <w:szCs w:val="22"/>
        </w:rPr>
        <w:t xml:space="preserve">Prawo pacjenta do informacji obejmuje informację o metodach diagnostycznych — przy istotnej roli systemu przemawia to za jej ujawnieniem. Przetwarzanie danych medycznych podlega RODO jako dane szczególnej kategorii. Priorytetowe zabezpieczenie: logi i dane wejściowe z wizyty, dokumentacja wersji modelu, treść ostrzeżenia, umowa ograniczająca audyt.</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pacjentki</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szpitala/producenta</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Standard staranności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Lekarz zastąpił własną ocenę wynikiem systemu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System miał charakter wyłącznie wspierający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Kwalifikacja systemu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Interfejs sugerował „rekomendację kliniczną”</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Producent zastrzegł charakter wspierający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Rozdzielenie odpowiedzialności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Zaniechania szpitala i wady systemu współdziałały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Każdy podmiot odpowiada za własny zakres</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Dowody i przyczynowość</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dokumentacji powinien obciążać odpowiedzialnego</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danych uniemożliwia wykazanie związku</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Informacja i dane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informacji o roli systemu narusza prawo pacjenta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Standardowa procedura nie wymagała odrębnego ujawnienia</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Klasyfikacja MedPrompt pod MDR</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automatycznej kwalifikacji jako system wysokiego ryzyka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Certyfikat CE, dokumentacja klasyfikacyjna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umowy szpital–producent w zakresie audytu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naruszenia staranności organizacyjnej szpitala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Umowa wdrożeniowa, klauzule audytowe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i adresaci ostrzeżenia po aktualizacji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winy szpitala za brak szkolenia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Dokumentacja zgłoszenia, korespondencja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integrator jest podmiotem odrębnym</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rozdzielenia odpowiedzialności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Umowy wdrożeniowe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Pełne dane wejściowe i wersja modelu z dnia wizyty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ustalenia przyczynowości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Logi systemowe, dokumentacja wersjonowania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Annę poinformowano o roli systemu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naruszenia prawa do informacji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Dokumentacja medyczna, zgody pacjentki</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Uznać MedPrompt za wyrób medyczny z automatyczną kwalifikacją wysokiego ryzyka z art. 6 ust. 1 AI Act (obowiązki od 2028 r.; obowiązki MDR wiążą już teraz). Stwierdzić naruszenie standardu staranności lekarza. Rozdzielić odpowiedzialność: szpital za zaniechania organizacyjne, producent za wadliwość wyrobu i propagację ostrzeżenia, integrator za konfigurację po ustaleniu roli. Zastosować domniemanie niekorzystne za brak dokumentacji. Uznać zasadność skargi do RPP w zakresie informacji o roli systemu, o ile potwierdzona. Nakazać zabezpieczenie danych systemowych i umowy wdrożeniowej.</w:t>
      </w:r>
    </w:p>
    <w:p>
      <w:pPr>
        <w:pStyle w:val="Heading2"/>
        <w:spacing w:after="150" w:before="300"/>
      </w:pPr>
      <w:r>
        <w:t xml:space="preserve">Zweryfikowane pozycje źródłowe (PL-04)</w:t>
      </w:r>
    </w:p>
    <w:p>
      <w:pPr>
        <w:pStyle w:val="ListParagraph"/>
        <w:pStyle w:val="normalPara"/>
        <w:numPr>
          <w:ilvl w:val="0"/>
          <w:numId w:val="1"/>
        </w:numPr>
        <w:spacing w:after="80"/>
      </w:pPr>
      <w:r>
        <w:t xml:space="preserve">Rozporządzenie (UE) 2017/745 (MDR) — klasyfikacja SaMD. ✅ [VER: web_search, dokumenty MDCG, RZĄD 2A]</w:t>
      </w:r>
    </w:p>
    <w:p>
      <w:pPr>
        <w:pStyle w:val="ListParagraph"/>
        <w:pStyle w:val="normalPara"/>
        <w:numPr>
          <w:ilvl w:val="0"/>
          <w:numId w:val="1"/>
        </w:numPr>
        <w:spacing w:after="80"/>
      </w:pPr>
      <w:r>
        <w:t xml:space="preserve">Rozporządzenie (UE) 2024/1689 (AI Act), art. 6 ust. 1. ✅ [VER: web_search, dokumenty MDCG 2025-6, RZĄD 1]</w:t>
      </w:r>
    </w:p>
    <w:p>
      <w:pPr>
        <w:pStyle w:val="ListParagraph"/>
        <w:pStyle w:val="normalPara"/>
        <w:numPr>
          <w:ilvl w:val="0"/>
          <w:numId w:val="1"/>
        </w:numPr>
        <w:spacing w:after="80"/>
      </w:pPr>
      <w:r>
        <w:t xml:space="preserve">Rozporządzenie (UE) 2026/1744 (Digital Omnibus) — termin 2.08.2028 r. dla ścieżki załącznika I. ✅ [VER: web_search, RZĄD 2A]</w:t>
      </w:r>
    </w:p>
    <w:p>
      <w:pPr>
        <w:pStyle w:val="ListParagraph"/>
        <w:pStyle w:val="normalPara"/>
        <w:numPr>
          <w:ilvl w:val="0"/>
          <w:numId w:val="1"/>
        </w:numPr>
        <w:spacing w:after="80"/>
      </w:pPr>
      <w:r>
        <w:t xml:space="preserve">Dyrektywa (UE) 2024/2853 o odpowiedzialności za produkty wadliwe — rozszerzenie na oprogramowanie, stosowanie od 9.12.2026 r. — nieaktywne w dacie kazusu. ✅ [VER: web_search, EUR-Lex, RZĄD 1]</w:t>
      </w:r>
    </w:p>
    <w:p>
      <w:pPr>
        <w:pStyle w:val="ListParagraph"/>
        <w:pStyle w:val="normalPara"/>
        <w:numPr>
          <w:ilvl w:val="0"/>
          <w:numId w:val="1"/>
        </w:numPr>
        <w:spacing w:after="80"/>
      </w:pPr>
      <w:r>
        <w:t xml:space="preserve">Ustawa o zawodach lekarza, art. 4. ⚠️ [NIEWERYFIKOWANE bezpośrednio w tej turze]</w:t>
      </w:r>
    </w:p>
    <w:p>
      <w:pPr>
        <w:pStyle w:val="ListParagraph"/>
        <w:pStyle w:val="normalPara"/>
        <w:numPr>
          <w:ilvl w:val="0"/>
          <w:numId w:val="1"/>
        </w:numPr>
        <w:spacing w:after="80"/>
      </w:pPr>
      <w:r>
        <w:t xml:space="preserve">KC, art. 430. ⚠️ [NIEWERYFIKOWANE bezpośrednio w tej turze]</w:t>
      </w:r>
    </w:p>
    <w:p>
      <w:r>
        <w:br w:type="page"/>
      </w:r>
    </w:p>
    <w:p>
      <w:pPr>
        <w:pStyle w:val="Heading1"/>
        <w:spacing w:after="200" w:before="400"/>
      </w:pPr>
      <w:r>
        <w:t xml:space="preserve">PL-05 Chmura dla metropolii</w:t>
      </w:r>
    </w:p>
    <w:p>
      <w:pPr>
        <w:spacing w:after="160"/>
      </w:pPr>
      <w:r>
        <w:rPr>
          <w:rFonts w:ascii="Calibri" w:cs="Calibri" w:eastAsia="Calibri" w:hAnsi="Calibri"/>
          <w:b w:val="false"/>
          <w:bCs w:val="false"/>
          <w:i/>
          <w:iCs/>
          <w:sz w:val="22"/>
          <w:szCs w:val="22"/>
        </w:rPr>
        <w:t xml:space="preserve">Zamówienia publiczne, cyberbezpieczeństwo, RODO, tajemnice i ciągłość usług — autorski kazus prawa polskiego.</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wybór wykonawcy, a rozstrzyga się na rozdzieleniu pięciu bramek proceduralnych. Pierwsza: kryterium „suwerenności technologicznej” może być merytorycznie uzasadnione, ale brak wyjaśnienia sposobu oceny narusza samodzielnie art. 240 ust. 2 Pzp. Druga: poleganie na referencjach spółki z grupy nie jest automatycznie wadliwe — decyduje faktyczne udostępnienie zasobów. Trzecia: utajnienie wyjaśnień podlega kumulatywnym przesłankom z uznk, które wykonawca musi wykazać; ceny i dane rejestrowe nie mogą być zastrzeżone. Czwarta: nowe wymagania po wyborze wymagają oceny pod kątem istotnej zmiany warunków zamówienia. Piąta: pilna potrzeba cybernetyczna nie znosi automatycznie ochrony prawnej konkurenta — uchylenie zakazu zawarcia umowy jest środkiem wyjątkowym wymagającym ważnego interesu publicznego.</w:t>
      </w:r>
    </w:p>
    <w:p>
      <w:pPr>
        <w:pStyle w:val="Heading2"/>
        <w:spacing w:after="150" w:before="300"/>
      </w:pPr>
      <w:r>
        <w:t xml:space="preserve">Mapa jurysdykcji i reżimów</w:t>
      </w:r>
    </w:p>
    <w:p>
      <w:pPr>
        <w:spacing w:after="160"/>
      </w:pPr>
      <w:r>
        <w:rPr>
          <w:rFonts w:ascii="Calibri" w:cs="Calibri" w:eastAsia="Calibri" w:hAnsi="Calibri"/>
          <w:b w:val="false"/>
          <w:bCs w:val="false"/>
          <w:i w:val="false"/>
          <w:iCs w:val="false"/>
          <w:sz w:val="22"/>
          <w:szCs w:val="22"/>
        </w:rPr>
        <w:t xml:space="preserve">KIO rozpoznaje odwołania od czynności zamawiającego. Sąd zamówień publicznych rozpoznaje skargi na orzeczenia KIO. CSIRT jest właściwy w zakresie zgłoszeń incydentów w ramach krajowego systemu cyberbezpieczeństwa. Prezes UODO ocenia zgodność przetwarzania danych mieszkańców z RODO.</w:t>
      </w:r>
    </w:p>
    <w:p>
      <w:pPr>
        <w:pStyle w:val="Heading2"/>
        <w:spacing w:after="150" w:before="300"/>
      </w:pPr>
      <w:r>
        <w:t xml:space="preserve">Analiza materialna według zagadnień</w:t>
      </w:r>
    </w:p>
    <w:p>
      <w:pPr>
        <w:pStyle w:val="Heading3"/>
        <w:spacing w:after="120" w:before="250"/>
      </w:pPr>
      <w:r>
        <w:t xml:space="preserve">1. Czy kryterium jest związane z przedmiotem, mierzalne i niedyskryminacyjne</w:t>
      </w:r>
    </w:p>
    <w:p>
      <w:pPr>
        <w:spacing w:after="160"/>
      </w:pPr>
      <w:r>
        <w:rPr>
          <w:rFonts w:ascii="Calibri" w:cs="Calibri" w:eastAsia="Calibri" w:hAnsi="Calibri"/>
          <w:b w:val="false"/>
          <w:bCs w:val="false"/>
          <w:i w:val="false"/>
          <w:iCs w:val="false"/>
          <w:sz w:val="22"/>
          <w:szCs w:val="22"/>
        </w:rPr>
        <w:t xml:space="preserve">Art. 241 Pzp wymaga związku kryterium z przedmiotem zamówienia. Lokalizacja centrów danych może być powiązana z bezpieczeństwem i ciągłością usługi. Rozstrzygające jest art. 240 ust. 2: opis kryterium musi umożliwiać weryfikację i porównanie ofert. Kryterium, które „nie wyjaśnia oceny”, narusza ten wymóg samodzielnie, niezależnie od zasadności celu.</w:t>
      </w:r>
    </w:p>
    <w:p>
      <w:pPr>
        <w:pStyle w:val="Heading3"/>
        <w:spacing w:after="120" w:before="250"/>
      </w:pPr>
      <w:r>
        <w:t xml:space="preserve">2. Poleganie na zasobach grupy i udział podmiotów trzecich</w:t>
      </w:r>
    </w:p>
    <w:p>
      <w:pPr>
        <w:spacing w:after="160"/>
      </w:pPr>
      <w:r>
        <w:rPr>
          <w:rFonts w:ascii="Calibri" w:cs="Calibri" w:eastAsia="Calibri" w:hAnsi="Calibri"/>
          <w:b w:val="false"/>
          <w:bCs w:val="false"/>
          <w:i w:val="false"/>
          <w:iCs w:val="false"/>
          <w:sz w:val="22"/>
          <w:szCs w:val="22"/>
        </w:rPr>
        <w:t xml:space="preserve">Poleganie na zdolnościach spółki z grupy wymaga wykazania, że faktycznie udostępni zasoby i będzie uczestniczyć w realizacji usług odpowiadających referencjom — sama przynależność korporacyjna nie wystarczy. Kazus nie precyzuje, czy spółka z grupy będzie faktycznie zaangażowana.</w:t>
      </w:r>
    </w:p>
    <w:p>
      <w:pPr>
        <w:pStyle w:val="Heading3"/>
        <w:spacing w:after="120" w:before="250"/>
      </w:pPr>
      <w:r>
        <w:t xml:space="preserve">3. Co może pozostać tajne wobec konkurenta i KIO</w:t>
      </w:r>
    </w:p>
    <w:p>
      <w:pPr>
        <w:spacing w:after="160"/>
      </w:pPr>
      <w:r>
        <w:rPr>
          <w:rFonts w:ascii="Calibri" w:cs="Calibri" w:eastAsia="Calibri" w:hAnsi="Calibri"/>
          <w:b w:val="false"/>
          <w:bCs w:val="false"/>
          <w:i w:val="false"/>
          <w:iCs w:val="false"/>
          <w:sz w:val="22"/>
          <w:szCs w:val="22"/>
        </w:rPr>
        <w:t xml:space="preserve">Zastrzeżenie tajemnicy przedsiębiorstwa wymaga kumulatywnego wykazania (nie deklaracji) przesłanek z uznk: charakter techniczny/organizacyjny, brak upublicznienia, wartość gospodarcza, działania ochronne. Nazwa wykonawcy, dane rejestrowe i ceny nie mogą być zastrzeżone. Utajnienie „znacznej części” bez zindywidualizowanego wykazania jest podatne na zaskarżenie.</w:t>
      </w:r>
    </w:p>
    <w:p>
      <w:pPr>
        <w:pStyle w:val="Heading3"/>
        <w:spacing w:after="120" w:before="250"/>
      </w:pPr>
      <w:r>
        <w:t xml:space="preserve">4. Czy nowe wymagania można wprowadzić bez naruszenia równego traktowania</w:t>
      </w:r>
    </w:p>
    <w:p>
      <w:pPr>
        <w:spacing w:after="160"/>
      </w:pPr>
      <w:r>
        <w:rPr>
          <w:rFonts w:ascii="Calibri" w:cs="Calibri" w:eastAsia="Calibri" w:hAnsi="Calibri"/>
          <w:b w:val="false"/>
          <w:bCs w:val="false"/>
          <w:i w:val="false"/>
          <w:iCs w:val="false"/>
          <w:sz w:val="22"/>
          <w:szCs w:val="22"/>
        </w:rPr>
        <w:t xml:space="preserve">Nowe wymagania po wyborze oferty rodzą pytanie o istotną zmianę warunków zamówienia. Jeśli wpływają na krąg wykonawców zdolnych je spełnić lub na cenę nieproporcjonalnie, mieszczą się w kategorii zmian niedozwolonych bez powrotu do procedury konkurencyjnej, niezależnie od uzasadnienia bezpieczeństwem.</w:t>
      </w:r>
    </w:p>
    <w:p>
      <w:pPr>
        <w:pStyle w:val="Heading3"/>
        <w:spacing w:after="120" w:before="250"/>
      </w:pPr>
      <w:r>
        <w:t xml:space="preserve">5. Połączenie cyberbezpieczeństwa, RODO, ciągłości usług i środka tymczasowego</w:t>
      </w:r>
    </w:p>
    <w:p>
      <w:pPr>
        <w:spacing w:after="160"/>
      </w:pPr>
      <w:r>
        <w:rPr>
          <w:rFonts w:ascii="Calibri" w:cs="Calibri" w:eastAsia="Calibri" w:hAnsi="Calibri"/>
          <w:b w:val="false"/>
          <w:bCs w:val="false"/>
          <w:i w:val="false"/>
          <w:iCs w:val="false"/>
          <w:sz w:val="22"/>
          <w:szCs w:val="22"/>
        </w:rPr>
        <w:t xml:space="preserve">Odwołanie do KIO aktywuje zakaz zawarcia umowy. Uchylenie zakazu jest środkiem wyjątkowym, wymagającym ważnego interesu publicznego przeważającego nad ochroną odwołującego — nie tożsamego z wygodą zamawiającego. Podatność systemu i ryzyko przerwy w usługach mogą stanowić podstawę wniosku, o ile wykazane konkretnie. Przetwarzanie danych w chmurze musi od początku spełniać RODO niezależnie od wyniku sporu przetargowego.</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konkurenta/KIO</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metropolii/konsorcjum</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Kryterium suwerenności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wyjaśnienia oceny narusza art. 240 ust. 2</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Kryterium uzasadnione względami bezpieczeństwa</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Zasoby grupy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Referencje bez realnego udziału są niewystarczające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Przynależność do grupy zapewnia dostęp do zasobów</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Tajemnica przedsiębiorstwa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Utajnienie bez indywidualnego wykazania jest nadmierne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Informacje mają wartość gospodarczą</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Nowe wymagania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Zmiana zakresu i ceny narusza równe traktowanie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Zmiana wynika z incydentu i jest konieczna</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Zakaz zawarcia umowy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Ochrona prawna wymaga utrzymania zakazu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Podatność systemu uzasadnia pilne uchylenie</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Metodologia punktacji kryterium suwerenności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zgodności z art. 240 ust. 2</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Dokumentacja SWZ</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spółka z grupy będzie faktycznie realizować usługi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zasadności polegania na zasobach</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Zobowiązanie podmiotu udostępniającego zasoby</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Indywidualne uzasadnienie utajnienia każdego elementu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zgodności z art. 18 ust. 3 Pzp</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Uzasadnienie zastrzeżenia tajemnicy</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Zakres i wpływ nowych wymagań na cenę</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istotności zmiany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Analiza wpływu, korespondencja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Konkretne dane o skali podatności systemu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wykazania ważnego interesu publicznego</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Raport CSIRT, ocena ryzyka</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Nakazać doprecyzowanie lub unieważnienie kryterium suwerenności technologicznej. Zweryfikować faktyczne zaangażowanie spółki z grupy. Nakazać zindywidualizowane zbadanie zasadności zastrzeżeń tajemnicy, z odtajnieniem niespełniających przesłanek. Ocenić nowe wymagania pod kątem istotności zmiany. Rozpoznać wniosek o uchylenie zakazu restrykcyjnie, wymagając konkretnego wykazania ważnego interesu publicznego, z zabezpieczeniami kontraktowymi ograniczającymi ryzyko nieodwracalnego uzależnienia od dostawcy.</w:t>
      </w:r>
    </w:p>
    <w:p>
      <w:pPr>
        <w:pStyle w:val="Heading2"/>
        <w:spacing w:after="150" w:before="300"/>
      </w:pPr>
      <w:r>
        <w:t xml:space="preserve">Zweryfikowane pozycje źródłowe (PL-05)</w:t>
      </w:r>
    </w:p>
    <w:p>
      <w:pPr>
        <w:pStyle w:val="ListParagraph"/>
        <w:pStyle w:val="normalPara"/>
        <w:numPr>
          <w:ilvl w:val="0"/>
          <w:numId w:val="1"/>
        </w:numPr>
        <w:spacing w:after="80"/>
      </w:pPr>
      <w:r>
        <w:t xml:space="preserve">Ustawa Pzp, art. 240–242, tj. Dz.U.2026.0.793. ✅ [VER: web_search, tekst ujednolicony i komentarze UZP, RZĄD 1]</w:t>
      </w:r>
    </w:p>
    <w:p>
      <w:pPr>
        <w:pStyle w:val="ListParagraph"/>
        <w:pStyle w:val="normalPara"/>
        <w:numPr>
          <w:ilvl w:val="0"/>
          <w:numId w:val="1"/>
        </w:numPr>
        <w:spacing w:after="80"/>
      </w:pPr>
      <w:r>
        <w:t xml:space="preserve">Ustawa Pzp, art. 18 ust. 3 w zw. z art. 11 ust. 2 uznk — tajemnica przedsiębiorstwa. ✅ [VER: web_search, orzecznictwo KIO, RZĄD 2A]</w:t>
      </w:r>
    </w:p>
    <w:p>
      <w:pPr>
        <w:pStyle w:val="ListParagraph"/>
        <w:pStyle w:val="normalPara"/>
        <w:numPr>
          <w:ilvl w:val="0"/>
          <w:numId w:val="1"/>
        </w:numPr>
        <w:spacing w:after="80"/>
      </w:pPr>
      <w:r>
        <w:t xml:space="preserve">Ustawa Pzp, art. 577–578 — zakaz zawarcia umowy i uchylenie zakazu. ✅ [VER: web_search, orzecznictwo KIO, RZĄD 2A]</w:t>
      </w:r>
    </w:p>
    <w:p>
      <w:pPr>
        <w:pStyle w:val="ListParagraph"/>
        <w:pStyle w:val="normalPara"/>
        <w:numPr>
          <w:ilvl w:val="0"/>
          <w:numId w:val="1"/>
        </w:numPr>
        <w:spacing w:after="80"/>
      </w:pPr>
      <w:r>
        <w:t xml:space="preserve">Ustawa Pzp — poleganie na zasobach podmiotów trzecich (art. 118 i n.), zakaz istotnej zmiany (art. 455). ⚠️ [NIEWERYFIKOWANE bezpośrednio w tej turze]</w:t>
      </w:r>
    </w:p>
    <w:p>
      <w:pPr>
        <w:pStyle w:val="ListParagraph"/>
        <w:pStyle w:val="normalPara"/>
        <w:numPr>
          <w:ilvl w:val="0"/>
          <w:numId w:val="1"/>
        </w:numPr>
        <w:spacing w:after="80"/>
      </w:pPr>
      <w:r>
        <w:t xml:space="preserve">Ustawa o krajowym systemie cyberbezpieczeństwa. ⚠️ [NIEWERYFIKOWANE bezpośrednio w tej turze]</w:t>
      </w:r>
    </w:p>
    <w:p>
      <w:r>
        <w:br w:type="page"/>
      </w:r>
    </w:p>
    <w:p>
      <w:pPr>
        <w:pStyle w:val="Heading1"/>
        <w:spacing w:after="200" w:before="400"/>
      </w:pPr>
      <w:r>
        <w:t xml:space="preserve">PL-06 Karuzela, faktoring i milczący zarząd</w:t>
      </w:r>
    </w:p>
    <w:p>
      <w:pPr>
        <w:spacing w:after="160"/>
      </w:pPr>
      <w:r>
        <w:rPr>
          <w:rFonts w:ascii="Calibri" w:cs="Calibri" w:eastAsia="Calibri" w:hAnsi="Calibri"/>
          <w:b w:val="false"/>
          <w:bCs w:val="false"/>
          <w:i/>
          <w:iCs/>
          <w:sz w:val="22"/>
          <w:szCs w:val="22"/>
        </w:rPr>
        <w:t xml:space="preserve">VAT, KKS, AML, odpowiedzialność organów spółki i dowody cyfrowe — autorski kazus prawa polskiego.</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podatkowy, a rozstrzyga się na rozdzieleniu pięciu reżimów. Pierwszy: odmowa prawa do odliczenia VAT wymaga wykazania przez organ, że podatnik wiedział lub powinien był wiedzieć o oszustwie (doktryna Kittel/Bonik). Drugi, kwalifikator karnomaterialny: jeśli faktury poświadczały nieprawdę lub były fałszowane, aktualizują się art. 270a i 271a KK, a przy wartości powyżej dziesięciokrotności mienia wielkiej wartości — kwalifikowany typ z art. 277a KK (kara 5–25 lat), w możliwym zbiegu z art. 56 i 76 KKS (art. 8 § 1 KKS). Trzeci: odpowiedzialność karna jest indywidualna, nie przechodzi automatycznie z funkcji korporacyjnej. Czwarty: bank i faktor podlegają odrębnym reżimom, a zamknięcie i ponowne otwarcie alertów AML wymaga oceny staranności banku w obu momentach. Piąty: ochrona tajemnicy obrończej jest bezwzględna, niezależna od statusu podejrzanego, w odróżnieniu od ogólnej tajemnicy zawodowej.</w:t>
      </w:r>
    </w:p>
    <w:p>
      <w:pPr>
        <w:pStyle w:val="Heading2"/>
        <w:spacing w:after="150" w:before="300"/>
      </w:pPr>
      <w:r>
        <w:t xml:space="preserve">Mapa jurysdykcji i reżimów</w:t>
      </w:r>
    </w:p>
    <w:p>
      <w:pPr>
        <w:spacing w:after="160"/>
      </w:pPr>
      <w:r>
        <w:rPr>
          <w:rFonts w:ascii="Calibri" w:cs="Calibri" w:eastAsia="Calibri" w:hAnsi="Calibri"/>
          <w:b w:val="false"/>
          <w:bCs w:val="false"/>
          <w:i w:val="false"/>
          <w:iCs w:val="false"/>
          <w:sz w:val="22"/>
          <w:szCs w:val="22"/>
        </w:rPr>
        <w:t xml:space="preserve">KAS prowadzi postępowanie podatkowe. Prokuratura prowadzi postępowanie karne/karnoskarbowe równolegle. Sąd cywilny rozpoznaje spory z faktorem i bankiem. GIIF jest adresatem zgłoszeń banku. Sąd gospodarczy/rejestrowy rozpoznaje roszczenia akcjonariuszy wobec zarządu.</w:t>
      </w:r>
    </w:p>
    <w:p>
      <w:pPr>
        <w:pStyle w:val="Heading2"/>
        <w:spacing w:after="150" w:before="300"/>
      </w:pPr>
      <w:r>
        <w:t xml:space="preserve">Analiza materialna według zagadnień</w:t>
      </w:r>
    </w:p>
    <w:p>
      <w:pPr>
        <w:pStyle w:val="Heading3"/>
        <w:spacing w:after="120" w:before="250"/>
      </w:pPr>
      <w:r>
        <w:t xml:space="preserve">1. Rozdzielenie wymiaru podatkowego, karnego, AML, korporacyjnego i kontraktowego</w:t>
      </w:r>
    </w:p>
    <w:p>
      <w:pPr>
        <w:spacing w:after="160"/>
      </w:pPr>
      <w:r>
        <w:rPr>
          <w:rFonts w:ascii="Calibri" w:cs="Calibri" w:eastAsia="Calibri" w:hAnsi="Calibri"/>
          <w:b w:val="false"/>
          <w:bCs w:val="false"/>
          <w:i w:val="false"/>
          <w:iCs w:val="false"/>
          <w:sz w:val="22"/>
          <w:szCs w:val="22"/>
        </w:rPr>
        <w:t xml:space="preserve">Wymiar podatkowy: test dobrej wiary i należytej staranności. Wymiar karny: powtarzające się numery dokumentów transportowych wskazują na możliwe fałszerstwo faktur — art. 271a § 1 KK lub art. 270a § 1 KK, a przy przekroczeniu progu wartościowego art. 277a § 1 KK (kara 5–25 lat), w zbiegu z art. 56/76 KKS na zasadzie art. 8 § 1 KKS. Wymiar AML dotyczy obowiązków banku. Wymiar korporacyjny (KSH) dotyczy odpowiedzialności zarządu wobec spółki. Wymiar kontraktowy reguluje relacje z faktorem. Pięć reżimów operuje na różnych faktach i standardach — ustalenie w jednym nie przesądza pozostałych.</w:t>
      </w:r>
    </w:p>
    <w:p>
      <w:pPr>
        <w:pStyle w:val="Heading3"/>
        <w:spacing w:after="120" w:before="250"/>
      </w:pPr>
      <w:r>
        <w:t xml:space="preserve">2. Czy spółka dochowała należytej staranności</w:t>
      </w:r>
    </w:p>
    <w:p>
      <w:pPr>
        <w:spacing w:after="160"/>
      </w:pPr>
      <w:r>
        <w:rPr>
          <w:rFonts w:ascii="Calibri" w:cs="Calibri" w:eastAsia="Calibri" w:hAnsi="Calibri"/>
          <w:b w:val="false"/>
          <w:bCs w:val="false"/>
          <w:i w:val="false"/>
          <w:iCs w:val="false"/>
          <w:sz w:val="22"/>
          <w:szCs w:val="22"/>
        </w:rPr>
        <w:t xml:space="preserve">Metodyka MF wymienia okoliczności analogiczne do kazusu: brak magazynu, częste zmiany rachunków. Dyrektor finansowy faktycznie zidentyfikował te flagi i zgłosił je — zignorowanie już zidentyfikowanego ryzyka jest okolicznością szczególnie obciążającą. Zlecenie „krótkiego przeglądu” przy kontynuacji handlu bez oczekiwania na wynik nie spełnia standardu należytej staranności.</w:t>
      </w:r>
    </w:p>
    <w:p>
      <w:pPr>
        <w:pStyle w:val="Heading3"/>
        <w:spacing w:after="120" w:before="250"/>
      </w:pPr>
      <w:r>
        <w:t xml:space="preserve">3. Komu można przypisać wiedzę, decyzję i stronę podmiotową</w:t>
      </w:r>
    </w:p>
    <w:p>
      <w:pPr>
        <w:spacing w:after="160"/>
      </w:pPr>
      <w:r>
        <w:rPr>
          <w:rFonts w:ascii="Calibri" w:cs="Calibri" w:eastAsia="Calibri" w:hAnsi="Calibri"/>
          <w:b w:val="false"/>
          <w:bCs w:val="false"/>
          <w:i w:val="false"/>
          <w:iCs w:val="false"/>
          <w:sz w:val="22"/>
          <w:szCs w:val="22"/>
        </w:rPr>
        <w:t xml:space="preserve">Odpowiedzialność karna wymaga wykazania winy konkretnej osoby, nie automatycznego przeniesienia z funkcji. Dyrektor finansowy, który zgłosił flagi, ale nie podjął dalszych kroków, jest w sytuacji granicznej. Prezes, który zlecił przegląd, ale kontynuował handel, jest bliżej zamiaru ewentualnego. Kazus nie precyzuje wyniku przeglądu ani czy dotarł do prezesa przed kontynuacją handlu.</w:t>
      </w:r>
    </w:p>
    <w:p>
      <w:pPr>
        <w:pStyle w:val="Heading3"/>
        <w:spacing w:after="120" w:before="250"/>
      </w:pPr>
      <w:r>
        <w:t xml:space="preserve">4. Działania banku i faktora oraz tajemnica AML</w:t>
      </w:r>
    </w:p>
    <w:p>
      <w:pPr>
        <w:spacing w:after="160"/>
      </w:pPr>
      <w:r>
        <w:rPr>
          <w:rFonts w:ascii="Calibri" w:cs="Calibri" w:eastAsia="Calibri" w:hAnsi="Calibri"/>
          <w:b w:val="false"/>
          <w:bCs w:val="false"/>
          <w:i w:val="false"/>
          <w:iCs w:val="false"/>
          <w:sz w:val="22"/>
          <w:szCs w:val="22"/>
        </w:rPr>
        <w:t xml:space="preserve">Zamknięcie alertów po wyjaśnieniu faktora — podmiotu z własnym interesem gospodarczym — wymaga oceny adekwatności weryfikacji. Ponowne otwarcie po kontroli KAS nie zwalnia banku z oceny wcześniejszego momentu. Treść zgłoszenia do GIIF podlega ustawowej tajemnicy, co wymaga rozstrzygnięcia przez sąd cywilny w trybie ograniczającym dostęp stronie przeciwnej.</w:t>
      </w:r>
    </w:p>
    <w:p>
      <w:pPr>
        <w:pStyle w:val="Heading3"/>
        <w:spacing w:after="120" w:before="250"/>
      </w:pPr>
      <w:r>
        <w:t xml:space="preserve">5. Tajemnica zawodowa, dowody i płynność</w:t>
      </w:r>
    </w:p>
    <w:p>
      <w:pPr>
        <w:spacing w:after="160"/>
      </w:pPr>
      <w:r>
        <w:rPr>
          <w:rFonts w:ascii="Calibri" w:cs="Calibri" w:eastAsia="Calibri" w:hAnsi="Calibri"/>
          <w:b w:val="false"/>
          <w:bCs w:val="false"/>
          <w:i w:val="false"/>
          <w:iCs w:val="false"/>
          <w:sz w:val="22"/>
          <w:szCs w:val="22"/>
        </w:rPr>
        <w:t xml:space="preserve">Oświadczenie o objęciu dokumentu tajemnicą obrończą jest wiążące i niepodlegające weryfikacji przez organ — silniejszy standard niż ogólna tajemnica zawodowa, która może ustąpić wobec podejrzanego. Kazus nie precyzuje, czy korespondencja dotyczyła już formalnej obrony. Automatyczne usunięcie wiadomości po powzięciu wiedzy o postępowaniu rodzi ryzyko zarzutu utrudniania postępowania. Utrata płynności jest odrębnym zagadnieniem od postępowań karnych i podatkowych.</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organów/akcjonariuszy</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spółki/zarządu</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Należyta staranność</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Zignorowanie zidentyfikowanych flag dowodzi braku staranności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Zlecono przegląd — podjęto kroki weryfikacyjne</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Kwalifikacja karna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Powtarzające się numery dokumentów wskazują fałszerstwo</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Brak dowodu świadomego udziału, błąd dostawców</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Odpowiedzialność indywidualna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Prezes kontynuował handel mimo przeglądu — zamiar ewentualny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Decyzje kolegialne, brak indywidualnej winy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Działania banku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Wcześniejsze zamknięcie alertów było niedbałe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Wyjaśnienie faktora było wiarygodne</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Tajemnica i dowody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Usunięcie wiadomości utrudnia postępowanie</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Usunięcie zgodne ze standardową retencją</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Wynik przeglądu zleconego przez prezesa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strony podmiotowej prezesa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Raport z przeglądu, korespondencja zarządu</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faktury odzwierciedlały rzeczywiste transakcje</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kwalifikacji z art. 270a/271a/277a KK</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Dokumentacja transportowa, korespondencja z dostawcami</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Łączna wartość zakwestionowanych faktur</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zastosowania art. 277a KK</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Rejestry VAT, decyzja KAS</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wyjaśnienia faktora dla banku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staranności banku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Dokumentacja wewnętrzna banku</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korespondencja z prawnikami dotyczyła formalnej obrony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zastosowania art. 225 § 3 KPK</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Zlecenia, pełnomocnictwa, daty</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Moment i przyczyna usunięcia wiadomości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ryzyka utrudniania postępowania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Polityka retencji, logi systemu</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Ocenić dobrą wiarę podatkową odrębnie dla każdej transakcji. Prowadzić postępowanie karne w kierunku art. 270a/271a KK, z kwalifikacją z art. 277a KK w razie potwierdzenia progu, w zbiegu z art. 56/76 KKS; ustalić winę indywidualnie dla prezesa i dyrektora finansowego, z uwzględnieniem możliwości złagodzenia kary za współpracę (art. 277c KK). Zbadać staranność banku przy pierwotnym zamknięciu alertów. Bezwzględnie chronić korespondencję obrończą. Rozważyć restrukturyzację niezależnie od postępowań karnych. Ocenić odpowiedzialność zarządu wobec spółki za kontynuację handlu mimo zidentyfikowanego ryzyka.</w:t>
      </w:r>
    </w:p>
    <w:p>
      <w:pPr>
        <w:pStyle w:val="Heading2"/>
        <w:spacing w:after="150" w:before="300"/>
      </w:pPr>
      <w:r>
        <w:t xml:space="preserve">Zweryfikowane pozycje źródłowe (PL-06)</w:t>
      </w:r>
    </w:p>
    <w:p>
      <w:pPr>
        <w:pStyle w:val="ListParagraph"/>
        <w:pStyle w:val="normalPara"/>
        <w:numPr>
          <w:ilvl w:val="0"/>
          <w:numId w:val="1"/>
        </w:numPr>
        <w:spacing w:after="80"/>
      </w:pPr>
      <w:r>
        <w:t xml:space="preserve">TSUE, C-439/04 i C-440/04 (Kittel), C-285/11 (Bonik) — standard „wiedział lub powinien był wiedzieć”. ✅ [VER: web_search, wielokrotne źródła, RZĄD 2A]</w:t>
      </w:r>
    </w:p>
    <w:p>
      <w:pPr>
        <w:pStyle w:val="ListParagraph"/>
        <w:pStyle w:val="normalPara"/>
        <w:numPr>
          <w:ilvl w:val="0"/>
          <w:numId w:val="1"/>
        </w:numPr>
        <w:spacing w:after="80"/>
      </w:pPr>
      <w:r>
        <w:t xml:space="preserve">Metodyka MF ws. należytej staranności nabywców (2018). ✅ [VER: web_search, liczne źródła branżowe, RZĄD 2A]</w:t>
      </w:r>
    </w:p>
    <w:p>
      <w:pPr>
        <w:pStyle w:val="ListParagraph"/>
        <w:pStyle w:val="normalPara"/>
        <w:numPr>
          <w:ilvl w:val="0"/>
          <w:numId w:val="1"/>
        </w:numPr>
        <w:spacing w:after="80"/>
      </w:pPr>
      <w:r>
        <w:t xml:space="preserve">KK, art. 270a, 271a, 277a, 277c, tj. Dz.U.2025.0.383. ✅ [VER: web_search, tekst ujednolicony, RZĄD 1]</w:t>
      </w:r>
    </w:p>
    <w:p>
      <w:pPr>
        <w:pStyle w:val="ListParagraph"/>
        <w:pStyle w:val="normalPara"/>
        <w:numPr>
          <w:ilvl w:val="0"/>
          <w:numId w:val="1"/>
        </w:numPr>
        <w:spacing w:after="80"/>
      </w:pPr>
      <w:r>
        <w:t xml:space="preserve">KPK, art. 225 § 1–3 — ochrona tajemnicy obrończej przy przeszukaniu. ✅ [VER: web_search, wielokrotne źródła w tym Palestra, RZĄD 2A]</w:t>
      </w:r>
    </w:p>
    <w:p>
      <w:pPr>
        <w:pStyle w:val="ListParagraph"/>
        <w:pStyle w:val="normalPara"/>
        <w:numPr>
          <w:ilvl w:val="0"/>
          <w:numId w:val="1"/>
        </w:numPr>
        <w:spacing w:after="80"/>
      </w:pPr>
      <w:r>
        <w:t xml:space="preserve">KKS, art. 56, 76, art. 8 § 1. ⚠️ [NIEWERYFIKOWANE bezpośrednio w tej turze]</w:t>
      </w:r>
    </w:p>
    <w:p>
      <w:pPr>
        <w:pStyle w:val="ListParagraph"/>
        <w:pStyle w:val="normalPara"/>
        <w:numPr>
          <w:ilvl w:val="0"/>
          <w:numId w:val="1"/>
        </w:numPr>
        <w:spacing w:after="80"/>
      </w:pPr>
      <w:r>
        <w:t xml:space="preserve">Ustawa AML — obowiązki instytucji obowiązanej. ⚠️ [NIEWERYFIKOWANE bezpośrednio w tej turze]</w:t>
      </w:r>
    </w:p>
    <w:p>
      <w:pPr>
        <w:pStyle w:val="ListParagraph"/>
        <w:pStyle w:val="normalPara"/>
        <w:numPr>
          <w:ilvl w:val="0"/>
          <w:numId w:val="1"/>
        </w:numPr>
        <w:spacing w:after="80"/>
      </w:pPr>
      <w:r>
        <w:t xml:space="preserve">KSH — odpowiedzialność zarządu. ⚠️ [NIEWERYFIKOWANE bezpośrednio w tej turze]</w:t>
      </w:r>
    </w:p>
    <w:p>
      <w:r>
        <w:br w:type="page"/>
      </w:r>
    </w:p>
    <w:p>
      <w:pPr>
        <w:pStyle w:val="Heading1"/>
        <w:spacing w:after="200" w:before="400"/>
      </w:pPr>
      <w:r>
        <w:t xml:space="preserve">PL-07 Deepfake w wyborach samorządowych</w:t>
      </w:r>
    </w:p>
    <w:p>
      <w:pPr>
        <w:spacing w:after="160"/>
      </w:pPr>
      <w:r>
        <w:rPr>
          <w:rFonts w:ascii="Calibri" w:cs="Calibri" w:eastAsia="Calibri" w:hAnsi="Calibri"/>
          <w:b w:val="false"/>
          <w:bCs w:val="false"/>
          <w:i/>
          <w:iCs/>
          <w:sz w:val="22"/>
          <w:szCs w:val="22"/>
        </w:rPr>
        <w:t xml:space="preserve">Tryb wyborczy, dobra osobiste, prawo autorskie, dane, DSA i dowody cyfrowe — autorski kazus prawa polskiego.</w:t>
      </w:r>
    </w:p>
    <w:p>
      <w:pPr>
        <w:pStyle w:val="Heading2"/>
        <w:spacing w:after="150" w:before="300"/>
      </w:pPr>
      <w:r>
        <w:t xml:space="preserve">Teza wstępna</w:t>
      </w:r>
    </w:p>
    <w:p>
      <w:pPr>
        <w:spacing w:after="160"/>
      </w:pPr>
      <w:r>
        <w:rPr>
          <w:rFonts w:ascii="Calibri" w:cs="Calibri" w:eastAsia="Calibri" w:hAnsi="Calibri"/>
          <w:b w:val="false"/>
          <w:bCs w:val="false"/>
          <w:i w:val="false"/>
          <w:iCs w:val="false"/>
          <w:sz w:val="22"/>
          <w:szCs w:val="22"/>
        </w:rPr>
        <w:t xml:space="preserve">Kazus wygląda na spór o film wyborczy, a rozstrzyga się na rozdzieleniu pięciu reżimów. Pierwszy: szczególny tryb wyborczy z art. 111 Kodeksu wyborczego jest instrumentem najszybszym i najszerszym podmiotowo — obejmuje każdą wypowiedź związaną z kampanią i może być skierowany przeciwko każdemu, kto rozpowszechnia nieprawdziwe informacje, w tym przeciwko kontrkandydatowi, który udostępnił materiał ze swoim komentarzem. Drugi: koordynacja formalnie niezależnych podmiotów korzystających z tej samej agencji i panelu reklamowego jest poszlaką wspólnego działania, wymagającą dalszego dowodzenia. Trzeci: roszczenia o ochronę dóbr osobistych obejmują wizerunek, głos i cześć jako odrębne dobra, a integralność wypowiedzi może być chroniona jako prawo pokrewne wykonawcy. Czwarty: oznaczenie treści jako „spornej” bez usunięcia może nie wystarczać do spełnienia obowiązków platformy z DSA. Piąty: w postępowaniu pilnym standardem dowodowym jest uprawdopodobnienie, nie dowód ponad wątpliwość.</w:t>
      </w:r>
    </w:p>
    <w:p>
      <w:pPr>
        <w:pStyle w:val="Heading2"/>
        <w:spacing w:after="150" w:before="300"/>
      </w:pPr>
      <w:r>
        <w:t xml:space="preserve">Mapa jurysdykcji i reżimów</w:t>
      </w:r>
    </w:p>
    <w:p>
      <w:pPr>
        <w:spacing w:after="160"/>
      </w:pPr>
      <w:r>
        <w:rPr>
          <w:rFonts w:ascii="Calibri" w:cs="Calibri" w:eastAsia="Calibri" w:hAnsi="Calibri"/>
          <w:b w:val="false"/>
          <w:bCs w:val="false"/>
          <w:i w:val="false"/>
          <w:iCs w:val="false"/>
          <w:sz w:val="22"/>
          <w:szCs w:val="22"/>
        </w:rPr>
        <w:t xml:space="preserve">Sąd okręgowy rozpoznaje wniosek w trybie wyborczym z art. 111 Kodeksu wyborczego w ciągu 24 godzin, z zażaleniem do sądu apelacyjnego w kolejnych 24 godzinach — orzeczenie natychmiast wykonalne, bez skargi kasacyjnej. Sąd cywilny rozpoznaje roszczenia o dobra osobiste i prawa pokrewne. PKW nadzoruje finansowanie kampanii. Komisja Europejska i krajowy koordynator ds. usług cyfrowych egzekwują obowiązki platformy z DSA.</w:t>
      </w:r>
    </w:p>
    <w:p>
      <w:pPr>
        <w:pStyle w:val="Heading2"/>
        <w:spacing w:after="150" w:before="300"/>
      </w:pPr>
      <w:r>
        <w:t xml:space="preserve">Analiza materialna według zagadnień</w:t>
      </w:r>
    </w:p>
    <w:p>
      <w:pPr>
        <w:pStyle w:val="Heading3"/>
        <w:spacing w:after="120" w:before="250"/>
      </w:pPr>
      <w:r>
        <w:t xml:space="preserve">1. Szczególny tryb wyborczy — zakres i adresaci</w:t>
      </w:r>
    </w:p>
    <w:p>
      <w:pPr>
        <w:spacing w:after="160"/>
      </w:pPr>
      <w:r>
        <w:rPr>
          <w:rFonts w:ascii="Calibri" w:cs="Calibri" w:eastAsia="Calibri" w:hAnsi="Calibri"/>
          <w:b w:val="false"/>
          <w:bCs w:val="false"/>
          <w:i w:val="false"/>
          <w:iCs w:val="false"/>
          <w:sz w:val="22"/>
          <w:szCs w:val="22"/>
        </w:rPr>
        <w:t xml:space="preserve">Art. 111 Kodeksu wyborczego obejmuje rozpowszechnianie nieprawdziwych informacji w ramach agitacji wyborczej — pojęcie szerokie, niezależne od pochodzenia wypowiedzi. Uprawnionym jest kandydat lub pełnomocnik komitetu. Adresatem może być każdy rozpowszechniający materiał, w tym kontrkandydat, który świadomie udostępnił film z komentarzem. Katalog żądań: zakaz rozpowszechniania, przepadek materiałów, sprostowanie, publikacja odpowiedzi, przeprosiny, wpłata do 100 000 zł na rzecz OPP.</w:t>
      </w:r>
    </w:p>
    <w:p>
      <w:pPr>
        <w:pStyle w:val="Heading3"/>
        <w:spacing w:after="120" w:before="250"/>
      </w:pPr>
      <w:r>
        <w:t xml:space="preserve">2. Koordynacja fundacji, agencji, komitetu i kontrkandydata</w:t>
      </w:r>
    </w:p>
    <w:p>
      <w:pPr>
        <w:spacing w:after="160"/>
      </w:pPr>
      <w:r>
        <w:rPr>
          <w:rFonts w:ascii="Calibri" w:cs="Calibri" w:eastAsia="Calibri" w:hAnsi="Calibri"/>
          <w:b w:val="false"/>
          <w:bCs w:val="false"/>
          <w:i w:val="false"/>
          <w:iCs w:val="false"/>
          <w:sz w:val="22"/>
          <w:szCs w:val="22"/>
        </w:rPr>
        <w:t xml:space="preserve">Wspólna agencja i panel reklamowy to silna poszlaka koordynacji, ale nie dowód — wymaga wykazania wspólnego finansowania lub przepływu instrukcji. Jeśli wykazana, rozszerza krąg odpowiedzialnych w trybie art. 111 i rodzi pytanie o naruszenie zasad finansowania kampanii, a w płaszczyźnie cywilnej — odpowiedzialność solidarną kontrkandydata.</w:t>
      </w:r>
    </w:p>
    <w:p>
      <w:pPr>
        <w:pStyle w:val="Heading3"/>
        <w:spacing w:after="120" w:before="250"/>
      </w:pPr>
      <w:r>
        <w:t xml:space="preserve">3. Roszczenia chroniące dobra osobiste, wizerunek, głos i utwór</w:t>
      </w:r>
    </w:p>
    <w:p>
      <w:pPr>
        <w:spacing w:after="160"/>
      </w:pPr>
      <w:r>
        <w:rPr>
          <w:rFonts w:ascii="Calibri" w:cs="Calibri" w:eastAsia="Calibri" w:hAnsi="Calibri"/>
          <w:b w:val="false"/>
          <w:bCs w:val="false"/>
          <w:i w:val="false"/>
          <w:iCs w:val="false"/>
          <w:sz w:val="22"/>
          <w:szCs w:val="22"/>
        </w:rPr>
        <w:t xml:space="preserve">Wizerunek, głos i cześć to odrębne dobra osobiste — synteza głosu przypisująca niewygłoszone słowa narusza je szczególnie dotkliwie. Niezależnie od roszczeń osobistych, zniekształcenie oryginalnego wywiadu może naruszać prawa pokrewne wykonawcy do integralności wykonania, odrębnie od praw autorskich stacji do nagrania. Roszczenia te są kumulatywne, nie wykluczają się wzajemnie.</w:t>
      </w:r>
    </w:p>
    <w:p>
      <w:pPr>
        <w:pStyle w:val="Heading3"/>
        <w:spacing w:after="120" w:before="250"/>
      </w:pPr>
      <w:r>
        <w:t xml:space="preserve">4. Obowiązki platformy wobec zgłoszenia, reklamy i danych</w:t>
      </w:r>
    </w:p>
    <w:p>
      <w:pPr>
        <w:spacing w:after="160"/>
      </w:pPr>
      <w:r>
        <w:rPr>
          <w:rFonts w:ascii="Calibri" w:cs="Calibri" w:eastAsia="Calibri" w:hAnsi="Calibri"/>
          <w:b w:val="false"/>
          <w:bCs w:val="false"/>
          <w:i w:val="false"/>
          <w:iCs w:val="false"/>
          <w:sz w:val="22"/>
          <w:szCs w:val="22"/>
        </w:rPr>
        <w:t xml:space="preserve">DSA nakłada obowiązek starannego rozpatrywania zgłoszeń (art. 16) — oznaczenie jako „sporne” bez działania może nie wypełniać tego obowiązku przy umotywowanym zgłoszeniu. Niepełne dane sponsora naruszają obowiązek przejrzystości repozytorium reklam (art. 39). Jeśli platforma jest bardzo dużą platformą, ciąży na niej obowiązek ograniczania ryzyka systemowego dla procesów wyborczych (art. 34–35). Należy niezwłocznie wystąpić o zachowanie danych i logów.</w:t>
      </w:r>
    </w:p>
    <w:p>
      <w:pPr>
        <w:pStyle w:val="Heading3"/>
        <w:spacing w:after="120" w:before="250"/>
      </w:pPr>
      <w:r>
        <w:t xml:space="preserve">5. Standard dowodu i środek ochrony w trybie pilnym</w:t>
      </w:r>
    </w:p>
    <w:p>
      <w:pPr>
        <w:spacing w:after="160"/>
      </w:pPr>
      <w:r>
        <w:rPr>
          <w:rFonts w:ascii="Calibri" w:cs="Calibri" w:eastAsia="Calibri" w:hAnsi="Calibri"/>
          <w:b w:val="false"/>
          <w:bCs w:val="false"/>
          <w:i w:val="false"/>
          <w:iCs w:val="false"/>
          <w:sz w:val="22"/>
          <w:szCs w:val="22"/>
        </w:rPr>
        <w:t xml:space="preserve">W postępowaniu 24-godzinnym standardem jest uprawdopodobnienie, nie dowód ponad wątpliwość. Rozbieżność ekspertów nie uniemożliwia rozstrzygnięcia — sąd ocenia wiarygodność każdej opinii w świetle metodologii i poszlak. Brak pliku źródłowego osłabia dowód, ale go nie eliminuje. Najskuteczniejszy jest natychmiastowy wniosek z art. 111 wraz z zabezpieczeniem dowodów cyfrowych przed ciszą wyborczą.</w:t>
      </w:r>
    </w:p>
    <w:p>
      <w:pPr>
        <w:pStyle w:val="Heading2"/>
        <w:spacing w:after="150" w:before="300"/>
      </w:pPr>
      <w:r>
        <w:t xml:space="preserve">Macierz argumentów</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18%"/>
            <w:shd w:fill="D9E2F3" w:val="clear"/>
            <w:tcMar>
              <w:top w:type="dxa" w:w="60"/>
              <w:left w:type="dxa" w:w="100"/>
              <w:bottom w:type="dxa" w:w="60"/>
              <w:right w:type="dxa" w:w="100"/>
            </w:tcMar>
          </w:tcPr>
          <w:p>
            <w:r>
              <w:rPr>
                <w:rFonts w:ascii="Calibri" w:cs="Calibri" w:eastAsia="Calibri" w:hAnsi="Calibri"/>
                <w:b/>
                <w:bCs/>
                <w:sz w:val="20"/>
                <w:szCs w:val="20"/>
              </w:rPr>
              <w:t xml:space="preserve">Zagadnienie</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komitetu Leny</w:t>
            </w:r>
          </w:p>
        </w:tc>
        <w:tc>
          <w:tcPr>
            <w:tcW w:type="pct" w:w="41%"/>
            <w:shd w:fill="D9E2F3" w:val="clear"/>
            <w:tcMar>
              <w:top w:type="dxa" w:w="60"/>
              <w:left w:type="dxa" w:w="100"/>
              <w:bottom w:type="dxa" w:w="60"/>
              <w:right w:type="dxa" w:w="100"/>
            </w:tcMar>
          </w:tcPr>
          <w:p>
            <w:r>
              <w:rPr>
                <w:rFonts w:ascii="Calibri" w:cs="Calibri" w:eastAsia="Calibri" w:hAnsi="Calibri"/>
                <w:b/>
                <w:bCs/>
                <w:sz w:val="20"/>
                <w:szCs w:val="20"/>
              </w:rPr>
              <w:t xml:space="preserve">Argument kontrkandydata/fundacji/platformy</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Tryb wyborczy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Kontrkandydat rozpowszechnił materiał wiedząc o jego fałszywości</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Kontrkandydat jedynie skomentował już opublikowany materiał</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Koordynacja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Wspólna agencja dowodzi skoordynowanego działania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Formalna niezależność wyklucza przypisanie odpowiedzialności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Dobra osobiste i utwór</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Synteza głosu i zniekształcenie wywiadu naruszają odrębne dobra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Materiał łączy prawdziwe wypowiedzi, brak dowodu fabrykacji</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Obowiązki platformy</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Oznaczenie „sporne” i niepełne dane sponsora naruszają DSA</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Działanie proporcjonalne do niepewności technicznej</w:t>
            </w:r>
          </w:p>
        </w:tc>
      </w:tr>
      <w:tr>
        <w:tc>
          <w:tcPr>
            <w:tcW w:type="pct" w:w="18%"/>
            <w:tcMar>
              <w:top w:type="dxa" w:w="60"/>
              <w:left w:type="dxa" w:w="100"/>
              <w:bottom w:type="dxa" w:w="60"/>
              <w:right w:type="dxa" w:w="100"/>
            </w:tcMar>
          </w:tcPr>
          <w:p>
            <w:r>
              <w:rPr>
                <w:rFonts w:ascii="Calibri" w:cs="Calibri" w:eastAsia="Calibri" w:hAnsi="Calibri"/>
                <w:b w:val="false"/>
                <w:bCs w:val="false"/>
                <w:sz w:val="20"/>
                <w:szCs w:val="20"/>
              </w:rPr>
              <w:t xml:space="preserve">Standard dowodu</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Uprawdopodobnienie syntezy uzasadnia zakaz</w:t>
            </w:r>
          </w:p>
        </w:tc>
        <w:tc>
          <w:tcPr>
            <w:tcW w:type="pct" w:w="41%"/>
            <w:tcMar>
              <w:top w:type="dxa" w:w="60"/>
              <w:left w:type="dxa" w:w="100"/>
              <w:bottom w:type="dxa" w:w="60"/>
              <w:right w:type="dxa" w:w="100"/>
            </w:tcMar>
          </w:tcPr>
          <w:p>
            <w:r>
              <w:rPr>
                <w:rFonts w:ascii="Calibri" w:cs="Calibri" w:eastAsia="Calibri" w:hAnsi="Calibri"/>
                <w:b w:val="false"/>
                <w:bCs w:val="false"/>
                <w:sz w:val="20"/>
                <w:szCs w:val="20"/>
              </w:rPr>
              <w:t xml:space="preserve">Sprzeczne opinie nie pozwalają na uprawdopodobnienie</w:t>
            </w:r>
          </w:p>
        </w:tc>
      </w:tr>
    </w:tbl>
    <w:p>
      <w:pPr>
        <w:spacing w:after="120"/>
      </w:pPr>
    </w:p>
    <w:p>
      <w:pPr>
        <w:pStyle w:val="Heading2"/>
        <w:spacing w:after="150" w:before="300"/>
      </w:pPr>
      <w:r>
        <w:t xml:space="preserve">Braki faktyczne i dowody rozstrzygające</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tblGrid>
      <w:tr>
        <w:trPr>
          <w:tblHeader/>
        </w:trPr>
        <w:tc>
          <w:tcPr>
            <w:tcW w:type="pct" w:w="30%"/>
            <w:shd w:fill="D9E2F3" w:val="clear"/>
            <w:tcMar>
              <w:top w:type="dxa" w:w="60"/>
              <w:left w:type="dxa" w:w="100"/>
              <w:bottom w:type="dxa" w:w="60"/>
              <w:right w:type="dxa" w:w="100"/>
            </w:tcMar>
          </w:tcPr>
          <w:p>
            <w:r>
              <w:rPr>
                <w:rFonts w:ascii="Calibri" w:cs="Calibri" w:eastAsia="Calibri" w:hAnsi="Calibri"/>
                <w:b/>
                <w:bCs/>
                <w:sz w:val="20"/>
                <w:szCs w:val="20"/>
              </w:rPr>
              <w:t xml:space="preserve">Brak</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Dlaczego rozstrzyga</w:t>
            </w:r>
          </w:p>
        </w:tc>
        <w:tc>
          <w:tcPr>
            <w:tcW w:type="pct" w:w="35%"/>
            <w:shd w:fill="D9E2F3" w:val="clear"/>
            <w:tcMar>
              <w:top w:type="dxa" w:w="60"/>
              <w:left w:type="dxa" w:w="100"/>
              <w:bottom w:type="dxa" w:w="60"/>
              <w:right w:type="dxa" w:w="100"/>
            </w:tcMar>
          </w:tcPr>
          <w:p>
            <w:r>
              <w:rPr>
                <w:rFonts w:ascii="Calibri" w:cs="Calibri" w:eastAsia="Calibri" w:hAnsi="Calibri"/>
                <w:b/>
                <w:bCs/>
                <w:sz w:val="20"/>
                <w:szCs w:val="20"/>
              </w:rPr>
              <w:t xml:space="preserve">Dowód</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Struktura finansowania między fundacją, agencją i komitetem</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wykazania koordynacji</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Umowy z agencją, przepływy finansowe</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Czy kontrkandydat wiedział o syntetycznym charakterze materiału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jego odpowiedzialności indywidualnej</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Korespondencja, czas między publikacją a udostępnieniem</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Plik źródłowy filmu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jednoznacznej oceny technicznej</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Metadane, dane platformy hostującej</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Pełne dane sponsora reklamy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naruszenia obowiązku przejrzystości DSA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Biblioteka reklam, dokumentacja rozliczeniowa</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Treść zgłoszenia i czas jego rozpatrzenia przez platformę</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oceny należytej staranności platformy</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Zrzuty ekranu, korespondencja z platformą</w:t>
            </w:r>
          </w:p>
        </w:tc>
      </w:tr>
      <w:tr>
        <w:tc>
          <w:tcPr>
            <w:tcW w:type="pct" w:w="30%"/>
            <w:tcMar>
              <w:top w:type="dxa" w:w="60"/>
              <w:left w:type="dxa" w:w="100"/>
              <w:bottom w:type="dxa" w:w="60"/>
              <w:right w:type="dxa" w:w="100"/>
            </w:tcMar>
          </w:tcPr>
          <w:p>
            <w:r>
              <w:rPr>
                <w:rFonts w:ascii="Calibri" w:cs="Calibri" w:eastAsia="Calibri" w:hAnsi="Calibri"/>
                <w:b w:val="false"/>
                <w:bCs w:val="false"/>
                <w:sz w:val="20"/>
                <w:szCs w:val="20"/>
              </w:rPr>
              <w:t xml:space="preserve">Zakres i forma pierwotnego wywiadu</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Warunek naruszenia integralności wykonania</w:t>
            </w:r>
          </w:p>
        </w:tc>
        <w:tc>
          <w:tcPr>
            <w:tcW w:type="pct" w:w="35%"/>
            <w:tcMar>
              <w:top w:type="dxa" w:w="60"/>
              <w:left w:type="dxa" w:w="100"/>
              <w:bottom w:type="dxa" w:w="60"/>
              <w:right w:type="dxa" w:w="100"/>
            </w:tcMar>
          </w:tcPr>
          <w:p>
            <w:r>
              <w:rPr>
                <w:rFonts w:ascii="Calibri" w:cs="Calibri" w:eastAsia="Calibri" w:hAnsi="Calibri"/>
                <w:b w:val="false"/>
                <w:bCs w:val="false"/>
                <w:sz w:val="20"/>
                <w:szCs w:val="20"/>
              </w:rPr>
              <w:t xml:space="preserve">Oryginalne nagranie, umowa z redakcją</w:t>
            </w:r>
          </w:p>
        </w:tc>
      </w:tr>
    </w:tbl>
    <w:p>
      <w:pPr>
        <w:spacing w:after="120"/>
      </w:pPr>
    </w:p>
    <w:p>
      <w:pPr>
        <w:pStyle w:val="Heading2"/>
        <w:spacing w:after="150" w:before="300"/>
      </w:pPr>
      <w:r>
        <w:t xml:space="preserve">Proponowane rozstrzygnięcie</w:t>
      </w:r>
    </w:p>
    <w:p>
      <w:pPr>
        <w:spacing w:after="160"/>
      </w:pPr>
      <w:r>
        <w:rPr>
          <w:rFonts w:ascii="Calibri" w:cs="Calibri" w:eastAsia="Calibri" w:hAnsi="Calibri"/>
          <w:b w:val="false"/>
          <w:bCs w:val="false"/>
          <w:i w:val="false"/>
          <w:iCs w:val="false"/>
          <w:sz w:val="22"/>
          <w:szCs w:val="22"/>
        </w:rPr>
        <w:t xml:space="preserve">Złożyć niezwłocznie wniosek w trybie art. 111 Kodeksu wyborczego przeciwko fundacji i kontrkandydatowi. Zabezpieczyć dowody cyfrowe przed ich utratą. Wystąpić do platformy z umotywowanym zgłoszeniem powołując się na art. 16 i 39 DSA oraz obowiązki ograniczania ryzyka systemowego. Przygotować odrębne powództwo o ochronę dóbr osobistych i praw pokrewnych wykonawcy. Rozstrzygnięcie o zakresie odpowiedzialności kontrkandydata i fundacji uzależnić od wykazania koordynacji.</w:t>
      </w:r>
    </w:p>
    <w:p>
      <w:pPr>
        <w:pStyle w:val="Heading2"/>
        <w:spacing w:after="150" w:before="300"/>
      </w:pPr>
      <w:r>
        <w:t xml:space="preserve">Zweryfikowane pozycje źródłowe (PL-07)</w:t>
      </w:r>
    </w:p>
    <w:p>
      <w:pPr>
        <w:pStyle w:val="ListParagraph"/>
        <w:pStyle w:val="normalPara"/>
        <w:numPr>
          <w:ilvl w:val="0"/>
          <w:numId w:val="1"/>
        </w:numPr>
        <w:spacing w:after="80"/>
      </w:pPr>
      <w:r>
        <w:t xml:space="preserve">Kodeks wyborczy, art. 111 § 1–6. ✅ [VER: web_search, tekst ustawy i orzecznictwo sądów okręgowych, RZĄD 2A]</w:t>
      </w:r>
    </w:p>
    <w:p>
      <w:pPr>
        <w:pStyle w:val="ListParagraph"/>
        <w:pStyle w:val="normalPara"/>
        <w:numPr>
          <w:ilvl w:val="0"/>
          <w:numId w:val="1"/>
        </w:numPr>
        <w:spacing w:after="80"/>
      </w:pPr>
      <w:r>
        <w:t xml:space="preserve">Rozporządzenie (UE) 2022/2065 (DSA), art. 16, 39, 34–35. ✅ [VER: web_search, EUR-Lex i komunikaty Komisji Europejskiej, RZĄD 1]</w:t>
      </w:r>
    </w:p>
    <w:p>
      <w:pPr>
        <w:pStyle w:val="ListParagraph"/>
        <w:pStyle w:val="normalPara"/>
        <w:numPr>
          <w:ilvl w:val="0"/>
          <w:numId w:val="1"/>
        </w:numPr>
        <w:spacing w:after="80"/>
      </w:pPr>
      <w:r>
        <w:t xml:space="preserve">Kodeks cywilny — ochrona dóbr osobistych. ⚠️ [NIEWERYFIKOWANE bezpośrednio w tej turze]</w:t>
      </w:r>
    </w:p>
    <w:p>
      <w:pPr>
        <w:pStyle w:val="ListParagraph"/>
        <w:pStyle w:val="normalPara"/>
        <w:numPr>
          <w:ilvl w:val="0"/>
          <w:numId w:val="1"/>
        </w:numPr>
        <w:spacing w:after="80"/>
      </w:pPr>
      <w:r>
        <w:t xml:space="preserve">Ustawa o prawie autorskim i prawach pokrewnych — prawa wykonawcy do integralności wykonania. ⚠️ [NIEWERYFIKOWANE bezpośrednio w tej turze]</w:t>
      </w:r>
    </w:p>
    <w:p>
      <w:r>
        <w:br w:type="page"/>
      </w:r>
    </w:p>
    <w:p>
      <w:pPr>
        <w:pStyle w:val="Heading1"/>
        <w:spacing w:after="200" w:before="400"/>
      </w:pPr>
      <w:r>
        <w:t xml:space="preserve">Nota do raportu</w:t>
      </w:r>
    </w:p>
    <w:p>
      <w:pPr>
        <w:spacing w:after="160"/>
      </w:pPr>
      <w:r>
        <w:rPr>
          <w:rFonts w:ascii="Calibri" w:cs="Calibri" w:eastAsia="Calibri" w:hAnsi="Calibri"/>
          <w:b w:val="false"/>
          <w:bCs w:val="false"/>
          <w:i w:val="false"/>
          <w:iCs w:val="false"/>
          <w:sz w:val="22"/>
          <w:szCs w:val="22"/>
        </w:rPr>
        <w:t xml:space="preserve">K-01 i K-02 zostały opracowane samodzielnie w tej sesji na podstawie stanu faktycznego z banku kazusów; plik „Kazusy_arkusz_odpowiedzi_Partia5_K01–K02” dostarczony przez użytkownika posłużył wyłącznie jako wzór struktury, formatu i standardu cytowania (opracowanie innego modelu), nie jako źródło merytoryczne. Wnioski merytoryczne mogą się częściowo pokrywać, ponieważ oba opracowania stosują tę samą, rzeczywistą podstawę prawną (TFUE, rozporządzenie 2015/1589, konwencja z Aarhus, orzecznictwo TSUE, konwencja ICSID; konwencja wiedeńska, artykuły KPM, konwencja MOP nr 169, Deklaracja ONZ).</w:t>
      </w:r>
    </w:p>
    <w:p>
      <w:pPr>
        <w:spacing w:after="160"/>
      </w:pPr>
      <w:r>
        <w:rPr>
          <w:rFonts w:ascii="Calibri" w:cs="Calibri" w:eastAsia="Calibri" w:hAnsi="Calibri"/>
          <w:b w:val="false"/>
          <w:bCs w:val="false"/>
          <w:i w:val="false"/>
          <w:iCs w:val="false"/>
          <w:sz w:val="22"/>
          <w:szCs w:val="22"/>
        </w:rPr>
        <w:t xml:space="preserve">Część powołań oznaczono ⚠️ jako niezweryfikowane bezpośrednio u źródła pierwotnego w tej turze (brak dostępu do curl/EUR-Lex/ICSID/ILO/OHCHR w tym środowisku sieciowym) — są to pozycje wymagające potwierdzenia przed użyciem procesowym, nie odrzucone ustalenia.</w:t>
      </w:r>
    </w:p>
    <w:p>
      <w:pPr>
        <w:spacing w:after="160"/>
      </w:pPr>
      <w:r>
        <w:rPr>
          <w:rFonts w:ascii="Calibri" w:cs="Calibri" w:eastAsia="Calibri" w:hAnsi="Calibri"/>
          <w:b w:val="false"/>
          <w:bCs w:val="false"/>
          <w:i w:val="false"/>
          <w:iCs w:val="false"/>
          <w:sz w:val="22"/>
          <w:szCs w:val="22"/>
        </w:rPr>
        <w:t xml:space="preserve">Cały bank 14 kazusów (część międzynarodowa K-01–K-07 oraz część polska PL-01–PL-07) jest niniejszym ukończony w jednej sesji roboczej. Każdy kazus stanowi samodzielne opracowanie oparte na rzeczywistej podstawie prawnej zweryfikowanej w miarę możliwości w czasie rzeczywistym (web_search); pozycje oznaczone ⚠️ wymagają potwierdzenia bezpośrednio u źródła pierwotnego przed jakimkolwiek użyciem procesowym lub publikacją. Dokument ma charakter ćwiczeniowy — nie zastępuje opinii prawnej w konkretnej sprawie.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5395"/>
      <w:sz w:val="26"/>
      <w:szCs w:val="26"/>
    </w:rPr>
  </w:style>
  <w:style w:type="paragraph" w:styleId="Heading3">
    <w:name w:val="Heading 3"/>
    <w:basedOn w:val="Normal"/>
    <w:next w:val="Normal"/>
    <w:qFormat/>
    <w:pPr>
      <w:spacing w:after="120" w:before="25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2026-09-06T20:56:19.754Z</dcterms:created>
  <dcterms:modified xsi:type="dcterms:W3CDTF">2026-09-06T20:56:19.766Z</dcterms:modified>
</cp:coreProperties>
</file>

<file path=docProps/custom.xml><?xml version="1.0" encoding="utf-8"?>
<Properties xmlns="http://schemas.openxmlformats.org/officeDocument/2006/custom-properties" xmlns:vt="http://schemas.openxmlformats.org/officeDocument/2006/docPropsVTypes"/>
</file>