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1:</w:t>
      </w:r>
      <w:r>
        <w:t xml:space="preserve"> </w:t>
      </w:r>
      <w:r>
        <w:t xml:space="preserve">K-01</w:t>
      </w:r>
      <w:r>
        <w:t xml:space="preserve"> </w:t>
      </w:r>
      <w:r>
        <w:t xml:space="preserve">–</w:t>
      </w:r>
      <w:r>
        <w:t xml:space="preserve"> </w:t>
      </w:r>
      <w:r>
        <w:t xml:space="preserve">K-04</w:t>
      </w:r>
      <w:r>
        <w:t xml:space="preserve"> </w:t>
      </w:r>
      <w:r>
        <w:t xml:space="preserve">(część</w:t>
      </w:r>
      <w:r>
        <w:t xml:space="preserve"> </w:t>
      </w:r>
      <w:r>
        <w:t xml:space="preserve">międzynarodowa)</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Materiał źródłowy</w:t>
            </w:r>
          </w:p>
        </w:tc>
        <w:tc>
          <w:tcPr/>
          <w:p>
            <w:pPr>
              <w:pStyle w:val="Compact"/>
              <w:jc w:val="left"/>
            </w:pPr>
            <w:r>
              <w:t xml:space="preserve">Baza_kazusow_wieloaspektowych.docx (14 kazusów)</w:t>
            </w:r>
          </w:p>
        </w:tc>
      </w:tr>
      <w:tr>
        <w:tc>
          <w:tcPr/>
          <w:p>
            <w:pPr>
              <w:pStyle w:val="Compact"/>
              <w:jc w:val="left"/>
            </w:pPr>
            <w:r>
              <w:t xml:space="preserve">Zakres partii</w:t>
            </w:r>
          </w:p>
        </w:tc>
        <w:tc>
          <w:tcPr/>
          <w:p>
            <w:pPr>
              <w:pStyle w:val="Compact"/>
              <w:jc w:val="left"/>
            </w:pPr>
            <w:r>
              <w:t xml:space="preserve">K-01, K-02, K-03, K-04</w:t>
            </w:r>
          </w:p>
        </w:tc>
      </w:tr>
      <w:tr>
        <w:tc>
          <w:tcPr/>
          <w:p>
            <w:pPr>
              <w:pStyle w:val="Compact"/>
              <w:jc w:val="left"/>
            </w:pPr>
            <w:r>
              <w:t xml:space="preserve">Model</w:t>
            </w:r>
          </w:p>
        </w:tc>
        <w:tc>
          <w:tcPr/>
          <w:p>
            <w:pPr>
              <w:pStyle w:val="Compact"/>
              <w:jc w:val="left"/>
            </w:pPr>
            <w:r>
              <w:rPr>
                <w:bCs/>
                <w:b/>
              </w:rPr>
              <w:t xml:space="preserve">Claude Opus 5</w:t>
            </w:r>
            <w:r>
              <w:t xml:space="preserve"> </w:t>
            </w:r>
            <w:r>
              <w:t xml:space="preserve">(Anthropic)</w:t>
            </w:r>
          </w:p>
        </w:tc>
      </w:tr>
      <w:tr>
        <w:tc>
          <w:tcPr/>
          <w:p>
            <w:pPr>
              <w:pStyle w:val="Compact"/>
              <w:jc w:val="left"/>
            </w:pPr>
            <w:r>
              <w:t xml:space="preserve">Tryb</w:t>
            </w:r>
          </w:p>
        </w:tc>
        <w:tc>
          <w:tcPr/>
          <w:p>
            <w:pPr>
              <w:pStyle w:val="Compact"/>
              <w:jc w:val="left"/>
            </w:pPr>
            <w:r>
              <w:rPr>
                <w:bCs/>
                <w:b/>
              </w:rPr>
              <w:t xml:space="preserve">Bez skilli prawnych</w:t>
            </w:r>
            <w:r>
              <w:t xml:space="preserve"> </w:t>
            </w:r>
            <w:r>
              <w:t xml:space="preserve">— nie uruchomiono routera prawnego, skilli DR-01–DR-16, modułów walidacyjnych ani generatorów pism</w:t>
            </w:r>
          </w:p>
        </w:tc>
      </w:tr>
      <w:tr>
        <w:tc>
          <w:tcPr/>
          <w:p>
            <w:pPr>
              <w:pStyle w:val="Compact"/>
              <w:jc w:val="left"/>
            </w:pPr>
            <w:r>
              <w:t xml:space="preserve">Weryfikacja źródeł</w:t>
            </w:r>
          </w:p>
        </w:tc>
        <w:tc>
          <w:tcPr/>
          <w:p>
            <w:pPr>
              <w:pStyle w:val="Compact"/>
              <w:jc w:val="left"/>
            </w:pPr>
            <w:r>
              <w:t xml:space="preserve">Wyszukiwanie internetowe (EUR-Lex, HUDOC, ICC, materiały doktrynalne) — wykaz zweryfikowanych pozycji na końcu każdego kazusu</w:t>
            </w:r>
          </w:p>
        </w:tc>
      </w:tr>
      <w:tr>
        <w:tc>
          <w:tcPr/>
          <w:p>
            <w:pPr>
              <w:pStyle w:val="Compact"/>
              <w:jc w:val="left"/>
            </w:pPr>
            <w:r>
              <w:t xml:space="preserve">Data sporządzenia</w:t>
            </w:r>
          </w:p>
        </w:tc>
        <w:tc>
          <w:tcPr/>
          <w:p>
            <w:pPr>
              <w:pStyle w:val="Compact"/>
              <w:jc w:val="left"/>
            </w:pPr>
            <w:r>
              <w:t xml:space="preserve">2 września 2026 r.</w:t>
            </w:r>
          </w:p>
        </w:tc>
      </w:tr>
      <w:tr>
        <w:tc>
          <w:tcPr/>
          <w:p>
            <w:pPr>
              <w:pStyle w:val="Compact"/>
              <w:jc w:val="left"/>
            </w:pPr>
            <w:r>
              <w:t xml:space="preserve">Cel</w:t>
            </w:r>
          </w:p>
        </w:tc>
        <w:tc>
          <w:tcPr/>
          <w:p>
            <w:pPr>
              <w:pStyle w:val="Compact"/>
              <w:jc w:val="left"/>
            </w:pPr>
            <w:r>
              <w:t xml:space="preserve">Próba kontrolna do porównania z wersją generowaną z użyciem autorskich skilli prawnych</w:t>
            </w:r>
          </w:p>
        </w:tc>
      </w:tr>
    </w:tbl>
    <w:p>
      <w:pPr>
        <w:pStyle w:val="BodyText"/>
      </w:pPr>
      <w:r>
        <w:rPr>
          <w:bCs/>
          <w:b/>
        </w:rPr>
        <w:t xml:space="preserve">Uwaga o oznaczeniu modelu.</w:t>
      </w:r>
      <w:r>
        <w:t xml:space="preserve"> </w:t>
      </w:r>
      <w:r>
        <w:t xml:space="preserve">W zleceniu wskazano Haiku 4.5. Rozmowa faktycznie prowadzona jest na modelu Claude Opus 5 i arkusz oznaczono zgodnie ze stanem rzeczywistym. Oznaczenie niezgodne z prawdą zniekształciłoby wynik porównania.</w:t>
      </w:r>
    </w:p>
    <w:p>
      <w:pPr>
        <w:pStyle w:val="BodyText"/>
      </w:pPr>
      <w:r>
        <w:rPr>
          <w:bCs/>
          <w:b/>
        </w:rPr>
        <w:t xml:space="preserve">Zastrzeżenie metodologiczne.</w:t>
      </w:r>
      <w:r>
        <w:t xml:space="preserve"> </w:t>
      </w:r>
      <w:r>
        <w:t xml:space="preserve">Poniższe memoranda są ćwiczeniem dydaktycznym opartym wyłącznie na faktach podanych w kazusach. Nie stanowią opinii prawnej. Tam, gdzie kazus nie podaje faktu istotnego dla rozstrzygnięcia, fakt ten wskazano w rubryce braków, zamiast go dopowiadać.</w:t>
      </w:r>
    </w:p>
    <w:p>
      <w:r>
        <w:br w:type="page"/>
      </w:r>
    </w:p>
    <w:bookmarkEnd w:id="20"/>
    <w:bookmarkStart w:id="34" w:name="k-01-heliox-przeciwko-królestwu-solarii"/>
    <w:p>
      <w:pPr>
        <w:pStyle w:val="Heading1"/>
      </w:pPr>
      <w:r>
        <w:t xml:space="preserve">K-01 Heliox przeciwko Królestwu Solarii</w:t>
      </w:r>
    </w:p>
    <w:bookmarkStart w:id="21" w:name="teza-wstępna"/>
    <w:p>
      <w:pPr>
        <w:pStyle w:val="Heading2"/>
      </w:pPr>
      <w:r>
        <w:t xml:space="preserve">Teza wstępna</w:t>
      </w:r>
    </w:p>
    <w:p>
      <w:pPr>
        <w:pStyle w:val="FirstParagraph"/>
      </w:pPr>
      <w:r>
        <w:t xml:space="preserve">Rdzeniem sporu nie jest pytanie, czy Solaria naruszyła oczekiwania inwestora, lecz pytanie o</w:t>
      </w:r>
      <w:r>
        <w:t xml:space="preserve"> </w:t>
      </w:r>
      <w:r>
        <w:rPr>
          <w:bCs/>
          <w:b/>
        </w:rPr>
        <w:t xml:space="preserve">kolejność i hierarchię czterech równoległych reżimów</w:t>
      </w:r>
      <w:r>
        <w:t xml:space="preserve">: unijnego prawa pomocy państwa, unijnej ochrony praw podstawowych, międzynarodowego prawa inwestycyjnego oraz konwencyjnego reżimu udziału społeczeństwa. Rekomendowana konkluzja: (i) wyrok arbitrażowy nie jest w tej konfiguracji nieważny per se, ponieważ kazus opisuje umowę zewnętrzną Unii z państwem trzecim, a nie traktat wewnątrzunijny; (ii) mimo to jego</w:t>
      </w:r>
      <w:r>
        <w:t xml:space="preserve"> </w:t>
      </w:r>
      <w:r>
        <w:rPr>
          <w:bCs/>
          <w:b/>
        </w:rPr>
        <w:t xml:space="preserve">wykonanie</w:t>
      </w:r>
      <w:r>
        <w:t xml:space="preserve"> </w:t>
      </w:r>
      <w:r>
        <w:t xml:space="preserve">może stanowić nową pomoc państwa i podlega kontroli Komisji; (iii) krajowa ustawa nakazująca ryczałtowe odzyskanie świadczeń jest wadliwa niezależnie od losu sprawy pomocowej, bo narusza zasadę proporcjonalności i prawo do skutecznej ochrony sądowej; (iv) uchybienia konsultacyjne stwierdzone w trybie z Aarhus nie tworzą po stronie inwestora praw ani zarzutów.</w:t>
      </w:r>
    </w:p>
    <w:bookmarkEnd w:id="21"/>
    <w:bookmarkStart w:id="22" w:name="mapa-jurysdykcji-źródeł-i-kompetencji"/>
    <w:p>
      <w:pPr>
        <w:pStyle w:val="Heading2"/>
      </w:pPr>
      <w:r>
        <w:t xml:space="preserve">Mapa jurysdykcji, źródeł i kompetencji</w:t>
      </w:r>
    </w:p>
    <w:p>
      <w:pPr>
        <w:pStyle w:val="FirstParagraph"/>
      </w:pPr>
      <w:r>
        <w:rPr>
          <w:bCs/>
          <w:b/>
        </w:rPr>
        <w:t xml:space="preserve">Fora i ich kompetencje.</w:t>
      </w:r>
    </w:p>
    <w:p>
      <w:pPr>
        <w:numPr>
          <w:ilvl w:val="0"/>
          <w:numId w:val="1001"/>
        </w:numPr>
        <w:pStyle w:val="Compact"/>
      </w:pPr>
      <w:r>
        <w:rPr>
          <w:iCs/>
          <w:i/>
        </w:rPr>
        <w:t xml:space="preserve">Komisja Europejska</w:t>
      </w:r>
      <w:r>
        <w:t xml:space="preserve"> </w:t>
      </w:r>
      <w:r>
        <w:t xml:space="preserve">— wyłączna kompetencja do stwierdzenia niezgodności pomocy z rynkiem wewnętrznym (art. 107 ust. 3 TFUE) i do nakazania jej odzyskania. Postępowanie formalne jest w toku, decyzji końcowej brak.</w:t>
      </w:r>
    </w:p>
    <w:p>
      <w:pPr>
        <w:numPr>
          <w:ilvl w:val="0"/>
          <w:numId w:val="1001"/>
        </w:numPr>
        <w:pStyle w:val="Compact"/>
      </w:pPr>
      <w:r>
        <w:rPr>
          <w:iCs/>
          <w:i/>
        </w:rPr>
        <w:t xml:space="preserve">Sąd krajowy Solarii</w:t>
      </w:r>
      <w:r>
        <w:t xml:space="preserve"> </w:t>
      </w:r>
      <w:r>
        <w:t xml:space="preserve">— nie ocenia zgodności pomocy z rynkiem wewnętrznym, ale ma własną, autonomiczną kompetencję do ochrony bezpośrednio skutecznego zakazu wprowadzania pomocy przed decyzją Komisji (art. 108 ust. 3 zdanie ostatnie TFUE). Może też badać legalność krajowej ustawy odzyskowej w świetle prawa krajowego i — w zakresie stosowania prawa Unii — Karty praw podstawowych (art. 51 ust. 1 KPP).</w:t>
      </w:r>
    </w:p>
    <w:p>
      <w:pPr>
        <w:numPr>
          <w:ilvl w:val="0"/>
          <w:numId w:val="1001"/>
        </w:numPr>
        <w:pStyle w:val="Compact"/>
      </w:pPr>
      <w:r>
        <w:rPr>
          <w:iCs/>
          <w:i/>
        </w:rPr>
        <w:t xml:space="preserve">Trybunał Sprawiedliwości</w:t>
      </w:r>
      <w:r>
        <w:t xml:space="preserve"> </w:t>
      </w:r>
      <w:r>
        <w:t xml:space="preserve">— w trybie prejudycjalnym (art. 267 TFUE) na pytania sądu najwyższego Solarii; równolegle Sąd UE rozpoznaje skargę o stwierdzenie nieważności decyzji Komisji (art. 263 TFUE).</w:t>
      </w:r>
    </w:p>
    <w:p>
      <w:pPr>
        <w:numPr>
          <w:ilvl w:val="0"/>
          <w:numId w:val="1001"/>
        </w:numPr>
        <w:pStyle w:val="Compact"/>
      </w:pPr>
      <w:r>
        <w:rPr>
          <w:iCs/>
          <w:i/>
        </w:rPr>
        <w:t xml:space="preserve">Trybunał arbitrażowy</w:t>
      </w:r>
      <w:r>
        <w:t xml:space="preserve"> </w:t>
      </w:r>
      <w:r>
        <w:t xml:space="preserve">— wyrok już wydany; spór przenosi się na etap uznania i wykonania.</w:t>
      </w:r>
    </w:p>
    <w:p>
      <w:pPr>
        <w:numPr>
          <w:ilvl w:val="0"/>
          <w:numId w:val="1001"/>
        </w:numPr>
        <w:pStyle w:val="Compact"/>
      </w:pPr>
      <w:r>
        <w:rPr>
          <w:iCs/>
          <w:i/>
        </w:rPr>
        <w:t xml:space="preserve">Sądy egzekucyjne państw trzecich</w:t>
      </w:r>
      <w:r>
        <w:t xml:space="preserve"> </w:t>
      </w:r>
      <w:r>
        <w:t xml:space="preserve">— stosują własne prawo egzekucyjne oraz reżim uznawania wyroków, w tym immunitet egzekucyjny państwa.</w:t>
      </w:r>
    </w:p>
    <w:p>
      <w:pPr>
        <w:pStyle w:val="FirstParagraph"/>
      </w:pPr>
      <w:r>
        <w:rPr>
          <w:bCs/>
          <w:b/>
        </w:rPr>
        <w:t xml:space="preserve">Kluczowa kwalifikacja traktatu.</w:t>
      </w:r>
      <w:r>
        <w:t xml:space="preserve"> </w:t>
      </w:r>
      <w:r>
        <w:t xml:space="preserve">Kazus wskazuje, że arbitraż oparto na umowie zawartej przez Unię i jej państwa członkowskie z państwem pochodzenia inwestora, a inwestor pochodzi z państwa trzeciego. To</w:t>
      </w:r>
      <w:r>
        <w:t xml:space="preserve"> </w:t>
      </w:r>
      <w:r>
        <w:rPr>
          <w:bCs/>
          <w:b/>
        </w:rPr>
        <w:t xml:space="preserve">umowa mieszana zewnętrzna</w:t>
      </w:r>
      <w:r>
        <w:t xml:space="preserve">, nie traktat wewnątrzunijny. Rozróżnienie jest rozstrzygające. Linia orzecznicza uznająca klauzule arbitrażowe za niezgodne z autonomią prawa Unii dotyczy sporów wewnątrzunijnych — potwierdzono ją w sprawie Micula, gdzie Trybunał stwierdził, że zgoda państwa członkowskiego na arbitraż inwestycyjny udzielona przed akcesją traci moc prawną po akcesji. Natomiast w Opinii 1/17 Trybunał uznał system sądów inwestycyjnych przewidziany w umowie Unii z państwem trzecim (CETA) za zgodny z prawem pierwotnym Unii. Trybunał potwierdził przy tym, że koncepcja wzajemnego zaufania nie znajduje zastosowania w stosunkach zewnętrznych Unii, a wzajemny charakter umów unijnych co do zasady uzasadnia tworzenie międzynarodowych mechanizmów rozstrzygania sporów. Automatyczne przeniesienie logiki spraw wewnątrzunijnych na tę konfigurację byłoby błędem metodologicznym Komisji.</w:t>
      </w:r>
    </w:p>
    <w:bookmarkEnd w:id="22"/>
    <w:bookmarkStart w:id="29" w:name="analiza-materialna-według-zagadnień"/>
    <w:p>
      <w:pPr>
        <w:pStyle w:val="Heading2"/>
      </w:pPr>
      <w:r>
        <w:t xml:space="preserve">Analiza materialna według zagadnień</w:t>
      </w:r>
    </w:p>
    <w:bookmarkStart w:id="23" w:name="X0239e9f2c97372fa947e2f2d913ad2d0c02130f"/>
    <w:p>
      <w:pPr>
        <w:pStyle w:val="Heading3"/>
      </w:pPr>
      <w:r>
        <w:t xml:space="preserve">Zagadnienie 1: skutek wadliwej partycypacji społecznej</w:t>
      </w:r>
    </w:p>
    <w:p>
      <w:pPr>
        <w:pStyle w:val="FirstParagraph"/>
      </w:pPr>
      <w:r>
        <w:t xml:space="preserve">Przesłanki zarzutu opartego na konwencji z Aarhus: (a) akt należy do kategorii objętej obowiązkiem partycypacyjnym; (b) obowiązek został naruszony; (c) podmiot powołujący się na naruszenie mieści się w chronionym kręgu; (d) prawo krajowe przewiduje sankcję za naruszenie.</w:t>
      </w:r>
    </w:p>
    <w:p>
      <w:pPr>
        <w:pStyle w:val="BodyText"/>
      </w:pPr>
      <w:r>
        <w:t xml:space="preserve">Ustawa wprowadzająca program wsparcia jest aktem generalnym. Reżim partycypacyjny dla aktów wykonawczych i normatywnych jest wyraźnie słabszy niż dla decyzji dotyczących konkretnych przedsięwzięć — nakłada obowiązek starania się o udział, nie zaś rygorystyczną procedurę. Ustalenia komitetu ds. przestrzegania konwencji mają charakter niewiążący; są autorytatywną wykładnią, nie orzeczeniem.</w:t>
      </w:r>
    </w:p>
    <w:p>
      <w:pPr>
        <w:pStyle w:val="BodyText"/>
      </w:pPr>
      <w:r>
        <w:t xml:space="preserve">Rozstrzygające jest jednak kryterium (c). Konwencja chroni</w:t>
      </w:r>
      <w:r>
        <w:t xml:space="preserve"> </w:t>
      </w:r>
      <w:r>
        <w:rPr>
          <w:bCs/>
          <w:b/>
        </w:rPr>
        <w:t xml:space="preserve">publiczność i organizacje ekologiczne</w:t>
      </w:r>
      <w:r>
        <w:t xml:space="preserve">, nie inwestorów. Heliox nie może budować na tych ustaleniach żadnego roszczenia. Odwrotny kierunek jest teoretycznie możliwy: uchybienia partycypacyjne mogą osłabiać argument Heliox o „stabilnym i przewidywalnym otoczeniu regulacyjnym”, skoro program od początku obarczony był wadą proceduralną znaną w debacie publicznej. Kazus wyraźnie podaje, że doradcy inwestora znali zarzuty organizacji ekologicznych — to fakt obciążający jego staranność, a nie państwo.</w:t>
      </w:r>
    </w:p>
    <w:p>
      <w:pPr>
        <w:pStyle w:val="BodyText"/>
      </w:pPr>
      <w:r>
        <w:t xml:space="preserve">Wniosek: wadliwość konsultacji nie unieważnia certyfikatów ani nie stanowi samodzielnej podstawy odzyskania. Może natomiast wpływać na ocenę rozsądności oczekiwań inwestora.</w:t>
      </w:r>
    </w:p>
    <w:bookmarkEnd w:id="23"/>
    <w:bookmarkStart w:id="24" w:name="X2401e2729ca158963aa7de404774cec6c932099"/>
    <w:p>
      <w:pPr>
        <w:pStyle w:val="Heading3"/>
      </w:pPr>
      <w:r>
        <w:t xml:space="preserve">Zagadnienie 2: kto i kiedy stwierdza istnienie pomocy</w:t>
      </w:r>
    </w:p>
    <w:p>
      <w:pPr>
        <w:pStyle w:val="FirstParagraph"/>
      </w:pPr>
      <w:r>
        <w:t xml:space="preserve">Rozdzielenie kompetencji jest ostre. Sąd krajowy może samodzielnie ustalić, że środek</w:t>
      </w:r>
      <w:r>
        <w:t xml:space="preserve"> </w:t>
      </w:r>
      <w:r>
        <w:rPr>
          <w:bCs/>
          <w:b/>
        </w:rPr>
        <w:t xml:space="preserve">jest</w:t>
      </w:r>
      <w:r>
        <w:t xml:space="preserve"> </w:t>
      </w:r>
      <w:r>
        <w:t xml:space="preserve">pomocą, bo to przesłanka stosowania obowiązku zawieszenia; nie może natomiast orzec, że pomoc jest</w:t>
      </w:r>
      <w:r>
        <w:t xml:space="preserve"> </w:t>
      </w:r>
      <w:r>
        <w:rPr>
          <w:bCs/>
          <w:b/>
        </w:rPr>
        <w:t xml:space="preserve">zgodna</w:t>
      </w:r>
      <w:r>
        <w:t xml:space="preserve"> </w:t>
      </w:r>
      <w:r>
        <w:t xml:space="preserve">z rynkiem wewnętrznym. Opinia ministerstwa, według której program nie stanowił pomocy, jest prawnie bezskuteczna — kompetencja należy do Komisji, a stanowisko organu krajowego nie może jej zastąpić.</w:t>
      </w:r>
    </w:p>
    <w:p>
      <w:pPr>
        <w:pStyle w:val="BodyText"/>
      </w:pPr>
      <w:r>
        <w:t xml:space="preserve">Ma to bezpośrednie przełożenie na uzasadnione oczekiwania. Oczekiwanie chronione w prawie Unii musi pochodzić od organu władnego udzielić zapewnienia. Publiczna opinia ministerstwa krajowego tego warunku nie spełnia. Certyfikaty imienne wydane przez organ administracyjny są argumentem mocniejszym, ale ich siła zależy od tego, czy program został zgłoszony Komisji — kazus tego nie rozstrzyga i jest to pierwszy brak faktyczny o znaczeniu rozstrzygającym.</w:t>
      </w:r>
    </w:p>
    <w:bookmarkEnd w:id="24"/>
    <w:bookmarkStart w:id="25" w:name="X1fa105694bb19d32b8b3b571979e4926571b951"/>
    <w:p>
      <w:pPr>
        <w:pStyle w:val="Heading3"/>
      </w:pPr>
      <w:r>
        <w:t xml:space="preserve">Zagadnienie 3: uzasadnione oczekiwania a zakaz utrwalania bezprawnej korzyści</w:t>
      </w:r>
    </w:p>
    <w:p>
      <w:pPr>
        <w:pStyle w:val="FirstParagraph"/>
      </w:pPr>
      <w:r>
        <w:t xml:space="preserve">Test praktyczny obejmuje cztery elementy: konkretne i bezwarunkowe zapewnienie; pochodzące od uprawnionego organu; wywołujące rozsądne oczekiwanie u ostrożnego przedsiębiorcy; nieprzeważone nadrzędnym interesem publicznym.</w:t>
      </w:r>
    </w:p>
    <w:p>
      <w:pPr>
        <w:pStyle w:val="BodyText"/>
      </w:pPr>
      <w:r>
        <w:t xml:space="preserve">Argumentacja Heliox jest najsilniejsza przy elemencie pierwszym (certyfikaty imienne, na cały okres wsparcia — to nie ogólna deklaracja polityczna). Jest najsłabsza przy elemencie trzecim: ostrożny inwestor działający w Unii wie, że wsparcie sektorowe może stanowić pomoc państwa i wymaga notyfikacji. Znajomość zarzutów ekologicznych i sporu o kwalifikację programu podnosi wymagany standard staranności.</w:t>
      </w:r>
    </w:p>
    <w:bookmarkEnd w:id="25"/>
    <w:bookmarkStart w:id="26" w:name="X6777522bf61f27567237e5d069cc8eb07a961f0"/>
    <w:p>
      <w:pPr>
        <w:pStyle w:val="Heading3"/>
      </w:pPr>
      <w:r>
        <w:t xml:space="preserve">Zagadnienie 4: wykonanie wyroku arbitrażowego a prawo Unii</w:t>
      </w:r>
    </w:p>
    <w:p>
      <w:pPr>
        <w:pStyle w:val="FirstParagraph"/>
      </w:pPr>
      <w:r>
        <w:t xml:space="preserve">Tu leży najtrudniejszy węzeł kazusu. Należy rozdzielić trzy pytania, które strony konsekwentnie mieszają.</w:t>
      </w:r>
    </w:p>
    <w:p>
      <w:pPr>
        <w:pStyle w:val="BodyText"/>
      </w:pPr>
      <w:r>
        <w:rPr>
          <w:iCs/>
          <w:i/>
        </w:rPr>
        <w:t xml:space="preserve">Pytanie o ważność podstawy arbitrażu.</w:t>
      </w:r>
      <w:r>
        <w:t xml:space="preserve"> </w:t>
      </w:r>
      <w:r>
        <w:t xml:space="preserve">Skoro traktat jest umową zewnętrzną, zarzut niezgodności samego mechanizmu z autonomią prawa Unii jest słaby. Opinia 1/17 wskazuje warunki: trybunał nie może interpretować ani stosować prawa Unii jako prawa właściwego i nie może wiązać instytucji unijnych wykładnią. Jeżeli trybunał w niniejszej sprawie ograniczył się do standardu traktatowego, warunek zachowano.</w:t>
      </w:r>
    </w:p>
    <w:p>
      <w:pPr>
        <w:pStyle w:val="BodyText"/>
      </w:pPr>
      <w:r>
        <w:rPr>
          <w:iCs/>
          <w:i/>
        </w:rPr>
        <w:t xml:space="preserve">Pytanie o kwalifikację wypłaty.</w:t>
      </w:r>
      <w:r>
        <w:t xml:space="preserve"> </w:t>
      </w:r>
      <w:r>
        <w:t xml:space="preserve">Odpowiedź płynie z Micula. Trybunał uznał tam, że momentem miarodajnym jest data przyznania prawa do odszkodowania, i na tej podstawie przywrócił kompetencję Komisji do zbadania pomocy. Przenosząc mechanizm: jeżeli wyrok arbitrażowy odtwarza korzyść odpowiadającą świadczeniom, których odzyskanie nakazano, wypłata jest</w:t>
      </w:r>
      <w:r>
        <w:t xml:space="preserve"> </w:t>
      </w:r>
      <w:r>
        <w:rPr>
          <w:bCs/>
          <w:b/>
        </w:rPr>
        <w:t xml:space="preserve">nowym środkiem</w:t>
      </w:r>
      <w:r>
        <w:t xml:space="preserve"> </w:t>
      </w:r>
      <w:r>
        <w:t xml:space="preserve">ocenianym samodzielnie. Nie jest to podważenie wyroku, lecz kwalifikacja jego skutku ekonomicznego. Argument ten jest niezależny od statusu traktatu — działa również przy umowie zewnętrznej, bo kwalifikacja dotyczy zachowania państwa członkowskiego, nie ważności klauzuli.</w:t>
      </w:r>
    </w:p>
    <w:p>
      <w:pPr>
        <w:pStyle w:val="BodyText"/>
      </w:pPr>
      <w:r>
        <w:rPr>
          <w:iCs/>
          <w:i/>
        </w:rPr>
        <w:t xml:space="preserve">Pytanie o obowiązek uznania i wykonania.</w:t>
      </w:r>
      <w:r>
        <w:t xml:space="preserve"> </w:t>
      </w:r>
      <w:r>
        <w:t xml:space="preserve">Reżim ICSID przewiduje wykonanie bez rewizji merytorycznej, ale wykonanie następuje według prawa państwa wykonania, z zachowaniem immunitetu egzekucyjnego. Powstaje kolizja zobowiązań: traktatowego i unijnego. Reguła chroniąca umowy zawarte przed przystąpieniem do Unii nie ma zastosowania, jeżeli umowę zawarto po akcesji — kazus tego nie precyzuje i jest to drugi brak rozstrzygający. Sąd krajowy Solarii nie może odmówić uznania wyroku z powołaniem się na własną ocenę merytoryczną, ale może i powinien wstrzymać</w:t>
      </w:r>
      <w:r>
        <w:t xml:space="preserve"> </w:t>
      </w:r>
      <w:r>
        <w:rPr>
          <w:bCs/>
          <w:b/>
        </w:rPr>
        <w:t xml:space="preserve">wypłatę</w:t>
      </w:r>
      <w:r>
        <w:t xml:space="preserve"> </w:t>
      </w:r>
      <w:r>
        <w:t xml:space="preserve">do czasu rozstrzygnięcia sprawy pomocowej, bo to obowiązek wynikający z zakazu wprowadzania pomocy.</w:t>
      </w:r>
    </w:p>
    <w:bookmarkEnd w:id="26"/>
    <w:bookmarkStart w:id="27" w:name="zagadnienie-5-ryczałtowe-odzyskanie"/>
    <w:p>
      <w:pPr>
        <w:pStyle w:val="Heading3"/>
      </w:pPr>
      <w:r>
        <w:t xml:space="preserve">Zagadnienie 5: ryczałtowe odzyskanie</w:t>
      </w:r>
    </w:p>
    <w:p>
      <w:pPr>
        <w:pStyle w:val="FirstParagraph"/>
      </w:pPr>
      <w:r>
        <w:t xml:space="preserve">Odzyskanie pomocy ma cel restytucyjny: przywrócenie stanu sprzed przyznania korzyści. Kwota musi zatem odpowiadać</w:t>
      </w:r>
      <w:r>
        <w:t xml:space="preserve"> </w:t>
      </w:r>
      <w:r>
        <w:rPr>
          <w:bCs/>
          <w:b/>
        </w:rPr>
        <w:t xml:space="preserve">rzeczywistej korzyści</w:t>
      </w:r>
      <w:r>
        <w:t xml:space="preserve"> </w:t>
      </w:r>
      <w:r>
        <w:t xml:space="preserve">beneficjenta powiększonej o odsetki. Metoda ryczałtowa oparta wyłącznie na mocy zainstalowanej nie mierzy korzyści — mierzy parametr techniczny instalacji. Instalacja o tej samej mocy mogła otrzymać różne kwoty wsparcia w zależności od produkcji, cen i okresu.</w:t>
      </w:r>
    </w:p>
    <w:p>
      <w:pPr>
        <w:pStyle w:val="BodyText"/>
      </w:pPr>
      <w:r>
        <w:t xml:space="preserve">Wady: naruszenie proporcjonalności (środek nieadekwatny do celu), naruszenie równego traktowania (identyczne obciążenie podmiotów w różnej sytuacji), naruszenie prawa do skutecznego środka prawnego, jeśli ustawa nie przewiduje możliwości wykazania rzeczywistej korzyści.</w:t>
      </w:r>
    </w:p>
    <w:p>
      <w:pPr>
        <w:pStyle w:val="BodyText"/>
      </w:pPr>
      <w:r>
        <w:t xml:space="preserve">Zastrzeżenie kompetencyjne: Karta wiąże państwa członkowskie tylko w zakresie stosowania prawa Unii. Jeżeli Solaria działa autonomicznie, przed decyzją Komisji i bez unijnego obowiązku, powstaje pytanie o zastosowanie Karty. Argument za jej stosowaniem: ustawa realizuje obowiązek wynikający z zakazu wprowadzania pomocy, a więc mieści się w zakresie prawa Unii.</w:t>
      </w:r>
    </w:p>
    <w:bookmarkEnd w:id="27"/>
    <w:bookmarkStart w:id="28" w:name="X0c4232206744e5a60a7c4e43931b07383db901b"/>
    <w:p>
      <w:pPr>
        <w:pStyle w:val="Heading3"/>
      </w:pPr>
      <w:r>
        <w:t xml:space="preserve">Zagadnienie 6: sekwencja postępowań i środki tymczasowe</w:t>
      </w:r>
    </w:p>
    <w:p>
      <w:pPr>
        <w:pStyle w:val="FirstParagraph"/>
      </w:pPr>
      <w:r>
        <w:t xml:space="preserve">Ryzykiem systemowym jest wydanie sprzecznych rozstrzygnięć przez cztery organy. Proponowana kolejność:</w:t>
      </w:r>
    </w:p>
    <w:p>
      <w:pPr>
        <w:numPr>
          <w:ilvl w:val="0"/>
          <w:numId w:val="1002"/>
        </w:numPr>
        <w:pStyle w:val="Compact"/>
      </w:pPr>
      <w:r>
        <w:t xml:space="preserve">sąd krajowy zawiesza postępowanie do czasu orzeczenia prejudycjalnego, jednocześnie stosując zabezpieczenie: nakazuje wpłatę spornych kwot na rachunek zablokowany zamiast definitywnego zwrotu do budżetu;</w:t>
      </w:r>
    </w:p>
    <w:p>
      <w:pPr>
        <w:numPr>
          <w:ilvl w:val="0"/>
          <w:numId w:val="1002"/>
        </w:numPr>
        <w:pStyle w:val="Compact"/>
      </w:pPr>
      <w:r>
        <w:t xml:space="preserve">postępowanie o nieważność decyzji Komisji nie wstrzymuje jej wykonania z mocy prawa — potrzebny odrębny wniosek o zawieszenie;</w:t>
      </w:r>
    </w:p>
    <w:p>
      <w:pPr>
        <w:numPr>
          <w:ilvl w:val="0"/>
          <w:numId w:val="1002"/>
        </w:numPr>
        <w:pStyle w:val="Compact"/>
      </w:pPr>
      <w:r>
        <w:t xml:space="preserve">sądy egzekucyjne państw trzecich pozostają poza tą koordynacją; jedynym realnym instrumentem jest immunitet egzekucyjny majątku przeznaczonego na cele publiczne.</w:t>
      </w:r>
    </w:p>
    <w:bookmarkEnd w:id="28"/>
    <w:bookmarkEnd w:id="29"/>
    <w:bookmarkStart w:id="30"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Najsilniejszy argument Heliox</w:t>
            </w:r>
          </w:p>
        </w:tc>
        <w:tc>
          <w:tcPr/>
          <w:p>
            <w:pPr>
              <w:pStyle w:val="Compact"/>
              <w:jc w:val="left"/>
            </w:pPr>
            <w:r>
              <w:t xml:space="preserve">Odpowiedź Solarii / Komisji</w:t>
            </w:r>
          </w:p>
        </w:tc>
      </w:tr>
      <w:tr>
        <w:tc>
          <w:tcPr/>
          <w:p>
            <w:pPr>
              <w:pStyle w:val="Compact"/>
              <w:jc w:val="left"/>
            </w:pPr>
            <w:r>
              <w:t xml:space="preserve">Podstawa arbitrażu</w:t>
            </w:r>
          </w:p>
        </w:tc>
        <w:tc>
          <w:tcPr/>
          <w:p>
            <w:pPr>
              <w:pStyle w:val="Compact"/>
              <w:jc w:val="left"/>
            </w:pPr>
            <w:r>
              <w:t xml:space="preserve">Umowa zewnętrzna Unii z państwem trzecim; Opinia 1/17 potwierdza zgodność takiego mechanizmu z autonomią prawa Unii</w:t>
            </w:r>
          </w:p>
        </w:tc>
        <w:tc>
          <w:tcPr/>
          <w:p>
            <w:pPr>
              <w:pStyle w:val="Compact"/>
              <w:jc w:val="left"/>
            </w:pPr>
            <w:r>
              <w:t xml:space="preserve">Zgodność mechanizmu nie przesądza o dopuszczalności skutku; jeżeli trybunał w istocie oceniał prawo Unii jako prawo właściwe, warunki Opinii 1/17 nie zostały spełnione</w:t>
            </w:r>
          </w:p>
        </w:tc>
      </w:tr>
      <w:tr>
        <w:tc>
          <w:tcPr/>
          <w:p>
            <w:pPr>
              <w:pStyle w:val="Compact"/>
              <w:jc w:val="left"/>
            </w:pPr>
            <w:r>
              <w:t xml:space="preserve">Kwalifikacja wypłaty</w:t>
            </w:r>
          </w:p>
        </w:tc>
        <w:tc>
          <w:tcPr/>
          <w:p>
            <w:pPr>
              <w:pStyle w:val="Compact"/>
              <w:jc w:val="left"/>
            </w:pPr>
            <w:r>
              <w:t xml:space="preserve">Wypłata to wykonanie zobowiązania międzynarodowego, nie przyznanie korzyści</w:t>
            </w:r>
          </w:p>
        </w:tc>
        <w:tc>
          <w:tcPr/>
          <w:p>
            <w:pPr>
              <w:pStyle w:val="Compact"/>
              <w:jc w:val="left"/>
            </w:pPr>
            <w:r>
              <w:t xml:space="preserve">Micula: liczy się data przyznania prawa do odszkodowania; odtworzenie cofniętej korzyści jest nowym środkiem podlegającym kontroli</w:t>
            </w:r>
          </w:p>
        </w:tc>
      </w:tr>
      <w:tr>
        <w:tc>
          <w:tcPr/>
          <w:p>
            <w:pPr>
              <w:pStyle w:val="Compact"/>
              <w:jc w:val="left"/>
            </w:pPr>
            <w:r>
              <w:t xml:space="preserve">Uzasadnione oczekiwania</w:t>
            </w:r>
          </w:p>
        </w:tc>
        <w:tc>
          <w:tcPr/>
          <w:p>
            <w:pPr>
              <w:pStyle w:val="Compact"/>
              <w:jc w:val="left"/>
            </w:pPr>
            <w:r>
              <w:t xml:space="preserve">Imienne certyfikaty na cały okres wsparcia to zapewnienie konkretne i indywidualne</w:t>
            </w:r>
          </w:p>
        </w:tc>
        <w:tc>
          <w:tcPr/>
          <w:p>
            <w:pPr>
              <w:pStyle w:val="Compact"/>
              <w:jc w:val="left"/>
            </w:pPr>
            <w:r>
              <w:t xml:space="preserve">Zapewnienie pochodzi od organu krajowego niewładnego przesądzać o kwalifikacji pomocowej; inwestor znał spór o program</w:t>
            </w:r>
          </w:p>
        </w:tc>
      </w:tr>
      <w:tr>
        <w:tc>
          <w:tcPr/>
          <w:p>
            <w:pPr>
              <w:pStyle w:val="Compact"/>
              <w:jc w:val="left"/>
            </w:pPr>
            <w:r>
              <w:t xml:space="preserve">Metoda odzyskania</w:t>
            </w:r>
          </w:p>
        </w:tc>
        <w:tc>
          <w:tcPr/>
          <w:p>
            <w:pPr>
              <w:pStyle w:val="Compact"/>
              <w:jc w:val="left"/>
            </w:pPr>
            <w:r>
              <w:t xml:space="preserve">Ryczałt wg mocy nie mierzy rzeczywistej korzyści; narusza proporcjonalność i art. 47 KPP</w:t>
            </w:r>
          </w:p>
        </w:tc>
        <w:tc>
          <w:tcPr/>
          <w:p>
            <w:pPr>
              <w:pStyle w:val="Compact"/>
              <w:jc w:val="left"/>
            </w:pPr>
            <w:r>
              <w:t xml:space="preserve">Ryczałt służy skuteczności i szybkości odzyskania przy dużej liczbie beneficjentów; skuteczność prawa Unii przemawia za uproszczeniem</w:t>
            </w:r>
          </w:p>
        </w:tc>
      </w:tr>
      <w:tr>
        <w:tc>
          <w:tcPr/>
          <w:p>
            <w:pPr>
              <w:pStyle w:val="Compact"/>
              <w:jc w:val="left"/>
            </w:pPr>
            <w:r>
              <w:t xml:space="preserve">Aarhus</w:t>
            </w:r>
          </w:p>
        </w:tc>
        <w:tc>
          <w:tcPr/>
          <w:p>
            <w:pPr>
              <w:pStyle w:val="Compact"/>
              <w:jc w:val="left"/>
            </w:pPr>
            <w:r>
              <w:t xml:space="preserve">Wadliwość konsultacji podważa legalność całego programu — także jego cofnięcia</w:t>
            </w:r>
          </w:p>
        </w:tc>
        <w:tc>
          <w:tcPr/>
          <w:p>
            <w:pPr>
              <w:pStyle w:val="Compact"/>
              <w:jc w:val="left"/>
            </w:pPr>
            <w:r>
              <w:t xml:space="preserve">Konwencja chroni publiczność, nie inwestora; ustalenia komitetu są niewiążące; reżim dla aktów normatywnych jest słabszy</w:t>
            </w:r>
          </w:p>
        </w:tc>
      </w:tr>
      <w:tr>
        <w:tc>
          <w:tcPr/>
          <w:p>
            <w:pPr>
              <w:pStyle w:val="Compact"/>
              <w:jc w:val="left"/>
            </w:pPr>
            <w:r>
              <w:t xml:space="preserve">Wykonanie w państwach trzecich</w:t>
            </w:r>
          </w:p>
        </w:tc>
        <w:tc>
          <w:tcPr/>
          <w:p>
            <w:pPr>
              <w:pStyle w:val="Compact"/>
              <w:jc w:val="left"/>
            </w:pPr>
            <w:r>
              <w:t xml:space="preserve">Reżim ICSID wyklucza rewizję merytoryczną</w:t>
            </w:r>
          </w:p>
        </w:tc>
        <w:tc>
          <w:tcPr/>
          <w:p>
            <w:pPr>
              <w:pStyle w:val="Compact"/>
              <w:jc w:val="left"/>
            </w:pPr>
            <w:r>
              <w:t xml:space="preserve">Wykonanie podlega prawu państwa wykonania; immunitet egzekucyjny; obowiązki unijne wiążą organy Solarii niezależnie od forum</w:t>
            </w:r>
          </w:p>
        </w:tc>
      </w:tr>
    </w:tbl>
    <w:bookmarkEnd w:id="30"/>
    <w:bookmarkStart w:id="31"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Czy program zgłoszono Komisji</w:t>
            </w:r>
          </w:p>
        </w:tc>
        <w:tc>
          <w:tcPr/>
          <w:p>
            <w:pPr>
              <w:pStyle w:val="Compact"/>
              <w:jc w:val="left"/>
            </w:pPr>
            <w:r>
              <w:t xml:space="preserve">Przesądza o istnieniu bezprawności proceduralnej i o sile zarzutu oczekiwań</w:t>
            </w:r>
          </w:p>
        </w:tc>
        <w:tc>
          <w:tcPr/>
          <w:p>
            <w:pPr>
              <w:pStyle w:val="Compact"/>
              <w:jc w:val="left"/>
            </w:pPr>
            <w:r>
              <w:t xml:space="preserve">Zgłoszenie i korespondencja notyfikacyjna</w:t>
            </w:r>
          </w:p>
        </w:tc>
      </w:tr>
      <w:tr>
        <w:tc>
          <w:tcPr/>
          <w:p>
            <w:pPr>
              <w:pStyle w:val="Compact"/>
              <w:jc w:val="left"/>
            </w:pPr>
            <w:r>
              <w:t xml:space="preserve">Data zawarcia umowy inwestycyjnej wobec daty akcesji Solarii</w:t>
            </w:r>
          </w:p>
        </w:tc>
        <w:tc>
          <w:tcPr/>
          <w:p>
            <w:pPr>
              <w:pStyle w:val="Compact"/>
              <w:jc w:val="left"/>
            </w:pPr>
            <w:r>
              <w:t xml:space="preserve">Decyduje o zastosowaniu reguły chroniącej umowy wcześniejsze</w:t>
            </w:r>
          </w:p>
        </w:tc>
        <w:tc>
          <w:tcPr/>
          <w:p>
            <w:pPr>
              <w:pStyle w:val="Compact"/>
              <w:jc w:val="left"/>
            </w:pPr>
            <w:r>
              <w:t xml:space="preserve">Tekst umowy z datą podpisania i wejścia w życie</w:t>
            </w:r>
          </w:p>
        </w:tc>
      </w:tr>
      <w:tr>
        <w:tc>
          <w:tcPr/>
          <w:p>
            <w:pPr>
              <w:pStyle w:val="Compact"/>
              <w:jc w:val="left"/>
            </w:pPr>
            <w:r>
              <w:t xml:space="preserve">Prawo właściwe zastosowane przez trybunał arbitrażowy</w:t>
            </w:r>
          </w:p>
        </w:tc>
        <w:tc>
          <w:tcPr/>
          <w:p>
            <w:pPr>
              <w:pStyle w:val="Compact"/>
              <w:jc w:val="left"/>
            </w:pPr>
            <w:r>
              <w:t xml:space="preserve">Test z Opinii 1/17 — czy trybunał interpretował prawo Unii</w:t>
            </w:r>
          </w:p>
        </w:tc>
        <w:tc>
          <w:tcPr/>
          <w:p>
            <w:pPr>
              <w:pStyle w:val="Compact"/>
              <w:jc w:val="left"/>
            </w:pPr>
            <w:r>
              <w:t xml:space="preserve">Sentencja i uzasadnienie wyroku arbitrażowego</w:t>
            </w:r>
          </w:p>
        </w:tc>
      </w:tr>
      <w:tr>
        <w:tc>
          <w:tcPr/>
          <w:p>
            <w:pPr>
              <w:pStyle w:val="Compact"/>
              <w:jc w:val="left"/>
            </w:pPr>
            <w:r>
              <w:t xml:space="preserve">Rzeczywista korzyść każdej instalacji</w:t>
            </w:r>
          </w:p>
        </w:tc>
        <w:tc>
          <w:tcPr/>
          <w:p>
            <w:pPr>
              <w:pStyle w:val="Compact"/>
              <w:jc w:val="left"/>
            </w:pPr>
            <w:r>
              <w:t xml:space="preserve">Bez tego nie da się ocenić proporcjonalności ryczałtu</w:t>
            </w:r>
          </w:p>
        </w:tc>
        <w:tc>
          <w:tcPr/>
          <w:p>
            <w:pPr>
              <w:pStyle w:val="Compact"/>
              <w:jc w:val="left"/>
            </w:pPr>
            <w:r>
              <w:t xml:space="preserve">Dane produkcyjne i rozliczenia taryfowe per projekt</w:t>
            </w:r>
          </w:p>
        </w:tc>
      </w:tr>
      <w:tr>
        <w:tc>
          <w:tcPr/>
          <w:p>
            <w:pPr>
              <w:pStyle w:val="Compact"/>
              <w:jc w:val="left"/>
            </w:pPr>
            <w:r>
              <w:t xml:space="preserve">Treść certyfikatów: czy zawierają zastrzeżenie zmiany prawa</w:t>
            </w:r>
          </w:p>
        </w:tc>
        <w:tc>
          <w:tcPr/>
          <w:p>
            <w:pPr>
              <w:pStyle w:val="Compact"/>
              <w:jc w:val="left"/>
            </w:pPr>
            <w:r>
              <w:t xml:space="preserve">Klauzula zmiany niweczy zarzut naruszenia stabilizacji</w:t>
            </w:r>
          </w:p>
        </w:tc>
        <w:tc>
          <w:tcPr/>
          <w:p>
            <w:pPr>
              <w:pStyle w:val="Compact"/>
              <w:jc w:val="left"/>
            </w:pPr>
            <w:r>
              <w:t xml:space="preserve">Egzemplarze certyfikatów</w:t>
            </w:r>
          </w:p>
        </w:tc>
      </w:tr>
      <w:tr>
        <w:tc>
          <w:tcPr/>
          <w:p>
            <w:pPr>
              <w:pStyle w:val="Compact"/>
              <w:jc w:val="left"/>
            </w:pPr>
            <w:r>
              <w:t xml:space="preserve">Czy Komisja wydała nakaz zawieszenia</w:t>
            </w:r>
          </w:p>
        </w:tc>
        <w:tc>
          <w:tcPr/>
          <w:p>
            <w:pPr>
              <w:pStyle w:val="Compact"/>
              <w:jc w:val="left"/>
            </w:pPr>
            <w:r>
              <w:t xml:space="preserve">Wpływa na obowiązki sądu krajowego</w:t>
            </w:r>
          </w:p>
        </w:tc>
        <w:tc>
          <w:tcPr/>
          <w:p>
            <w:pPr>
              <w:pStyle w:val="Compact"/>
              <w:jc w:val="left"/>
            </w:pPr>
            <w:r>
              <w:t xml:space="preserve">Akta postępowania formalnego</w:t>
            </w:r>
          </w:p>
        </w:tc>
      </w:tr>
    </w:tbl>
    <w:bookmarkEnd w:id="31"/>
    <w:bookmarkStart w:id="32" w:name="proponowane-rozstrzygnięcie"/>
    <w:p>
      <w:pPr>
        <w:pStyle w:val="Heading2"/>
      </w:pPr>
      <w:r>
        <w:t xml:space="preserve">Proponowane rozstrzygnięcie</w:t>
      </w:r>
    </w:p>
    <w:p>
      <w:pPr>
        <w:pStyle w:val="FirstParagraph"/>
      </w:pPr>
      <w:r>
        <w:t xml:space="preserve">Sąd krajowy: zawiesić postępowanie i skierować pytania prejudycjalne obejmujące (i) zastosowanie orzecznictwa o autonomii prawa Unii do umowy zewnętrznej, (ii) dopuszczalność ryczałtowej metody odzyskania w świetle proporcjonalności i art. 47 KPP. Do czasu odpowiedzi — zabezpieczenie w postaci rachunku zablokowanego zamiast zwrotu do budżetu.</w:t>
      </w:r>
    </w:p>
    <w:p>
      <w:pPr>
        <w:pStyle w:val="BodyText"/>
      </w:pPr>
      <w:r>
        <w:t xml:space="preserve">Co do istoty: uchylić decyzje odzyskowe w części dotyczącej metody obliczenia kwot, utrzymać zaś dopuszczalność samego odzyskania, jeżeli Komisja stwierdzi bezprawność pomocy. Wykonanie wyroku arbitrażowego wstrzymać do czasu decyzji końcowej Komisji, bez orzekania o jego ważności.</w:t>
      </w:r>
    </w:p>
    <w:bookmarkEnd w:id="32"/>
    <w:bookmarkStart w:id="33" w:name="zweryfikowane-pozycje-źródłowe-k-01"/>
    <w:p>
      <w:pPr>
        <w:pStyle w:val="Heading2"/>
      </w:pPr>
      <w:r>
        <w:t xml:space="preserve">Zweryfikowane pozycje źródłowe (K-01)</w:t>
      </w:r>
    </w:p>
    <w:p>
      <w:pPr>
        <w:numPr>
          <w:ilvl w:val="0"/>
          <w:numId w:val="1003"/>
        </w:numPr>
        <w:pStyle w:val="Compact"/>
      </w:pPr>
      <w:r>
        <w:t xml:space="preserve">Opinia 1/17 (CETA), TSUE, 30 kwietnia 2019 r. — zgodność systemu sądów inwestycyjnych w umowie z państwem trzecim z prawem pierwotnym Unii; nieprzenoszalność koncepcji wzajemnego zaufania na stosunki zewnętrzne.</w:t>
      </w:r>
    </w:p>
    <w:p>
      <w:pPr>
        <w:numPr>
          <w:ilvl w:val="0"/>
          <w:numId w:val="1003"/>
        </w:numPr>
        <w:pStyle w:val="Compact"/>
      </w:pPr>
      <w:r>
        <w:t xml:space="preserve">C-638/19 P Komisja przeciwko European Food SA i in. (Micula), wielka izba, 25 stycznia 2022 r., ECLI:EU:C:2022:50 — data przyznania prawa do odszkodowania jako moment miarodajny; kompetencja Komisji.</w:t>
      </w:r>
    </w:p>
    <w:p>
      <w:pPr>
        <w:numPr>
          <w:ilvl w:val="0"/>
          <w:numId w:val="1003"/>
        </w:numPr>
        <w:pStyle w:val="Compact"/>
      </w:pPr>
      <w:r>
        <w:t xml:space="preserve">C-741/19 Komstroy, 2 września 2021 r. oraz C-284/16 Achmea — linia wewnątrzunijna, przywołana wyłącznie w celu odgraniczenia od konfiguracji zewnętrznej.</w:t>
      </w:r>
    </w:p>
    <w:p>
      <w:pPr>
        <w:pStyle w:val="FirstParagraph"/>
      </w:pPr>
      <w:r>
        <w:t xml:space="preserve">Pozostałe elementy analizy (test uzasadnionych oczekiwań, cel restytucyjny odzyskania, zakres art. 51 KPP, reżim partycypacyjny konwencji z Aarhus dla aktów normatywnych) przedstawiono jako standard doktrynalny bez przypisania konkretnej sygnaturze — wymagają samodzielnego potwierdzenia przed użyciem zawodowym.</w:t>
      </w:r>
    </w:p>
    <w:p>
      <w:r>
        <w:br w:type="page"/>
      </w:r>
    </w:p>
    <w:bookmarkEnd w:id="33"/>
    <w:bookmarkEnd w:id="34"/>
    <w:bookmarkStart w:id="48" w:name="k-02-spór-o-wąwóz-gordyjski"/>
    <w:p>
      <w:pPr>
        <w:pStyle w:val="Heading1"/>
      </w:pPr>
      <w:r>
        <w:t xml:space="preserve">K-02 Spór o Wąwóz Gordyjski</w:t>
      </w:r>
    </w:p>
    <w:bookmarkStart w:id="35" w:name="teza-wstępna-1"/>
    <w:p>
      <w:pPr>
        <w:pStyle w:val="Heading2"/>
      </w:pPr>
      <w:r>
        <w:t xml:space="preserve">Teza wstępna</w:t>
      </w:r>
    </w:p>
    <w:p>
      <w:pPr>
        <w:pStyle w:val="FirstParagraph"/>
      </w:pPr>
      <w:r>
        <w:t xml:space="preserve">Kazus wymaga rozdzielenia trzech pytań, które strony traktują łącznie: co znaczy traktatowy obowiązek „udziału w podejmowaniu decyzji”; czy zachowanie spółki państwowej jest zachowaniem państwa; oraz czy odpowiedzialność za incydent pojazdu wynika z przypisania cudzego czynu, czy z własnego uchybienia staranności. Rekomendowana konkluzja: obowiązek traktatowy to kwalifikowana konsultacja z obowiązkiem dobrej wiary, nie prawo weta; przypisanie decyzji projektowych Alekostrii jest prawdopodobne, przypisanie operacyjnego zachowania pojazdu — nie; odpowiedzialność za incydent należy budować na standardzie należytej staranności, a nie na przypisaniu.</w:t>
      </w:r>
    </w:p>
    <w:bookmarkEnd w:id="35"/>
    <w:bookmarkStart w:id="36" w:name="mapa-jurysdykcji-źródeł-i-kompetencji-1"/>
    <w:p>
      <w:pPr>
        <w:pStyle w:val="Heading2"/>
      </w:pPr>
      <w:r>
        <w:t xml:space="preserve">Mapa jurysdykcji, źródeł i kompetencji</w:t>
      </w:r>
    </w:p>
    <w:p>
      <w:pPr>
        <w:pStyle w:val="FirstParagraph"/>
      </w:pPr>
      <w:r>
        <w:rPr>
          <w:bCs/>
          <w:b/>
        </w:rPr>
        <w:t xml:space="preserve">Forum.</w:t>
      </w:r>
      <w:r>
        <w:t xml:space="preserve"> </w:t>
      </w:r>
      <w:r>
        <w:t xml:space="preserve">Spór przekazano do rozstrzygnięcia międzypaństwowego. Podstawa jurysdykcji wymaga wykazania zgody obu państw — kazus nie wskazuje klauzuli kompromisaryjnej ani deklaracji o uznaniu jurysdykcji obowiązkowej. To pierwsza kwestia dopuszczalności i pierwszy brak faktyczny.</w:t>
      </w:r>
    </w:p>
    <w:p>
      <w:pPr>
        <w:pStyle w:val="BodyText"/>
      </w:pPr>
      <w:r>
        <w:rPr>
          <w:bCs/>
          <w:b/>
        </w:rPr>
        <w:t xml:space="preserve">Legitymacja.</w:t>
      </w:r>
      <w:r>
        <w:t xml:space="preserve"> </w:t>
      </w:r>
      <w:r>
        <w:t xml:space="preserve">Alekostria występuje w podwójnej roli: jako państwo dochodzące własnych praw traktatowych i jako państwo sprawujące opiekę dyplomatyczną nad kierowniczką projektu. Druga rola wymaga wyczerpania środków krajowych w Restovii oraz ciągłości obywatelstwa. Roszczenia dotyczące praw ludności Pilemon rodzą odrębny problem: społeczność zamieszkuje trzy państwa, a Alekostria nie ma automatycznej legitymacji do występowania w imieniu jej członków będących obywatelami Restovii.</w:t>
      </w:r>
    </w:p>
    <w:p>
      <w:pPr>
        <w:pStyle w:val="BodyText"/>
      </w:pPr>
      <w:r>
        <w:rPr>
          <w:bCs/>
          <w:b/>
        </w:rPr>
        <w:t xml:space="preserve">Źródła.</w:t>
      </w:r>
      <w:r>
        <w:t xml:space="preserve"> </w:t>
      </w:r>
      <w:r>
        <w:t xml:space="preserve">Umowa dwustronna jako lex specialis, interpretowana zgodnie z regułą ogólną (sens zwykły w kontekście, w świetle przedmiotu i celu, z uwzględnieniem późniejszej praktyki). Prawo zwyczajowe odpowiedzialności państw, skodyfikowane w artykułach Komisji Prawa Międzynarodowego. Standardy dotyczące ludności rdzennej — o różnym statusie normatywnym, co wymaga ostrożności: konwencja Międzynarodowej Organizacji Pracy nr 169 wiąże tylko strony (kazus nie wskazuje ratyfikacji), deklaracja ONZ jest aktem niewiążącym, a zwyczajowy status wymogu uprzedniej, swobodnej i świadomej zgody pozostaje sporny.</w:t>
      </w:r>
    </w:p>
    <w:bookmarkEnd w:id="36"/>
    <w:bookmarkStart w:id="43" w:name="analiza-materialna-według-zagadnień-1"/>
    <w:p>
      <w:pPr>
        <w:pStyle w:val="Heading2"/>
      </w:pPr>
      <w:r>
        <w:t xml:space="preserve">Analiza materialna według zagadnień</w:t>
      </w:r>
    </w:p>
    <w:bookmarkStart w:id="37" w:name="Xfdf92091e9df3847cd2c7b2cb95bd54f920e32f"/>
    <w:p>
      <w:pPr>
        <w:pStyle w:val="Heading3"/>
      </w:pPr>
      <w:r>
        <w:t xml:space="preserve">Zagadnienie 1: treść obowiązku traktatowego</w:t>
      </w:r>
    </w:p>
    <w:p>
      <w:pPr>
        <w:pStyle w:val="FirstParagraph"/>
      </w:pPr>
      <w:r>
        <w:t xml:space="preserve">Sformułowanie „udział upoważnionych przedstawicieli społeczności w podejmowaniu decyzji przed istotną zmianą stanu” wymaga wykładni trzystopniowej.</w:t>
      </w:r>
    </w:p>
    <w:p>
      <w:pPr>
        <w:pStyle w:val="BodyText"/>
      </w:pPr>
      <w:r>
        <w:rPr>
          <w:iCs/>
          <w:i/>
        </w:rPr>
        <w:t xml:space="preserve">Sens zwykły.</w:t>
      </w:r>
      <w:r>
        <w:t xml:space="preserve"> </w:t>
      </w:r>
      <w:r>
        <w:t xml:space="preserve">„Udział w podejmowaniu decyzji” to więcej niż wysłuchanie, mniej niż zgoda. Gdyby strony chciały wymogu zgody, sformułowałyby to wprost — traktaty odróżniają konsultację od zgody terminologicznie. To najmocniejszy argument Restovii.</w:t>
      </w:r>
    </w:p>
    <w:p>
      <w:pPr>
        <w:pStyle w:val="BodyText"/>
      </w:pPr>
      <w:r>
        <w:rPr>
          <w:iCs/>
          <w:i/>
        </w:rPr>
        <w:t xml:space="preserve">Kontekst i cel.</w:t>
      </w:r>
      <w:r>
        <w:t xml:space="preserve"> </w:t>
      </w:r>
      <w:r>
        <w:t xml:space="preserve">Umowa gwarantuje dostęp do miejsca sakralnego. Cel ochronny sugeruje wykładnię wzmacniającą pozycję społeczności. Argument Alekostrii: obowiązek konsultacji pozbawiony realnego wpływu na wynik byłby pozorny, a wykładnia nie powinna prowadzić do bezskuteczności postanowienia.</w:t>
      </w:r>
    </w:p>
    <w:p>
      <w:pPr>
        <w:pStyle w:val="BodyText"/>
      </w:pPr>
      <w:r>
        <w:rPr>
          <w:iCs/>
          <w:i/>
        </w:rPr>
        <w:t xml:space="preserve">Rozstrzygnięcie pośrednie.</w:t>
      </w:r>
      <w:r>
        <w:t xml:space="preserve"> </w:t>
      </w:r>
      <w:r>
        <w:t xml:space="preserve">Kwalifikowana konsultacja: obowiązek prowadzenia jej w dobrej wierze, z zamiarem osiągnięcia porozumienia, z obowiązkiem uzasadnienia odstąpienia od stanowiska społeczności. Nie prawo weta, ale i nie formalność. Standard zgody można rozważać osobno przy działaniach o skutkach nieodwracalnych dla miejsca sakralnego — a wydobycie minerałów ziem rzadkich w wąwozie taki charakter może mieć.</w:t>
      </w:r>
    </w:p>
    <w:bookmarkEnd w:id="37"/>
    <w:bookmarkStart w:id="38" w:name="X3b2ae3fb6d305ab45c8f77f602e1906ba684c64"/>
    <w:p>
      <w:pPr>
        <w:pStyle w:val="Heading3"/>
      </w:pPr>
      <w:r>
        <w:t xml:space="preserve">Zagadnienie 2: reprezentatywność, bojkot i podział wewnętrzny</w:t>
      </w:r>
    </w:p>
    <w:p>
      <w:pPr>
        <w:pStyle w:val="FirstParagraph"/>
      </w:pPr>
      <w:r>
        <w:t xml:space="preserve">Przesłanki oceny prawidłowości konsultacji: (a) zidentyfikowanie właściwych przedstawicieli według reguł samej społeczności, nie państwa; (b) rzeczywista możliwość udziału; (c) informacja adekwatna i zrozumiała; (d) rozważenie stanowisk w dobrej wierze; (e) uzasadnienie decyzji.</w:t>
      </w:r>
    </w:p>
    <w:p>
      <w:pPr>
        <w:pStyle w:val="BodyText"/>
      </w:pPr>
      <w:r>
        <w:t xml:space="preserve">Restovia spełnia (b) i (c) — udostępniła obszerne materiały techniczne i zorganizowała spotkania. Element (a) jest problematyczny: to Restovia „utworzyła mechanizm konsultacji”, a kazus nie wskazuje, by przedstawicieli wyłoniono zgodnie z porządkiem wewnętrznym Pilemon. Bojkot przez przedstawicieli z Sollanii nie unieważnia konsultacji, jeżeli zaproszenie było realne — państwo nie odpowiada za odmowę udziału. Podział wewnątrz społeczności obciąża natomiast Restovię o tyle, że przy braku jednolitego stanowiska nie można przedstawiać poparcia części elderów jako zgody społeczności.</w:t>
      </w:r>
    </w:p>
    <w:p>
      <w:pPr>
        <w:pStyle w:val="BodyText"/>
      </w:pPr>
      <w:r>
        <w:t xml:space="preserve">Wniosek: konsultacja prawdopodobnie wadliwa proceduralnie w warstwie reprezentacji, przy jednoczesnym braku podstaw do zarzutu całkowitego zaniechania.</w:t>
      </w:r>
    </w:p>
    <w:bookmarkEnd w:id="38"/>
    <w:bookmarkStart w:id="39" w:name="Xa38b85d1322ce666ee1679fd9f141ca74e74380"/>
    <w:p>
      <w:pPr>
        <w:pStyle w:val="Heading3"/>
      </w:pPr>
      <w:r>
        <w:t xml:space="preserve">Zagadnienie 3: przypisanie zachowania NEXCA</w:t>
      </w:r>
    </w:p>
    <w:p>
      <w:pPr>
        <w:pStyle w:val="FirstParagraph"/>
      </w:pPr>
      <w:r>
        <w:t xml:space="preserve">Trzy podstawy wchodzą w grę i muszą być badane osobno.</w:t>
      </w:r>
    </w:p>
    <w:p>
      <w:pPr>
        <w:pStyle w:val="BodyText"/>
      </w:pPr>
      <w:r>
        <w:rPr>
          <w:iCs/>
          <w:i/>
        </w:rPr>
        <w:t xml:space="preserve">Organ państwa.</w:t>
      </w:r>
      <w:r>
        <w:t xml:space="preserve"> </w:t>
      </w:r>
      <w:r>
        <w:t xml:space="preserve">Odrębna osobowość prawna tworzy silne, choć wzruszalne domniemanie przeciwko statusowi organu. Sama własność państwowa lub kontrola nad pakietem udziałów nie wystarcza; pytanie brzmi, czy nastąpiła wysoka integracja w strukturę organizacyjną państwa. Fakty kazusu — obsadzanie zarządu przez organy państwowe i wymóg zgody politycznej dla projektów zagranicznych — świadczą o kontroli, lecz nie o integracji strukturalnej.</w:t>
      </w:r>
    </w:p>
    <w:p>
      <w:pPr>
        <w:pStyle w:val="BodyText"/>
      </w:pPr>
      <w:r>
        <w:rPr>
          <w:iCs/>
          <w:i/>
        </w:rPr>
        <w:t xml:space="preserve">Wykonywanie elementów władzy publicznej.</w:t>
      </w:r>
      <w:r>
        <w:t xml:space="preserve"> </w:t>
      </w:r>
      <w:r>
        <w:t xml:space="preserve">Wymaga upoważnienia ustawowego i działania w tym charakterze. Komercyjne wydobycie minerałów na terytorium obcego państwa nie jest wykonywaniem władzy publicznej. Podstawa nieprzydatna.</w:t>
      </w:r>
    </w:p>
    <w:p>
      <w:pPr>
        <w:pStyle w:val="BodyText"/>
      </w:pPr>
      <w:r>
        <w:rPr>
          <w:iCs/>
          <w:i/>
        </w:rPr>
        <w:t xml:space="preserve">Kierownictwo lub kontrola.</w:t>
      </w:r>
      <w:r>
        <w:t xml:space="preserve"> </w:t>
      </w:r>
      <w:r>
        <w:t xml:space="preserve">Tu leży realna szansa Restovii, ale wymaga precyzji. Zgodnie z komentarzem Komisji Prawa Międzynarodowego zachowanie przedsiębiorstwa państwowego przypisuje się państwu wtedy, gdy istnieje dowód, że państwo wykorzystywało swój udział własnościowy lub kontrolę nad spółką specjalnie po to, by osiągnąć określony rezultat. Sama własność rządowa i utworzenie podmiotu przez państwo nie powodują automatycznie odpowiedzialności państwa.</w:t>
      </w:r>
    </w:p>
    <w:p>
      <w:pPr>
        <w:pStyle w:val="BodyText"/>
      </w:pPr>
      <w:r>
        <w:t xml:space="preserve">Prowadzi to do rozstrzygnięcia różnicującego.</w:t>
      </w:r>
      <w:r>
        <w:t xml:space="preserve"> </w:t>
      </w:r>
      <w:r>
        <w:rPr>
          <w:bCs/>
          <w:b/>
        </w:rPr>
        <w:t xml:space="preserve">Decyzja o przystąpieniu do projektu</w:t>
      </w:r>
      <w:r>
        <w:t xml:space="preserve"> </w:t>
      </w:r>
      <w:r>
        <w:t xml:space="preserve">wymagała zgody politycznej — jest to zachowanie, wobec którego państwo wykorzystało kontrolę dla osiągnięcia konkretnego rezultatu; przypisanie prawdopodobne.</w:t>
      </w:r>
      <w:r>
        <w:t xml:space="preserve"> </w:t>
      </w:r>
      <w:r>
        <w:rPr>
          <w:bCs/>
          <w:b/>
        </w:rPr>
        <w:t xml:space="preserve">Operacyjne zachowanie półautonomicznego pojazdu</w:t>
      </w:r>
      <w:r>
        <w:t xml:space="preserve"> </w:t>
      </w:r>
      <w:r>
        <w:t xml:space="preserve">to czynność techniczna wykonawcy; brak jakiegokolwiek faktu wskazującego na instrukcję państwa co do tej czynności; przypisanie mało prawdopodobne. Test kontroli stosuje się do konkretnego zachowania, nie do podmiotu jako takiego — najczęstszy błąd w tym kazusie polega na przypisaniu „wszystkiego” po wykazaniu kontroli nad spółką.</w:t>
      </w:r>
    </w:p>
    <w:bookmarkEnd w:id="39"/>
    <w:bookmarkStart w:id="40" w:name="Xf3ce8a4ad2c0850dfb17cd9ca7456b9f9cefe6f"/>
    <w:p>
      <w:pPr>
        <w:pStyle w:val="Heading3"/>
      </w:pPr>
      <w:r>
        <w:t xml:space="preserve">Zagadnienie 4: należyta staranność przy systemie półautonomicznym</w:t>
      </w:r>
    </w:p>
    <w:p>
      <w:pPr>
        <w:pStyle w:val="FirstParagraph"/>
      </w:pPr>
      <w:r>
        <w:t xml:space="preserve">Skoro przypisanie incydentu jest wątpliwe, właściwą konstrukcją jest</w:t>
      </w:r>
      <w:r>
        <w:t xml:space="preserve"> </w:t>
      </w:r>
      <w:r>
        <w:rPr>
          <w:bCs/>
          <w:b/>
        </w:rPr>
        <w:t xml:space="preserve">własny czyn państwa</w:t>
      </w:r>
      <w:r>
        <w:t xml:space="preserve"> </w:t>
      </w:r>
      <w:r>
        <w:t xml:space="preserve">polegający na uchybieniu obowiązkowi zapobiegania szkodom na terytorium innego państwa. Przesłanki: (a) obowiązek prewencji; (b) wiedza lub możliwość wiedzy o ryzyku; (c) niepodjęcie środków rozsądnie dostępnych; (d) związek przyczynowy ze szkodą.</w:t>
      </w:r>
    </w:p>
    <w:p>
      <w:pPr>
        <w:pStyle w:val="BodyText"/>
      </w:pPr>
      <w:r>
        <w:t xml:space="preserve">Standard należytej staranności przy systemach podatnych na ingerencję cyfrową obejmuje: certyfikację i testy przed dopuszczeniem, segmentację sieci, monitorowanie anomalii, procedurę awaryjnego przejęcia kontroli, rejestrowanie zdarzeń. Nieustalenie sprawcy kodu nie zwalnia — państwo odpowiada za własne uchybienie, nie za czyn hakera. Odwrotnie jednak: samo wystąpienie ataku nie dowodzi uchybienia. Ciężar dowodu spoczywa na Restovii i wymaga wykazania konkretnego zaniedbania zabezpieczeń, czego kazus nie zawiera.</w:t>
      </w:r>
    </w:p>
    <w:p>
      <w:pPr>
        <w:pStyle w:val="BodyText"/>
      </w:pPr>
      <w:r>
        <w:t xml:space="preserve">Okoliczności wyłączające bezprawność wymagają odrębnej analizy. Siła wyższa wymaga zdarzenia nieodpartego i nieprzewidywalnego, uniemożliwiającego wykonanie obowiązku; złośliwe oprogramowanie w systemie, który powinien być zabezpieczony, tego progu nie spełnia, jeżeli ryzyko cyberataku było przewidywalne.</w:t>
      </w:r>
    </w:p>
    <w:bookmarkEnd w:id="40"/>
    <w:bookmarkStart w:id="41" w:name="X1420b9bd0a94c1d7fd9ba6fb0ee08e294a94ca9"/>
    <w:p>
      <w:pPr>
        <w:pStyle w:val="Heading3"/>
      </w:pPr>
      <w:r>
        <w:t xml:space="preserve">Zagadnienie 5: jeden czy odrębne czyny bezprawne</w:t>
      </w:r>
    </w:p>
    <w:p>
      <w:pPr>
        <w:pStyle w:val="FirstParagraph"/>
      </w:pPr>
      <w:r>
        <w:t xml:space="preserve">Rozróżnienie ma skutek praktyczny dla reparacji i dla biegu terminów. Wskazane są trzy odrębne czyny: (i) ewentualne uchybienie konsultacyjne — czyn o charakterze ciągłym, trwający tak długo, jak trwa decyzja o eksploatacji podjęta bez prawidłowej procedury; (ii) incydent pojazdu — czyn jednorazowy o skutkach trwających; (iii) naruszenie strefy sakralnej — może być kwalifikowane osobno, jeżeli chroniony jest odrębny interes traktatowy. Traktowanie ich łącznie jest błędem, bo przypisanie każdego z nich opiera się na innej podstawie.</w:t>
      </w:r>
    </w:p>
    <w:bookmarkEnd w:id="41"/>
    <w:bookmarkStart w:id="42" w:name="zagadnienie-6-odmowa-ekstradycji"/>
    <w:p>
      <w:pPr>
        <w:pStyle w:val="Heading3"/>
      </w:pPr>
      <w:r>
        <w:t xml:space="preserve">Zagadnienie 6: odmowa ekstradycji</w:t>
      </w:r>
    </w:p>
    <w:p>
      <w:pPr>
        <w:pStyle w:val="FirstParagraph"/>
      </w:pPr>
      <w:r>
        <w:t xml:space="preserve">W braku traktatu ekstradycyjnego nie istnieje ogólny obowiązek wydania. Jeżeli umowa dwustronna zawiera zobowiązanie ekstradycyjne, odmowa wymaga podstawy w samej umowie lub w normie nadrzędnej. Powołanie się przez Alekostrię na „brak zgodności procedury z ogólnymi zasadami prawa” jest zarzutem, którego ciężar dowodu spoczywa na państwie odmawiającym: musi ono wykazać realne ryzyko rażącego naruszenia rzetelnego procesu, nie zaś odmienność procedury. Kazus nie zawiera faktów o wadach postępowania w Restovii — zarzut jest w obecnym stanie nieudowodniony.</w:t>
      </w:r>
    </w:p>
    <w:p>
      <w:pPr>
        <w:pStyle w:val="BodyText"/>
      </w:pPr>
      <w:r>
        <w:t xml:space="preserve">Odrębnie: postępowanie karne przeciwko kierowniczce projektu za skutek działania systemu autonomicznego rodzi pytanie o podstawę odpowiedzialności indywidualnej — winę nieumyślną w nadzorze. Bez ustalenia jej roli w decyzjach o zabezpieczeniu systemu zarzut jest przedwczesny.</w:t>
      </w:r>
    </w:p>
    <w:bookmarkEnd w:id="42"/>
    <w:bookmarkEnd w:id="43"/>
    <w:bookmarkStart w:id="44" w:name="macierz-argumentów-1"/>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Restovii</w:t>
            </w:r>
          </w:p>
        </w:tc>
        <w:tc>
          <w:tcPr/>
          <w:p>
            <w:pPr>
              <w:pStyle w:val="Compact"/>
              <w:jc w:val="left"/>
            </w:pPr>
            <w:r>
              <w:t xml:space="preserve">Argument Alekostrii</w:t>
            </w:r>
          </w:p>
        </w:tc>
      </w:tr>
      <w:tr>
        <w:tc>
          <w:tcPr/>
          <w:p>
            <w:pPr>
              <w:pStyle w:val="Compact"/>
              <w:jc w:val="left"/>
            </w:pPr>
            <w:r>
              <w:t xml:space="preserve">Treść obowiązku</w:t>
            </w:r>
          </w:p>
        </w:tc>
        <w:tc>
          <w:tcPr/>
          <w:p>
            <w:pPr>
              <w:pStyle w:val="Compact"/>
              <w:jc w:val="left"/>
            </w:pPr>
            <w:r>
              <w:t xml:space="preserve">„Udział w podejmowaniu decyzji” ≠ zgoda; przeprowadzono szeroką konsultację</w:t>
            </w:r>
          </w:p>
        </w:tc>
        <w:tc>
          <w:tcPr/>
          <w:p>
            <w:pPr>
              <w:pStyle w:val="Compact"/>
              <w:jc w:val="left"/>
            </w:pPr>
            <w:r>
              <w:t xml:space="preserve">Konsultacja bez wpływu na wynik czyni postanowienie bezskutecznym; miejsce sakralne wymaga standardu zgody</w:t>
            </w:r>
          </w:p>
        </w:tc>
      </w:tr>
      <w:tr>
        <w:tc>
          <w:tcPr/>
          <w:p>
            <w:pPr>
              <w:pStyle w:val="Compact"/>
              <w:jc w:val="left"/>
            </w:pPr>
            <w:r>
              <w:t xml:space="preserve">Reprezentatywność</w:t>
            </w:r>
          </w:p>
        </w:tc>
        <w:tc>
          <w:tcPr/>
          <w:p>
            <w:pPr>
              <w:pStyle w:val="Compact"/>
              <w:jc w:val="left"/>
            </w:pPr>
            <w:r>
              <w:t xml:space="preserve">Bojkot to wybór społeczności; państwo umożliwiło udział</w:t>
            </w:r>
          </w:p>
        </w:tc>
        <w:tc>
          <w:tcPr/>
          <w:p>
            <w:pPr>
              <w:pStyle w:val="Compact"/>
              <w:jc w:val="left"/>
            </w:pPr>
            <w:r>
              <w:t xml:space="preserve">Przedstawicieli wyłoniło państwo, nie społeczność; poparcie części elderów przedstawiono jako zgodę całości</w:t>
            </w:r>
          </w:p>
        </w:tc>
      </w:tr>
      <w:tr>
        <w:tc>
          <w:tcPr/>
          <w:p>
            <w:pPr>
              <w:pStyle w:val="Compact"/>
              <w:jc w:val="left"/>
            </w:pPr>
            <w:r>
              <w:t xml:space="preserve">Przypisanie</w:t>
            </w:r>
          </w:p>
        </w:tc>
        <w:tc>
          <w:tcPr/>
          <w:p>
            <w:pPr>
              <w:pStyle w:val="Compact"/>
              <w:jc w:val="left"/>
            </w:pPr>
            <w:r>
              <w:t xml:space="preserve">Obsada zarządu i zgoda polityczna dowodzą kontroli państwa nad NEXCA</w:t>
            </w:r>
          </w:p>
        </w:tc>
        <w:tc>
          <w:tcPr/>
          <w:p>
            <w:pPr>
              <w:pStyle w:val="Compact"/>
              <w:jc w:val="left"/>
            </w:pPr>
            <w:r>
              <w:t xml:space="preserve">Odrębna osobowość; własność nie wystarcza; brak dowodu kontroli nad konkretnym zachowaniem pojazdu</w:t>
            </w:r>
          </w:p>
        </w:tc>
      </w:tr>
      <w:tr>
        <w:tc>
          <w:tcPr/>
          <w:p>
            <w:pPr>
              <w:pStyle w:val="Compact"/>
              <w:jc w:val="left"/>
            </w:pPr>
            <w:r>
              <w:t xml:space="preserve">Incydent</w:t>
            </w:r>
          </w:p>
        </w:tc>
        <w:tc>
          <w:tcPr/>
          <w:p>
            <w:pPr>
              <w:pStyle w:val="Compact"/>
              <w:jc w:val="left"/>
            </w:pPr>
            <w:r>
              <w:t xml:space="preserve">Państwo odpowiada za skutki systemu, który dopuściło do użytku</w:t>
            </w:r>
          </w:p>
        </w:tc>
        <w:tc>
          <w:tcPr/>
          <w:p>
            <w:pPr>
              <w:pStyle w:val="Compact"/>
              <w:jc w:val="left"/>
            </w:pPr>
            <w:r>
              <w:t xml:space="preserve">Cyberatak osoby trzeciej; brak dowodu konkretnego uchybienia zabezpieczeniom</w:t>
            </w:r>
          </w:p>
        </w:tc>
      </w:tr>
      <w:tr>
        <w:tc>
          <w:tcPr/>
          <w:p>
            <w:pPr>
              <w:pStyle w:val="Compact"/>
              <w:jc w:val="left"/>
            </w:pPr>
            <w:r>
              <w:t xml:space="preserve">Ekstradycja</w:t>
            </w:r>
          </w:p>
        </w:tc>
        <w:tc>
          <w:tcPr/>
          <w:p>
            <w:pPr>
              <w:pStyle w:val="Compact"/>
              <w:jc w:val="left"/>
            </w:pPr>
            <w:r>
              <w:t xml:space="preserve">Obowiązek traktatowy; zarzut proceduralny nieudowodniony</w:t>
            </w:r>
          </w:p>
        </w:tc>
        <w:tc>
          <w:tcPr/>
          <w:p>
            <w:pPr>
              <w:pStyle w:val="Compact"/>
              <w:jc w:val="left"/>
            </w:pPr>
            <w:r>
              <w:t xml:space="preserve">Ryzyko naruszenia gwarancji procesowych uzasadnia odmowę</w:t>
            </w:r>
          </w:p>
        </w:tc>
      </w:tr>
      <w:tr>
        <w:tc>
          <w:tcPr/>
          <w:p>
            <w:pPr>
              <w:pStyle w:val="Compact"/>
              <w:jc w:val="left"/>
            </w:pPr>
            <w:r>
              <w:t xml:space="preserve">Struktura czynów</w:t>
            </w:r>
          </w:p>
        </w:tc>
        <w:tc>
          <w:tcPr/>
          <w:p>
            <w:pPr>
              <w:pStyle w:val="Compact"/>
              <w:jc w:val="left"/>
            </w:pPr>
            <w:r>
              <w:t xml:space="preserve">Jeden ciągły czyn eksploatacji bez zgody</w:t>
            </w:r>
          </w:p>
        </w:tc>
        <w:tc>
          <w:tcPr/>
          <w:p>
            <w:pPr>
              <w:pStyle w:val="Compact"/>
              <w:jc w:val="left"/>
            </w:pPr>
            <w:r>
              <w:t xml:space="preserve">Odrębne czyny o odrębnych podstawach przypisania</w:t>
            </w:r>
          </w:p>
        </w:tc>
      </w:tr>
    </w:tbl>
    <w:bookmarkEnd w:id="44"/>
    <w:bookmarkStart w:id="45" w:name="X8bc04c07aebed062da02ad98c612cd839788097"/>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Podstawa jurysdykcji forum</w:t>
            </w:r>
          </w:p>
        </w:tc>
        <w:tc>
          <w:tcPr/>
          <w:p>
            <w:pPr>
              <w:pStyle w:val="Compact"/>
              <w:jc w:val="left"/>
            </w:pPr>
            <w:r>
              <w:t xml:space="preserve">Bez zgody obu państw sprawa jest niedopuszczalna</w:t>
            </w:r>
          </w:p>
        </w:tc>
        <w:tc>
          <w:tcPr/>
          <w:p>
            <w:pPr>
              <w:pStyle w:val="Compact"/>
              <w:jc w:val="left"/>
            </w:pPr>
            <w:r>
              <w:t xml:space="preserve">Klauzula kompromisaryjna lub deklaracje</w:t>
            </w:r>
          </w:p>
        </w:tc>
      </w:tr>
      <w:tr>
        <w:tc>
          <w:tcPr/>
          <w:p>
            <w:pPr>
              <w:pStyle w:val="Compact"/>
              <w:jc w:val="left"/>
            </w:pPr>
            <w:r>
              <w:t xml:space="preserve">Reguły wyłaniania przedstawicieli Pilemon</w:t>
            </w:r>
          </w:p>
        </w:tc>
        <w:tc>
          <w:tcPr/>
          <w:p>
            <w:pPr>
              <w:pStyle w:val="Compact"/>
              <w:jc w:val="left"/>
            </w:pPr>
            <w:r>
              <w:t xml:space="preserve">Decyduje o legalności składu konsultacyjnego</w:t>
            </w:r>
          </w:p>
        </w:tc>
        <w:tc>
          <w:tcPr/>
          <w:p>
            <w:pPr>
              <w:pStyle w:val="Compact"/>
              <w:jc w:val="left"/>
            </w:pPr>
            <w:r>
              <w:t xml:space="preserve">Zwyczajowe prawo społeczności, protokoły wyboru</w:t>
            </w:r>
          </w:p>
        </w:tc>
      </w:tr>
      <w:tr>
        <w:tc>
          <w:tcPr/>
          <w:p>
            <w:pPr>
              <w:pStyle w:val="Compact"/>
              <w:jc w:val="left"/>
            </w:pPr>
            <w:r>
              <w:t xml:space="preserve">Czy Alekostria ratyfikowała konwencję nr 169</w:t>
            </w:r>
          </w:p>
        </w:tc>
        <w:tc>
          <w:tcPr/>
          <w:p>
            <w:pPr>
              <w:pStyle w:val="Compact"/>
              <w:jc w:val="left"/>
            </w:pPr>
            <w:r>
              <w:t xml:space="preserve">Przesądza o zastosowaniu reżimu traktatowego wobec zwyczajowego</w:t>
            </w:r>
          </w:p>
        </w:tc>
        <w:tc>
          <w:tcPr/>
          <w:p>
            <w:pPr>
              <w:pStyle w:val="Compact"/>
              <w:jc w:val="left"/>
            </w:pPr>
            <w:r>
              <w:t xml:space="preserve">Depozyt ratyfikacyjny</w:t>
            </w:r>
          </w:p>
        </w:tc>
      </w:tr>
      <w:tr>
        <w:tc>
          <w:tcPr/>
          <w:p>
            <w:pPr>
              <w:pStyle w:val="Compact"/>
              <w:jc w:val="left"/>
            </w:pPr>
            <w:r>
              <w:t xml:space="preserve">Treść zgody politycznej na projekt NEXCA</w:t>
            </w:r>
          </w:p>
        </w:tc>
        <w:tc>
          <w:tcPr/>
          <w:p>
            <w:pPr>
              <w:pStyle w:val="Compact"/>
              <w:jc w:val="left"/>
            </w:pPr>
            <w:r>
              <w:t xml:space="preserve">Test wykorzystania kontroli dla osiągnięcia rezultatu</w:t>
            </w:r>
          </w:p>
        </w:tc>
        <w:tc>
          <w:tcPr/>
          <w:p>
            <w:pPr>
              <w:pStyle w:val="Compact"/>
              <w:jc w:val="left"/>
            </w:pPr>
            <w:r>
              <w:t xml:space="preserve">Uchwała organu, korespondencja</w:t>
            </w:r>
          </w:p>
        </w:tc>
      </w:tr>
      <w:tr>
        <w:tc>
          <w:tcPr/>
          <w:p>
            <w:pPr>
              <w:pStyle w:val="Compact"/>
              <w:jc w:val="left"/>
            </w:pPr>
            <w:r>
              <w:t xml:space="preserve">Stan zabezpieczeń pojazdu i procedury awaryjne</w:t>
            </w:r>
          </w:p>
        </w:tc>
        <w:tc>
          <w:tcPr/>
          <w:p>
            <w:pPr>
              <w:pStyle w:val="Compact"/>
              <w:jc w:val="left"/>
            </w:pPr>
            <w:r>
              <w:t xml:space="preserve">Rdzeń oceny należytej staranności</w:t>
            </w:r>
          </w:p>
        </w:tc>
        <w:tc>
          <w:tcPr/>
          <w:p>
            <w:pPr>
              <w:pStyle w:val="Compact"/>
              <w:jc w:val="left"/>
            </w:pPr>
            <w:r>
              <w:t xml:space="preserve">Dokumentacja certyfikacyjna, logi systemu, raport powypadkowy</w:t>
            </w:r>
          </w:p>
        </w:tc>
      </w:tr>
      <w:tr>
        <w:tc>
          <w:tcPr/>
          <w:p>
            <w:pPr>
              <w:pStyle w:val="Compact"/>
              <w:jc w:val="left"/>
            </w:pPr>
            <w:r>
              <w:t xml:space="preserve">Wady postępowania karnego w Restovii</w:t>
            </w:r>
          </w:p>
        </w:tc>
        <w:tc>
          <w:tcPr/>
          <w:p>
            <w:pPr>
              <w:pStyle w:val="Compact"/>
              <w:jc w:val="left"/>
            </w:pPr>
            <w:r>
              <w:t xml:space="preserve">Jedyna podstawa odmowy ekstradycji</w:t>
            </w:r>
          </w:p>
        </w:tc>
        <w:tc>
          <w:tcPr/>
          <w:p>
            <w:pPr>
              <w:pStyle w:val="Compact"/>
              <w:jc w:val="left"/>
            </w:pPr>
            <w:r>
              <w:t xml:space="preserve">Akta postępowania, opinie o gwarancjach</w:t>
            </w:r>
          </w:p>
        </w:tc>
      </w:tr>
      <w:tr>
        <w:tc>
          <w:tcPr/>
          <w:p>
            <w:pPr>
              <w:pStyle w:val="Compact"/>
              <w:jc w:val="left"/>
            </w:pPr>
            <w:r>
              <w:t xml:space="preserve">Daty powzięcia wiedzy o zdarzeniu przez oba państwa</w:t>
            </w:r>
          </w:p>
        </w:tc>
        <w:tc>
          <w:tcPr/>
          <w:p>
            <w:pPr>
              <w:pStyle w:val="Compact"/>
              <w:jc w:val="left"/>
            </w:pPr>
            <w:r>
              <w:t xml:space="preserve">Dochowanie wymogów czasowych konsultacji</w:t>
            </w:r>
          </w:p>
        </w:tc>
        <w:tc>
          <w:tcPr/>
          <w:p>
            <w:pPr>
              <w:pStyle w:val="Compact"/>
              <w:jc w:val="left"/>
            </w:pPr>
            <w:r>
              <w:t xml:space="preserve">Noty dyplomatyczne z datami</w:t>
            </w:r>
          </w:p>
        </w:tc>
      </w:tr>
    </w:tbl>
    <w:bookmarkEnd w:id="45"/>
    <w:bookmarkStart w:id="46" w:name="proponowane-rozstrzygnięcie-1"/>
    <w:p>
      <w:pPr>
        <w:pStyle w:val="Heading2"/>
      </w:pPr>
      <w:r>
        <w:t xml:space="preserve">Proponowane rozstrzygnięcie</w:t>
      </w:r>
    </w:p>
    <w:p>
      <w:pPr>
        <w:pStyle w:val="FirstParagraph"/>
      </w:pPr>
      <w:r>
        <w:t xml:space="preserve">Stwierdzić naruszenie obowiązku konsultacyjnego w zakresie wyłonienia przedstawicieli i przedstawienia stanowiska części elderów jako zgody społeczności. Nakazać zaprzestanie prac do czasu przeprowadzenia konsultacji zgodnej ze standardem dobrej wiary, bez orzekania o zakazie wydobycia jako takim.</w:t>
      </w:r>
    </w:p>
    <w:p>
      <w:pPr>
        <w:pStyle w:val="BodyText"/>
      </w:pPr>
      <w:r>
        <w:t xml:space="preserve">Oddalić żądanie przypisania Alekostrii zachowania pojazdu; dopuścić dalsze postępowanie co do odpowiedzialności za uchybienie staranności, z ciężarem dowodu po stronie Restovii.</w:t>
      </w:r>
    </w:p>
    <w:p>
      <w:pPr>
        <w:pStyle w:val="BodyText"/>
      </w:pPr>
      <w:r>
        <w:t xml:space="preserve">Co do ekstradycji: stwierdzić, że odmowa oparta na ogólnikowym zarzucie proceduralnym nie znajduje uzasadnienia; zobowiązać Alekostrię do przedstawienia konkretnych zarzutów albo wykonania obowiązku.</w:t>
      </w:r>
    </w:p>
    <w:p>
      <w:pPr>
        <w:pStyle w:val="BodyText"/>
      </w:pPr>
      <w:r>
        <w:t xml:space="preserve">Reparacja: satysfakcja w postaci uznania naruszenia oraz gwarancje niepowtórzenia w zakresie procedury konsultacyjnej; odszkodowanie odroczone do ustalenia podstawy odpowiedzialności za incydent.</w:t>
      </w:r>
    </w:p>
    <w:bookmarkEnd w:id="46"/>
    <w:bookmarkStart w:id="47" w:name="zweryfikowane-pozycje-źródłowe-k-02"/>
    <w:p>
      <w:pPr>
        <w:pStyle w:val="Heading2"/>
      </w:pPr>
      <w:r>
        <w:t xml:space="preserve">Zweryfikowane pozycje źródłowe (K-02)</w:t>
      </w:r>
    </w:p>
    <w:p>
      <w:pPr>
        <w:numPr>
          <w:ilvl w:val="0"/>
          <w:numId w:val="1004"/>
        </w:numPr>
        <w:pStyle w:val="Compact"/>
      </w:pPr>
      <w:r>
        <w:t xml:space="preserve">Artykuły Komisji Prawa Międzynarodowego o odpowiedzialności państw za czyny międzynarodowo bezprawne (2001), art. 4, 5, 8 wraz z komentarzem — potwierdzono treść testu kontroli („wykorzystanie własności lub kontroli dla osiągnięcia określonego rezultatu”) oraz zasadę, że sama własność państwowa nie skutkuje przypisaniem.</w:t>
      </w:r>
    </w:p>
    <w:p>
      <w:pPr>
        <w:numPr>
          <w:ilvl w:val="0"/>
          <w:numId w:val="1004"/>
        </w:numPr>
        <w:pStyle w:val="Compact"/>
      </w:pPr>
      <w:r>
        <w:t xml:space="preserve">Domniemanie wynikające z odrębnej osobowości prawnej oraz kryterium integracji strukturalnej — potwierdzone w opracowaniach analizujących praktykę arbitrażową.</w:t>
      </w:r>
    </w:p>
    <w:p>
      <w:pPr>
        <w:pStyle w:val="FirstParagraph"/>
      </w:pPr>
      <w:r>
        <w:t xml:space="preserve">Elementy nieprzypisane sygnaturom (standard uprzedniej świadomej zgody, obowiązek prewencji szkód transgranicznych, przesłanki opieki dyplomatycznej) przedstawiono jako standard doktrynalny wymagający samodzielnego potwierdzenia.</w:t>
      </w:r>
    </w:p>
    <w:p>
      <w:r>
        <w:br w:type="page"/>
      </w:r>
    </w:p>
    <w:bookmarkEnd w:id="47"/>
    <w:bookmarkEnd w:id="48"/>
    <w:bookmarkStart w:id="62" w:name="k-03-vitoria-i-graviola-przeciwko-uxi"/>
    <w:p>
      <w:pPr>
        <w:pStyle w:val="Heading1"/>
      </w:pPr>
      <w:r>
        <w:t xml:space="preserve">K-03 Vitoria i Graviola przeciwko Uxi</w:t>
      </w:r>
    </w:p>
    <w:bookmarkStart w:id="49" w:name="teza-wstępna-2"/>
    <w:p>
      <w:pPr>
        <w:pStyle w:val="Heading2"/>
      </w:pPr>
      <w:r>
        <w:t xml:space="preserve">Teza wstępna</w:t>
      </w:r>
    </w:p>
    <w:p>
      <w:pPr>
        <w:pStyle w:val="FirstParagraph"/>
      </w:pPr>
      <w:r>
        <w:t xml:space="preserve">Sprawa rozpada się na dwie ścieżki o różnej sile. Ścieżka Vitorii dotyczy legalności ustawy, przeszukania granicznego i kumulacji sankcji — jest mocna w warstwie proceduralnej, słabsza tam, gdzie państwo powołuje się na niejawne informacje o kontaktach. Ścieżka Gravioli jest znacznie mocniejsza: zdalna infekcja urządzenia dziennikarki i uprzednia blokada publikacji to dwie z najpoważniejszych ingerencji znanych orzecznictwu, a państwo nie wykazało istnienia gwarancji proceduralnych. Rekomendowana konkluzja: naruszenie prawa do poszanowania życia prywatnego wobec obu skarżących oraz naruszenie wolności wypowiedzi wobec obu, przy czym wobec Gravioli w postaci kwalifikowanej.</w:t>
      </w:r>
    </w:p>
    <w:bookmarkEnd w:id="49"/>
    <w:bookmarkStart w:id="50" w:name="mapa-jurysdykcji-źródeł-i-kompetencji-2"/>
    <w:p>
      <w:pPr>
        <w:pStyle w:val="Heading2"/>
      </w:pPr>
      <w:r>
        <w:t xml:space="preserve">Mapa jurysdykcji, źródeł i kompetencji</w:t>
      </w:r>
    </w:p>
    <w:p>
      <w:pPr>
        <w:pStyle w:val="FirstParagraph"/>
      </w:pPr>
      <w:r>
        <w:t xml:space="preserve">Forum ochrony praw człowieka rozpoznaje skargi indywidualne po wyczerpaniu środków krajowych. Kazus nie wskazuje, czy Vitoria zaskarżyła rozwiązanie stosunku pracy i decyzję migracyjną w porządku krajowym — to pierwsza kwestia dopuszczalności. Wobec Gravioli sądowy nakaz blokady publikacji jest aktem sądu krajowego, co sugeruje wyczerpanie przynajmniej częściowe.</w:t>
      </w:r>
    </w:p>
    <w:p>
      <w:pPr>
        <w:pStyle w:val="BodyText"/>
      </w:pPr>
      <w:r>
        <w:t xml:space="preserve">Struktura badania każdego zarzutu jest jednolita: ingerencja — podstawa prawna i jakość prawa — legitymowany cel — konieczność w społeczeństwie demokratycznym (proporcjonalność, najmniej restrykcyjny środek, adekwatność uzasadnienia organów krajowych).</w:t>
      </w:r>
    </w:p>
    <w:p>
      <w:pPr>
        <w:pStyle w:val="BodyText"/>
      </w:pPr>
      <w:r>
        <w:t xml:space="preserve">Odrębne zagadnienie proceduralne: część materiału dowodowego pozostaje niejawna. Rodzi to problem równości broni — standard wymaga ujawnienia co najmniej istoty zarzutów w stopniu umożliwiającym skuteczne zakwestionowanie oraz kompensacji proceduralnej.</w:t>
      </w:r>
    </w:p>
    <w:bookmarkEnd w:id="50"/>
    <w:bookmarkStart w:id="57" w:name="analiza-materialna-według-zagadnień-2"/>
    <w:p>
      <w:pPr>
        <w:pStyle w:val="Heading2"/>
      </w:pPr>
      <w:r>
        <w:t xml:space="preserve">Analiza materialna według zagadnień</w:t>
      </w:r>
    </w:p>
    <w:bookmarkStart w:id="51" w:name="X8d3bd6ff4c31d5b10370093c7c2c0f7e439b3d1"/>
    <w:p>
      <w:pPr>
        <w:pStyle w:val="Heading3"/>
      </w:pPr>
      <w:r>
        <w:t xml:space="preserve">Zagadnienie 1: jakość ustawy i kryterium „potencjalnego zagrożenia”</w:t>
      </w:r>
    </w:p>
    <w:p>
      <w:pPr>
        <w:pStyle w:val="FirstParagraph"/>
      </w:pPr>
      <w:r>
        <w:t xml:space="preserve">Wymóg legalności obejmuje dostępność i przewidywalność. W dziedzinie niejawnego nadzoru przewidywalność nie oznacza możliwości przewidzenia, kiedy służby zastosują środek, lecz dostateczną jasność co do przesłanek i zakresu uznania oraz istnienie zabezpieczeń przed arbitralnością.</w:t>
      </w:r>
    </w:p>
    <w:p>
      <w:pPr>
        <w:pStyle w:val="BodyText"/>
      </w:pPr>
      <w:r>
        <w:t xml:space="preserve">Kryterium „osoby uznanej za potencjalne zagrożenie” jest otwarte podmiotowo i nie zawiera progu podejrzenia. Nie wskazuje, kto dokonuje kwalifikacji, na jakiej podstawie faktycznej, na jaki czas i z jaką kontrolą. To klasyczny przypadek nieograniczonego uznania.</w:t>
      </w:r>
    </w:p>
    <w:p>
      <w:pPr>
        <w:pStyle w:val="BodyText"/>
      </w:pPr>
      <w:r>
        <w:t xml:space="preserve">Standard wypracowany w sprawie masowego przechwytywania jest tu bezpośrednio przydatny. W wyroku wielkiej izby przyjęto zaadaptowany test oceny reżimów masowego przechwytywania, skupiony na gwarancjach „od początku do końca”, uwzględniających rosnący stopień ingerencji na kolejnych etapach procesu. Stwierdzono fundamentalne braki reżimu, w tym brak niezależnej autoryzacji, pominięcie kategorii selektorów we wniosku o zgodę oraz niepoddanie selektorów powiązanych z konkretną osobą uprzedniej autoryzacji wewnętrznej. Ustawa Uxi nie zawiera żadnego z tych elementów.</w:t>
      </w:r>
    </w:p>
    <w:p>
      <w:pPr>
        <w:pStyle w:val="BodyText"/>
      </w:pPr>
      <w:r>
        <w:t xml:space="preserve">Wniosek: ingerencja nie spełnia wymogu legalności; badanie proporcjonalności staje się posiłkowe, choć warto je przeprowadzić na wypadek odmiennej oceny.</w:t>
      </w:r>
    </w:p>
    <w:bookmarkEnd w:id="51"/>
    <w:bookmarkStart w:id="52" w:name="X5250cc92817bff6a44237ebb4074692a1e19d0f"/>
    <w:p>
      <w:pPr>
        <w:pStyle w:val="Heading3"/>
      </w:pPr>
      <w:r>
        <w:t xml:space="preserve">Zagadnienie 2: przeszukanie urządzeń na granicy</w:t>
      </w:r>
    </w:p>
    <w:p>
      <w:pPr>
        <w:pStyle w:val="FirstParagraph"/>
      </w:pPr>
      <w:r>
        <w:t xml:space="preserve">Kontekst graniczny obniża oczekiwanie prywatności co do bagażu, ale nie co do zawartości urządzeń elektronicznych. Skopiowanie danych z urządzenia badaczki obejmuje korespondencję, materiały badawcze i kontakty — w tym prawdopodobnie kontakty z dziennikarką, co przenosi sprawę na grunt ochrony źródeł.</w:t>
      </w:r>
    </w:p>
    <w:p>
      <w:pPr>
        <w:pStyle w:val="BodyText"/>
      </w:pPr>
      <w:r>
        <w:t xml:space="preserve">Przesłanki dopuszczalności: podstawa ustawowa określająca przesłanki i zakres; indywidualna ocena konieczności; ograniczenie zakresu kopiowania do danych relewantnych; kontrola niezależna, co najmniej następcza i skuteczna; zasady przechowywania i usuwania; procedura ochrony materiałów objętych tajemnicą.</w:t>
      </w:r>
    </w:p>
    <w:p>
      <w:pPr>
        <w:pStyle w:val="BodyText"/>
      </w:pPr>
      <w:r>
        <w:t xml:space="preserve">Kazus nie wskazuje żadnej z tych gwarancji. Dodatkowo: zatrzymanie nastąpiło po polubieniu komentarza, co sugeruje związek z aktywnością ekspresyjną, a nie z bezpieczeństwem granicy.</w:t>
      </w:r>
    </w:p>
    <w:bookmarkEnd w:id="52"/>
    <w:bookmarkStart w:id="53" w:name="X5e736bd93eb5d8c0dbcda7327b2cc2aa35bd479"/>
    <w:p>
      <w:pPr>
        <w:pStyle w:val="Heading3"/>
      </w:pPr>
      <w:r>
        <w:t xml:space="preserve">Zagadnienie 3: zdalna ingerencja w urządzenie dziennikarki i ochrona źródeł</w:t>
      </w:r>
    </w:p>
    <w:p>
      <w:pPr>
        <w:pStyle w:val="FirstParagraph"/>
      </w:pPr>
      <w:r>
        <w:t xml:space="preserve">To najpoważniejszy zarzut w sprawie. Zdalna infekcja urządzenia narzędziem nadzoru daje dostęp do wszystkiego, co dziennikarka posiada i tworzy, w tym do tożsamości źródła i materiału nieopublikowanego. Ochrona źródeł jest traktowana jako fundament wolności prasy, a jej naruszenie oddziałuje nie tylko na dziennikarkę, lecz na zdolność prasy do pełnienia funkcji kontrolnej.</w:t>
      </w:r>
    </w:p>
    <w:p>
      <w:pPr>
        <w:pStyle w:val="BodyText"/>
      </w:pPr>
      <w:r>
        <w:t xml:space="preserve">Standard proceduralny jest wyraźny. Gwarancje muszą być współmierne do wagi chronionej zasady, a niezależna kontrola musi nastąpić przed ujawnieniem; materiał dziennikarski może być dalej przechowywany i badany tylko za zgodą sędziego lub innego niezależnego i bezstronnego organu, władnego ocenić, czy jest to uzasadnione nadrzędnym wymogiem interesu publicznego. Podważenie ochrony źródeł ma szkodliwy wpływ na rolę prasy jako publicznego strażnika i na jej zdolność dostarczania rzetelnych informacji.</w:t>
      </w:r>
    </w:p>
    <w:p>
      <w:pPr>
        <w:pStyle w:val="BodyText"/>
      </w:pPr>
      <w:r>
        <w:t xml:space="preserve">W sprawie Gravioli nadzór był</w:t>
      </w:r>
      <w:r>
        <w:t xml:space="preserve"> </w:t>
      </w:r>
      <w:r>
        <w:rPr>
          <w:bCs/>
          <w:b/>
        </w:rPr>
        <w:t xml:space="preserve">ukierunkowany</w:t>
      </w:r>
      <w:r>
        <w:t xml:space="preserve">, nie przypadkowy — to ingerencja poważniejsza niż w sprawach przechwytywania masowego, gdzie materiał dziennikarski trafiał do systemu ubocznie. Brak jakiejkolwiek uprzedniej kontroli sądowej przesądza o naruszeniu.</w:t>
      </w:r>
    </w:p>
    <w:bookmarkEnd w:id="53"/>
    <w:bookmarkStart w:id="54" w:name="zagadnienie-4-polubienie-komentarza"/>
    <w:p>
      <w:pPr>
        <w:pStyle w:val="Heading3"/>
      </w:pPr>
      <w:r>
        <w:t xml:space="preserve">Zagadnienie 4: polubienie komentarza</w:t>
      </w:r>
    </w:p>
    <w:p>
      <w:pPr>
        <w:pStyle w:val="FirstParagraph"/>
      </w:pPr>
      <w:r>
        <w:t xml:space="preserve">Kwalifikacja prawna: polubienie jest formą wyrażenia opinii i korzysta z ochrony wolności wypowiedzi. W sprawie Melike przeciwko Turcji uznano, że polubienie wpisu może być traktowane jako wyrażenie opinii i mieści się w zakresie ochrony art. 10 Konwencji. Skarżąca nie stworzyła wpisów ani ich nie udostępniła, a jedynie je polubiła, co ogranicza zasięg jej działania; natychmiastowe zwolnienie bez środków kompensacyjnych było nieproporcjonalne. Trybunał stwierdził jednomyślnie naruszenie art. 10 Konwencji.</w:t>
      </w:r>
    </w:p>
    <w:p>
      <w:pPr>
        <w:pStyle w:val="BodyText"/>
      </w:pPr>
      <w:r>
        <w:t xml:space="preserve">Przeniesienie na kazus: Vitoria jest byłą doradczynią ministerstwa i pracowniczką uczelni publicznej, więc ciąży na niej pewien obowiązek lojalności — silniejszy niż w sprawie Melike. Z drugiej strony wypowiedź dotyczy sprawy publicznej (nadzór biometryczny), gdzie margines państwa jest wąski, a Vitoria występowała jako ekspertka w debacie publicznej, co wzmacnia ochronę.</w:t>
      </w:r>
    </w:p>
    <w:p>
      <w:pPr>
        <w:pStyle w:val="BodyText"/>
      </w:pPr>
      <w:r>
        <w:t xml:space="preserve">Kwalifikacja polubienia jako podżegania wymaga testu wieloczynnikowego: kontekst, pozycja mówcy, zamiar, treść, zasięg, bezpośredniość i prawdopodobieństwo wywołania czynu. Polubienie cudzego komentarza nie zawiera własnej treści, ma minimalny zasięg autonomiczny i nie wykazuje zamiaru wywołania czynu bezprawnego. Kwalifikacja jest nie do utrzymania.</w:t>
      </w:r>
    </w:p>
    <w:bookmarkEnd w:id="54"/>
    <w:bookmarkStart w:id="55" w:name="X2e6ceae23491779bce7a0bff863eba25a212f5f"/>
    <w:p>
      <w:pPr>
        <w:pStyle w:val="Heading3"/>
      </w:pPr>
      <w:r>
        <w:t xml:space="preserve">Zagadnienie 5: uprzednia blokada publikacji</w:t>
      </w:r>
    </w:p>
    <w:p>
      <w:pPr>
        <w:pStyle w:val="FirstParagraph"/>
      </w:pPr>
      <w:r>
        <w:t xml:space="preserve">Uprzednie ograniczenia nie są zakazane, ale wymagają najbardziej skrupulatnej kontroli, ponieważ informacja jest dobrem nietrwałym i opóźnienie publikacji może pozbawić ją wartości.</w:t>
      </w:r>
    </w:p>
    <w:p>
      <w:pPr>
        <w:pStyle w:val="BodyText"/>
      </w:pPr>
      <w:r>
        <w:t xml:space="preserve">Test: (a) czy istnieje konkretne, poważne i możliwe do wykazania zagrożenie, a nie ogólne odwołanie do bezpieczeństwa; (b) czy zakres blokady jest ograniczony do materiału rzeczywiście niebezpiecznego; (c) czy rozważono środki mniej dotkliwe — redakcję fragmentów, opóźnienie w części, konsultację z redakcją; (d) czy istnieje kontrola sądowa z udziałem wydawcy; (e) czy informacja nie jest już dostępna publicznie.</w:t>
      </w:r>
    </w:p>
    <w:p>
      <w:pPr>
        <w:pStyle w:val="BodyText"/>
      </w:pPr>
      <w:r>
        <w:t xml:space="preserve">Blokada</w:t>
      </w:r>
      <w:r>
        <w:t xml:space="preserve"> </w:t>
      </w:r>
      <w:r>
        <w:rPr>
          <w:bCs/>
          <w:b/>
        </w:rPr>
        <w:t xml:space="preserve">całej</w:t>
      </w:r>
      <w:r>
        <w:t xml:space="preserve"> </w:t>
      </w:r>
      <w:r>
        <w:t xml:space="preserve">publikacji przy materiale, którego część pochodzi od źródła anonimowego i dotyczy niejawnego systemu identyfikacji migrantów, nie przechodzi elementu (b) ani (c). Państwo nie wykazało, że każdy fragment materiału zagraża bezpieczeństwu.</w:t>
      </w:r>
    </w:p>
    <w:bookmarkEnd w:id="55"/>
    <w:bookmarkStart w:id="56" w:name="zagadnienie-6-kumulacja-sankcji"/>
    <w:p>
      <w:pPr>
        <w:pStyle w:val="Heading3"/>
      </w:pPr>
      <w:r>
        <w:t xml:space="preserve">Zagadnienie 6: kumulacja sankcji</w:t>
      </w:r>
    </w:p>
    <w:p>
      <w:pPr>
        <w:pStyle w:val="FirstParagraph"/>
      </w:pPr>
      <w:r>
        <w:t xml:space="preserve">Vitoria doświadczyła czterech dolegliwości: nadzoru, przeszukania i skopiowania danych, rozwiązania stosunku pracy przez uczelnię publiczną, wszczęcia procedury cofnięcia pobytu. Ocena każdej z osobna zaniża rzeczywisty ciężar.</w:t>
      </w:r>
    </w:p>
    <w:p>
      <w:pPr>
        <w:pStyle w:val="BodyText"/>
      </w:pPr>
      <w:r>
        <w:t xml:space="preserve">Kumulacja ma dwa znaczenia prawne. Po pierwsze, wzmacnia efekt mrożący — sekwencja sankcji następujących po aktywności ekspresyjnej odstrasza nie tylko skarżącą, lecz całe środowisko badawcze. Po drugie, może wskazywać na cel inny niż deklarowany. Jeżeli ograniczenia zastosowano w celu uciszenia krytyczki, a nie ochrony bezpieczeństwa, mamy do czynienia z nadużyciem ograniczeń, badanym odrębnie i wymagającym dowodu wykraczającego poza samo podejrzenie.</w:t>
      </w:r>
    </w:p>
    <w:p>
      <w:pPr>
        <w:pStyle w:val="BodyText"/>
      </w:pPr>
      <w:r>
        <w:t xml:space="preserve">Poszlaki wskazujące na cel ukryty: zbieżność czasowa z kampanią przeciwko rozpoznawaniu twarzy, natychmiastowość reakcji uczelni, brak postępowania karnego mimo zarzutu kontaktów z przestępczością zorganizowaną. Poszlaki przeciwne: państwo twierdzi, że dysponowało informacjami operacyjnymi. Rozstrzygnięcie zależy od tego, czy informacje te zostaną przedstawione choćby w zarysie.</w:t>
      </w:r>
    </w:p>
    <w:bookmarkEnd w:id="56"/>
    <w:bookmarkEnd w:id="57"/>
    <w:bookmarkStart w:id="58" w:name="macierz-argumentów-2"/>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Uxi</w:t>
            </w:r>
          </w:p>
        </w:tc>
        <w:tc>
          <w:tcPr/>
          <w:p>
            <w:pPr>
              <w:pStyle w:val="Compact"/>
              <w:jc w:val="left"/>
            </w:pPr>
            <w:r>
              <w:t xml:space="preserve">Odpowiedź skarżących</w:t>
            </w:r>
          </w:p>
        </w:tc>
      </w:tr>
      <w:tr>
        <w:tc>
          <w:tcPr/>
          <w:p>
            <w:pPr>
              <w:pStyle w:val="Compact"/>
              <w:jc w:val="left"/>
            </w:pPr>
            <w:r>
              <w:t xml:space="preserve">Legalność ustawy</w:t>
            </w:r>
          </w:p>
        </w:tc>
        <w:tc>
          <w:tcPr/>
          <w:p>
            <w:pPr>
              <w:pStyle w:val="Compact"/>
              <w:jc w:val="left"/>
            </w:pPr>
            <w:r>
              <w:t xml:space="preserve">Elastyczne kryterium jest konieczne wobec dynamiki zagrożeń; szczegółowość ułatwiłaby obejście</w:t>
            </w:r>
          </w:p>
        </w:tc>
        <w:tc>
          <w:tcPr/>
          <w:p>
            <w:pPr>
              <w:pStyle w:val="Compact"/>
              <w:jc w:val="left"/>
            </w:pPr>
            <w:r>
              <w:t xml:space="preserve">Brak progu podejrzenia, organu decydującego i kontroli to nieograniczone uznanie; standard wymaga gwarancji na każdym etapie</w:t>
            </w:r>
          </w:p>
        </w:tc>
      </w:tr>
      <w:tr>
        <w:tc>
          <w:tcPr/>
          <w:p>
            <w:pPr>
              <w:pStyle w:val="Compact"/>
              <w:jc w:val="left"/>
            </w:pPr>
            <w:r>
              <w:t xml:space="preserve">Przeszukanie graniczne</w:t>
            </w:r>
          </w:p>
        </w:tc>
        <w:tc>
          <w:tcPr/>
          <w:p>
            <w:pPr>
              <w:pStyle w:val="Compact"/>
              <w:jc w:val="left"/>
            </w:pPr>
            <w:r>
              <w:t xml:space="preserve">Obniżone oczekiwanie prywatności na granicy; kontrola konieczna wobec ryzyka</w:t>
            </w:r>
          </w:p>
        </w:tc>
        <w:tc>
          <w:tcPr/>
          <w:p>
            <w:pPr>
              <w:pStyle w:val="Compact"/>
              <w:jc w:val="left"/>
            </w:pPr>
            <w:r>
              <w:t xml:space="preserve">Skopiowanie całości danych to ingerencja pełna, nie graniczna; brak ograniczenia zakresu i kontroli</w:t>
            </w:r>
          </w:p>
        </w:tc>
      </w:tr>
      <w:tr>
        <w:tc>
          <w:tcPr/>
          <w:p>
            <w:pPr>
              <w:pStyle w:val="Compact"/>
              <w:jc w:val="left"/>
            </w:pPr>
            <w:r>
              <w:t xml:space="preserve">Nadzór nad dziennikarką</w:t>
            </w:r>
          </w:p>
        </w:tc>
        <w:tc>
          <w:tcPr/>
          <w:p>
            <w:pPr>
              <w:pStyle w:val="Compact"/>
              <w:jc w:val="left"/>
            </w:pPr>
            <w:r>
              <w:t xml:space="preserve">Materiał zawierał informacje niejawne; interes bezpieczeństwa przeważa</w:t>
            </w:r>
          </w:p>
        </w:tc>
        <w:tc>
          <w:tcPr/>
          <w:p>
            <w:pPr>
              <w:pStyle w:val="Compact"/>
              <w:jc w:val="left"/>
            </w:pPr>
            <w:r>
              <w:t xml:space="preserve">Nadzór ukierunkowany na dziennikarkę wymaga uprzedniej zgody niezależnego organu i testu nadrzędnego interesu publicznego; brak obu</w:t>
            </w:r>
          </w:p>
        </w:tc>
      </w:tr>
      <w:tr>
        <w:tc>
          <w:tcPr/>
          <w:p>
            <w:pPr>
              <w:pStyle w:val="Compact"/>
              <w:jc w:val="left"/>
            </w:pPr>
            <w:r>
              <w:t xml:space="preserve">Polubienie</w:t>
            </w:r>
          </w:p>
        </w:tc>
        <w:tc>
          <w:tcPr/>
          <w:p>
            <w:pPr>
              <w:pStyle w:val="Compact"/>
              <w:jc w:val="left"/>
            </w:pPr>
            <w:r>
              <w:t xml:space="preserve">Poparcie mobilizacji przeciwko systemowi państwowemu</w:t>
            </w:r>
          </w:p>
        </w:tc>
        <w:tc>
          <w:tcPr/>
          <w:p>
            <w:pPr>
              <w:pStyle w:val="Compact"/>
              <w:jc w:val="left"/>
            </w:pPr>
            <w:r>
              <w:t xml:space="preserve">Polubienie to opinia o ograniczonym zasięgu; brak treści własnej, zamiaru i bezpośredniości; sprawa publiczna zawęża margines</w:t>
            </w:r>
          </w:p>
        </w:tc>
      </w:tr>
      <w:tr>
        <w:tc>
          <w:tcPr/>
          <w:p>
            <w:pPr>
              <w:pStyle w:val="Compact"/>
              <w:jc w:val="left"/>
            </w:pPr>
            <w:r>
              <w:t xml:space="preserve">Blokada publikacji</w:t>
            </w:r>
          </w:p>
        </w:tc>
        <w:tc>
          <w:tcPr/>
          <w:p>
            <w:pPr>
              <w:pStyle w:val="Compact"/>
              <w:jc w:val="left"/>
            </w:pPr>
            <w:r>
              <w:t xml:space="preserve">Uprzednie ograniczenie było jedynym skutecznym środkiem</w:t>
            </w:r>
          </w:p>
        </w:tc>
        <w:tc>
          <w:tcPr/>
          <w:p>
            <w:pPr>
              <w:pStyle w:val="Compact"/>
              <w:jc w:val="left"/>
            </w:pPr>
            <w:r>
              <w:t xml:space="preserve">Zakaz obejmuje całość materiału bez wykazania zagrożenia w każdej części; nie rozważono redakcji fragmentów</w:t>
            </w:r>
          </w:p>
        </w:tc>
      </w:tr>
      <w:tr>
        <w:tc>
          <w:tcPr/>
          <w:p>
            <w:pPr>
              <w:pStyle w:val="Compact"/>
              <w:jc w:val="left"/>
            </w:pPr>
            <w:r>
              <w:t xml:space="preserve">Kumulacja</w:t>
            </w:r>
          </w:p>
        </w:tc>
        <w:tc>
          <w:tcPr/>
          <w:p>
            <w:pPr>
              <w:pStyle w:val="Compact"/>
              <w:jc w:val="left"/>
            </w:pPr>
            <w:r>
              <w:t xml:space="preserve">Każdy środek ma odrębną podstawę i cel</w:t>
            </w:r>
          </w:p>
        </w:tc>
        <w:tc>
          <w:tcPr/>
          <w:p>
            <w:pPr>
              <w:pStyle w:val="Compact"/>
              <w:jc w:val="left"/>
            </w:pPr>
            <w:r>
              <w:t xml:space="preserve">Sekwencja sankcji po aktywności ekspresyjnej wskazuje na cel ukryty i wywołuje efekt mrożący</w:t>
            </w:r>
          </w:p>
        </w:tc>
      </w:tr>
      <w:tr>
        <w:tc>
          <w:tcPr/>
          <w:p>
            <w:pPr>
              <w:pStyle w:val="Compact"/>
              <w:jc w:val="left"/>
            </w:pPr>
            <w:r>
              <w:t xml:space="preserve">Materiał niejawny</w:t>
            </w:r>
          </w:p>
        </w:tc>
        <w:tc>
          <w:tcPr/>
          <w:p>
            <w:pPr>
              <w:pStyle w:val="Compact"/>
              <w:jc w:val="left"/>
            </w:pPr>
            <w:r>
              <w:t xml:space="preserve">Ujawnienie zagroziłoby źródłom operacyjnym</w:t>
            </w:r>
          </w:p>
        </w:tc>
        <w:tc>
          <w:tcPr/>
          <w:p>
            <w:pPr>
              <w:pStyle w:val="Compact"/>
              <w:jc w:val="left"/>
            </w:pPr>
            <w:r>
              <w:t xml:space="preserve">Konieczne ujawnienie istoty zarzutów i kompensacja proceduralna; inaczej brak równości broni</w:t>
            </w:r>
          </w:p>
        </w:tc>
      </w:tr>
    </w:tbl>
    <w:bookmarkEnd w:id="58"/>
    <w:bookmarkStart w:id="59" w:name="X253b8615953e73ec82a6253eaeb2911a05d1ee5"/>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Czy wyczerpano środki krajowe co do zwolnienia i procedury migracyjnej</w:t>
            </w:r>
          </w:p>
        </w:tc>
        <w:tc>
          <w:tcPr/>
          <w:p>
            <w:pPr>
              <w:pStyle w:val="Compact"/>
              <w:jc w:val="left"/>
            </w:pPr>
            <w:r>
              <w:t xml:space="preserve">Warunek dopuszczalności skargi</w:t>
            </w:r>
          </w:p>
        </w:tc>
        <w:tc>
          <w:tcPr/>
          <w:p>
            <w:pPr>
              <w:pStyle w:val="Compact"/>
              <w:jc w:val="left"/>
            </w:pPr>
            <w:r>
              <w:t xml:space="preserve">Orzeczenia sądów krajowych</w:t>
            </w:r>
          </w:p>
        </w:tc>
      </w:tr>
      <w:tr>
        <w:tc>
          <w:tcPr/>
          <w:p>
            <w:pPr>
              <w:pStyle w:val="Compact"/>
              <w:jc w:val="left"/>
            </w:pPr>
            <w:r>
              <w:t xml:space="preserve">Podstawa i procedura autoryzacji nadzoru nad Graviolą</w:t>
            </w:r>
          </w:p>
        </w:tc>
        <w:tc>
          <w:tcPr/>
          <w:p>
            <w:pPr>
              <w:pStyle w:val="Compact"/>
              <w:jc w:val="left"/>
            </w:pPr>
            <w:r>
              <w:t xml:space="preserve">Rdzeń oceny gwarancji proceduralnych</w:t>
            </w:r>
          </w:p>
        </w:tc>
        <w:tc>
          <w:tcPr/>
          <w:p>
            <w:pPr>
              <w:pStyle w:val="Compact"/>
              <w:jc w:val="left"/>
            </w:pPr>
            <w:r>
              <w:t xml:space="preserve">Wniosek o zgodę, decyzja organu autoryzującego</w:t>
            </w:r>
          </w:p>
        </w:tc>
      </w:tr>
      <w:tr>
        <w:tc>
          <w:tcPr/>
          <w:p>
            <w:pPr>
              <w:pStyle w:val="Compact"/>
              <w:jc w:val="left"/>
            </w:pPr>
            <w:r>
              <w:t xml:space="preserve">Treść informacji o kontaktach Vitorii</w:t>
            </w:r>
          </w:p>
        </w:tc>
        <w:tc>
          <w:tcPr/>
          <w:p>
            <w:pPr>
              <w:pStyle w:val="Compact"/>
              <w:jc w:val="left"/>
            </w:pPr>
            <w:r>
              <w:t xml:space="preserve">Jedyne uzasadnienie merytoryczne sankcji</w:t>
            </w:r>
          </w:p>
        </w:tc>
        <w:tc>
          <w:tcPr/>
          <w:p>
            <w:pPr>
              <w:pStyle w:val="Compact"/>
              <w:jc w:val="left"/>
            </w:pPr>
            <w:r>
              <w:t xml:space="preserve">Materiał operacyjny lub jego streszczenie</w:t>
            </w:r>
          </w:p>
        </w:tc>
      </w:tr>
      <w:tr>
        <w:tc>
          <w:tcPr/>
          <w:p>
            <w:pPr>
              <w:pStyle w:val="Compact"/>
              <w:jc w:val="left"/>
            </w:pPr>
            <w:r>
              <w:t xml:space="preserve">Zakres materiału objętego blokadą</w:t>
            </w:r>
          </w:p>
        </w:tc>
        <w:tc>
          <w:tcPr/>
          <w:p>
            <w:pPr>
              <w:pStyle w:val="Compact"/>
              <w:jc w:val="left"/>
            </w:pPr>
            <w:r>
              <w:t xml:space="preserve">Ocena proporcjonalności zakresu</w:t>
            </w:r>
          </w:p>
        </w:tc>
        <w:tc>
          <w:tcPr/>
          <w:p>
            <w:pPr>
              <w:pStyle w:val="Compact"/>
              <w:jc w:val="left"/>
            </w:pPr>
            <w:r>
              <w:t xml:space="preserve">Postanowienie sądu z określeniem fragmentów</w:t>
            </w:r>
          </w:p>
        </w:tc>
      </w:tr>
      <w:tr>
        <w:tc>
          <w:tcPr/>
          <w:p>
            <w:pPr>
              <w:pStyle w:val="Compact"/>
              <w:jc w:val="left"/>
            </w:pPr>
            <w:r>
              <w:t xml:space="preserve">Czy dane skopiowane na granicy obejmowały korespondencję z Graviolą</w:t>
            </w:r>
          </w:p>
        </w:tc>
        <w:tc>
          <w:tcPr/>
          <w:p>
            <w:pPr>
              <w:pStyle w:val="Compact"/>
              <w:jc w:val="left"/>
            </w:pPr>
            <w:r>
              <w:t xml:space="preserve">Przenosi sprawę na grunt ochrony źródeł</w:t>
            </w:r>
          </w:p>
        </w:tc>
        <w:tc>
          <w:tcPr/>
          <w:p>
            <w:pPr>
              <w:pStyle w:val="Compact"/>
              <w:jc w:val="left"/>
            </w:pPr>
            <w:r>
              <w:t xml:space="preserve">Protokół czynności, wykaz skopiowanych zbiorów</w:t>
            </w:r>
          </w:p>
        </w:tc>
      </w:tr>
      <w:tr>
        <w:tc>
          <w:tcPr/>
          <w:p>
            <w:pPr>
              <w:pStyle w:val="Compact"/>
              <w:jc w:val="left"/>
            </w:pPr>
            <w:r>
              <w:t xml:space="preserve">Podstawa rozwiązania stosunku pracy przez uczelnię</w:t>
            </w:r>
          </w:p>
        </w:tc>
        <w:tc>
          <w:tcPr/>
          <w:p>
            <w:pPr>
              <w:pStyle w:val="Compact"/>
              <w:jc w:val="left"/>
            </w:pPr>
            <w:r>
              <w:t xml:space="preserve">Odróżnia sankcję państwa od decyzji pracodawcy</w:t>
            </w:r>
          </w:p>
        </w:tc>
        <w:tc>
          <w:tcPr/>
          <w:p>
            <w:pPr>
              <w:pStyle w:val="Compact"/>
              <w:jc w:val="left"/>
            </w:pPr>
            <w:r>
              <w:t xml:space="preserve">Uchwała, uzasadnienie, regulamin</w:t>
            </w:r>
          </w:p>
        </w:tc>
      </w:tr>
      <w:tr>
        <w:tc>
          <w:tcPr/>
          <w:p>
            <w:pPr>
              <w:pStyle w:val="Compact"/>
              <w:jc w:val="left"/>
            </w:pPr>
            <w:r>
              <w:t xml:space="preserve">Czy informacja była już publicznie dostępna</w:t>
            </w:r>
          </w:p>
        </w:tc>
        <w:tc>
          <w:tcPr/>
          <w:p>
            <w:pPr>
              <w:pStyle w:val="Compact"/>
              <w:jc w:val="left"/>
            </w:pPr>
            <w:r>
              <w:t xml:space="preserve">Uprzednie ograniczenie traci sens przy materiale ujawnionym</w:t>
            </w:r>
          </w:p>
        </w:tc>
        <w:tc>
          <w:tcPr/>
          <w:p>
            <w:pPr>
              <w:pStyle w:val="Compact"/>
              <w:jc w:val="left"/>
            </w:pPr>
            <w:r>
              <w:t xml:space="preserve">Publikacje wcześniejsze</w:t>
            </w:r>
          </w:p>
        </w:tc>
      </w:tr>
    </w:tbl>
    <w:bookmarkEnd w:id="59"/>
    <w:bookmarkStart w:id="60" w:name="proponowane-rozstrzygnięcie-2"/>
    <w:p>
      <w:pPr>
        <w:pStyle w:val="Heading2"/>
      </w:pPr>
      <w:r>
        <w:t xml:space="preserve">Proponowane rozstrzygnięcie</w:t>
      </w:r>
    </w:p>
    <w:p>
      <w:pPr>
        <w:pStyle w:val="FirstParagraph"/>
      </w:pPr>
      <w:r>
        <w:t xml:space="preserve">Stwierdzić naruszenie prawa do poszanowania życia prywatnego wobec obu skarżących: wobec Vitorii przez przeszukanie i skopiowanie danych bez gwarancji, wobec Gravioli przez zdalną ingerencję w urządzenie bez uprzedniej kontroli niezależnego organu.</w:t>
      </w:r>
    </w:p>
    <w:p>
      <w:pPr>
        <w:pStyle w:val="BodyText"/>
      </w:pPr>
      <w:r>
        <w:t xml:space="preserve">Stwierdzić naruszenie wolności wypowiedzi: wobec Vitorii przez sankcje następujące po wypowiedzi w sprawie publicznej, wobec Gravioli przez uprzednią blokadę całej publikacji oraz przez naruszenie ochrony źródeł.</w:t>
      </w:r>
    </w:p>
    <w:p>
      <w:pPr>
        <w:pStyle w:val="BodyText"/>
      </w:pPr>
      <w:r>
        <w:t xml:space="preserve">Środki: uchylenie nakazu blokady w części nieuzasadnionej; usunięcie danych pozyskanych bezprawnie; wznowienie postępowań krajowych; zmiana ustawy przez wprowadzenie progu podejrzenia, uprzedniej autoryzacji niezależnej i szczególnej procedury dla materiału dziennikarskiego; zadośćuczynienie.</w:t>
      </w:r>
    </w:p>
    <w:p>
      <w:pPr>
        <w:pStyle w:val="BodyText"/>
      </w:pPr>
      <w:r>
        <w:t xml:space="preserve">Nie orzekać o zarzucie nadużycia ograniczeń — dowód celu ukrytego wymaga materiału, którego w sprawie brak.</w:t>
      </w:r>
    </w:p>
    <w:bookmarkEnd w:id="60"/>
    <w:bookmarkStart w:id="61" w:name="zweryfikowane-pozycje-źródłowe-k-03"/>
    <w:p>
      <w:pPr>
        <w:pStyle w:val="Heading2"/>
      </w:pPr>
      <w:r>
        <w:t xml:space="preserve">Zweryfikowane pozycje źródłowe (K-03)</w:t>
      </w:r>
    </w:p>
    <w:p>
      <w:pPr>
        <w:numPr>
          <w:ilvl w:val="0"/>
          <w:numId w:val="1005"/>
        </w:numPr>
        <w:pStyle w:val="Compact"/>
      </w:pPr>
      <w:r>
        <w:t xml:space="preserve">Big Brother Watch i inni przeciwko Zjednoczonemu Królestwu, wielka izba, 25 maja 2021 r., skargi nr 58170/13, 62322/14 i 24960/15 — test gwarancji „od początku do końca”; braki reżimu (brak niezależnej autoryzacji, kategorie selektorów, selektory powiązane z osobą); wymóg zgody sędziego lub innego niezależnego organu na dalsze przechowywanie i badanie poufnego materiału dziennikarskiego przy teście nadrzędnego interesu publicznego; naruszenie art. 8 i art. 10.</w:t>
      </w:r>
    </w:p>
    <w:p>
      <w:pPr>
        <w:numPr>
          <w:ilvl w:val="0"/>
          <w:numId w:val="1005"/>
        </w:numPr>
        <w:pStyle w:val="Compact"/>
      </w:pPr>
      <w:r>
        <w:t xml:space="preserve">Melike przeciwko Turcji, 15 czerwca 2021 r., skarga nr 35786/19 — polubienie jako wyrażenie opinii objęte art. 10; mniejszy zasięg polubienia niż udostępnienia; nieproporcjonalność natychmiastowego zwolnienia; naruszenie art. 10 stwierdzone jednomyślnie.</w:t>
      </w:r>
    </w:p>
    <w:p>
      <w:pPr>
        <w:numPr>
          <w:ilvl w:val="0"/>
          <w:numId w:val="1005"/>
        </w:numPr>
        <w:pStyle w:val="Compact"/>
      </w:pPr>
      <w:r>
        <w:t xml:space="preserve">Sanoma Uitgevers — przywołane w wyroku wielkiej izby jako źródło wymogu uprzedniej kontroli niezależnej przy ujawnieniu materiału dziennikarskiego.</w:t>
      </w:r>
    </w:p>
    <w:p>
      <w:pPr>
        <w:pStyle w:val="FirstParagraph"/>
      </w:pPr>
      <w:r>
        <w:t xml:space="preserve">Elementy nieprzypisane sygnaturom (test uprzednich ograniczeń, wieloczynnikowy test podżegania, standard ujawnienia istoty zarzutów przy materiale niejawnym) przedstawiono jako standard doktrynalny wymagający samodzielnego potwierdzenia.</w:t>
      </w:r>
    </w:p>
    <w:p>
      <w:r>
        <w:br w:type="page"/>
      </w:r>
    </w:p>
    <w:bookmarkEnd w:id="61"/>
    <w:bookmarkEnd w:id="62"/>
    <w:bookmarkStart w:id="76" w:name="X0775be79fe1437a571031a0fbe55252bc4e1b5b"/>
    <w:p>
      <w:pPr>
        <w:pStyle w:val="Heading1"/>
      </w:pPr>
      <w:r>
        <w:t xml:space="preserve">K-04 Prokurator przeciwko Drogannie Syrax</w:t>
      </w:r>
    </w:p>
    <w:bookmarkStart w:id="63" w:name="teza-wstępna-3"/>
    <w:p>
      <w:pPr>
        <w:pStyle w:val="Heading2"/>
      </w:pPr>
      <w:r>
        <w:t xml:space="preserve">Teza wstępna</w:t>
      </w:r>
    </w:p>
    <w:p>
      <w:pPr>
        <w:pStyle w:val="FirstParagraph"/>
      </w:pPr>
      <w:r>
        <w:t xml:space="preserve">Najsilniejszym zarzutem obrony nie jest immunitet ani nieprawidłowe ujęcie, lecz</w:t>
      </w:r>
      <w:r>
        <w:t xml:space="preserve"> </w:t>
      </w:r>
      <w:r>
        <w:rPr>
          <w:bCs/>
          <w:b/>
        </w:rPr>
        <w:t xml:space="preserve">jurysdykcja przedmiotowa co do zbrodni głodzenia w konflikcie niemiędzynarodowym</w:t>
      </w:r>
      <w:r>
        <w:t xml:space="preserve">. Przepis penalizujący głodzenie w takim konflikcie został dodany do statutu dopiero nowelizacją i wchodzi w życie tylko wobec państw, które ją przyjęły. Konfiguracja kazusu — państwo niebędące stroną, działające na podstawie deklaracji ad hoc — czyni ten zarzut poważnym. Rekomendacja dla oskarżenia: przenieść ciężar kwalifikacji na zbrodnie przeciwko ludzkości, które nie zależą od nowelizacji. Immunitet jest zarzutem słabym. Zarzut nieprawidłowego doprowadzenia nie prowadzi do umorzenia, lecz może uzasadniać środki naprawcze.</w:t>
      </w:r>
    </w:p>
    <w:bookmarkEnd w:id="63"/>
    <w:bookmarkStart w:id="64" w:name="mapa-jurysdykcji-źródeł-i-kompetencji-3"/>
    <w:p>
      <w:pPr>
        <w:pStyle w:val="Heading2"/>
      </w:pPr>
      <w:r>
        <w:t xml:space="preserve">Mapa jurysdykcji, źródeł i kompetencji</w:t>
      </w:r>
    </w:p>
    <w:p>
      <w:pPr>
        <w:pStyle w:val="FirstParagraph"/>
      </w:pPr>
      <w:r>
        <w:rPr>
          <w:bCs/>
          <w:b/>
        </w:rPr>
        <w:t xml:space="preserve">Cztery warunki jurysdykcji, badane niezależnie.</w:t>
      </w:r>
      <w:r>
        <w:t xml:space="preserve"> </w:t>
      </w:r>
      <w:r>
        <w:t xml:space="preserve">Przedmiotowa (czy czyn jest zbrodnią statutową), terytorialna lub personalna (tu: przez deklarację ad hoc), czasowa (czy czyn popełniono w okresie objętym deklaracją) oraz dopuszczalność sprawy (komplementarność i waga).</w:t>
      </w:r>
    </w:p>
    <w:p>
      <w:pPr>
        <w:pStyle w:val="BodyText"/>
      </w:pPr>
      <w:r>
        <w:rPr>
          <w:bCs/>
          <w:b/>
        </w:rPr>
        <w:t xml:space="preserve">Prawo właściwe.</w:t>
      </w:r>
      <w:r>
        <w:t xml:space="preserve"> </w:t>
      </w:r>
      <w:r>
        <w:t xml:space="preserve">Statut i elementy zbrodni w pierwszej kolejności; następnie traktaty oraz zasady i normy prawa międzynarodowego, w tym prawa konfliktów zbrojnych; posiłkowo zasady ogólne. Stosowanie i wykładnia muszą być zgodne z uznanymi prawami człowieka. Zakaz analogii i nakaz wykładni na korzyść oskarżonej mają w tej sprawie znaczenie centralne.</w:t>
      </w:r>
    </w:p>
    <w:p>
      <w:pPr>
        <w:pStyle w:val="BodyText"/>
      </w:pPr>
      <w:r>
        <w:rPr>
          <w:bCs/>
          <w:b/>
        </w:rPr>
        <w:t xml:space="preserve">Etap.</w:t>
      </w:r>
      <w:r>
        <w:t xml:space="preserve"> </w:t>
      </w:r>
      <w:r>
        <w:t xml:space="preserve">Potwierdzenie zarzutów — standard „istotnych podstaw do przypuszczenia”. Standard ten jest wyższy niż dla nakazu aresztowania, niższy niż dla skazania. Fragmentaryczność dokumentów i ustny charakter części rozkazów nie wykluczają potwierdzenia zarzutów, ale wpływają na wybór formy odpowiedzialności.</w:t>
      </w:r>
    </w:p>
    <w:bookmarkEnd w:id="64"/>
    <w:bookmarkStart w:id="71" w:name="analiza-materialna-według-zagadnień-3"/>
    <w:p>
      <w:pPr>
        <w:pStyle w:val="Heading2"/>
      </w:pPr>
      <w:r>
        <w:t xml:space="preserve">Analiza materialna według zagadnień</w:t>
      </w:r>
    </w:p>
    <w:bookmarkStart w:id="65" w:name="zagadnienie-1-kwalifikacja-czynu"/>
    <w:p>
      <w:pPr>
        <w:pStyle w:val="Heading3"/>
      </w:pPr>
      <w:r>
        <w:t xml:space="preserve">Zagadnienie 1: kwalifikacja czynu</w:t>
      </w:r>
    </w:p>
    <w:p>
      <w:pPr>
        <w:pStyle w:val="FirstParagraph"/>
      </w:pPr>
      <w:r>
        <w:rPr>
          <w:iCs/>
          <w:i/>
        </w:rPr>
        <w:t xml:space="preserve">Ścieżka pierwsza — głodzenie jako zbrodnia wojenna.</w:t>
      </w:r>
      <w:r>
        <w:t xml:space="preserve"> </w:t>
      </w:r>
      <w:r>
        <w:t xml:space="preserve">Znamiona: umyślne stosowanie głodzenia ludności cywilnej jako metody prowadzenia wojny przez pozbawianie jej przedmiotów niezbędnych do przetrwania, w tym umyślne utrudnianie dostaw pomocy.</w:t>
      </w:r>
    </w:p>
    <w:p>
      <w:pPr>
        <w:pStyle w:val="BodyText"/>
      </w:pPr>
      <w:r>
        <w:t xml:space="preserve">Bariera jest jurysdykcyjna. W konfliktach międzynarodowych przepis obowiązuje od początku. W konfliktach niemiędzynarodowych — dopiero od nowelizacji. 6 grudnia 2019 r. Zgromadzenie Państw-Stron jednomyślnie znowelizowało statut, obejmując zbrodnią wojenną głodzenie w konflikcie niemiędzynarodowym. Poprawkę wprowadzono jako art. 8 ust. 2 lit. e pkt xix w brzmieniu: umyślne stosowanie głodzenia ludności cywilnej jako metody prowadzenia wojny przez pozbawianie jej przedmiotów niezbędnych do przetrwania, w tym umyślne utrudnianie dostaw pomocy.</w:t>
      </w:r>
    </w:p>
    <w:p>
      <w:pPr>
        <w:pStyle w:val="BodyText"/>
      </w:pPr>
      <w:r>
        <w:t xml:space="preserve">Rozstrzygający jest tryb wejścia w życie. Skutek nowelizacji podlega art. 121 ust. 5: każda zmiana art. 5–8 statutu wchodzi w życie wobec tych państw-stron, które ją przyjęły, rok po złożeniu dokumentu ratyfikacji lub przyjęcia. Essuss nie jest stroną statutu i nie mogło przyjąć poprawki. Deklaracja ad hoc uznaje jurysdykcję Trybunału w brzmieniu statutu — powstaje pytanie, czy obejmuje to brzmienie znowelizowane, którego Essuss nie przyjęło. Obrona ma tu argument oparty na zakazie karania bez podstawy prawnej: nie można rozszerzyć zakresu przedmiotowego przez wykładnię deklaracji.</w:t>
      </w:r>
    </w:p>
    <w:p>
      <w:pPr>
        <w:pStyle w:val="BodyText"/>
      </w:pPr>
      <w:r>
        <w:t xml:space="preserve">Kwalifikacja konfliktu staje się więc kluczowa. Kazus podaje, że w Essuss trwa konflikt zbrojny z „przeciwnikiem” kontrolującym region — to opis konfliktu niemiędzynarodowego. Jeżeli w konflikt zaangażowane jest inne państwo w sposób umiędzynarodawiający, ścieżka pierwsza otwiera się bez potrzeby powoływania nowelizacji. Kazus tego nie rozstrzyga.</w:t>
      </w:r>
    </w:p>
    <w:p>
      <w:pPr>
        <w:pStyle w:val="BodyText"/>
      </w:pPr>
      <w:r>
        <w:rPr>
          <w:iCs/>
          <w:i/>
        </w:rPr>
        <w:t xml:space="preserve">Ścieżka druga — zbrodnie przeciwko ludzkości.</w:t>
      </w:r>
      <w:r>
        <w:t xml:space="preserve"> </w:t>
      </w:r>
      <w:r>
        <w:t xml:space="preserve">Nie zależy od nowelizacji i nie wymaga ustalenia charakteru konfliktu. Wymaga natomiast wykazania powszechnego lub systematycznego ataku skierowanego przeciwko ludności cywilnej, w wykonaniu polityki państwa, oraz wiedzy sprawcy o tym kontekście. Czyn można kwalifikować jako inne nieludzkie czyny umyślnie powodujące poważne cierpienie lub poważny uszczerbek na zdrowiu, ewentualnie jako eksterminację, jeżeli wykazano zamiar zniszczenia części ludności przez pozbawienie dostępu do środków niezbędnych do przetrwania.</w:t>
      </w:r>
    </w:p>
    <w:p>
      <w:pPr>
        <w:pStyle w:val="BodyText"/>
      </w:pPr>
      <w:r>
        <w:t xml:space="preserve">To ścieżka mocniejsza jurysdykcyjnie i słabsza dowodowo — wymaga wykazania elementu polityki i systematyczności. Rekomendacja: prowadzić kumulatywnie, z zabezpieczeniem na wypadek odpadnięcia ścieżki pierwszej.</w:t>
      </w:r>
    </w:p>
    <w:bookmarkEnd w:id="65"/>
    <w:bookmarkStart w:id="66" w:name="Xb9faa9ba0da03e7228678c3ef417575e6434843"/>
    <w:p>
      <w:pPr>
        <w:pStyle w:val="Heading3"/>
      </w:pPr>
      <w:r>
        <w:t xml:space="preserve">Zagadnienie 2: związek z konfliktem i strona chroniona</w:t>
      </w:r>
    </w:p>
    <w:p>
      <w:pPr>
        <w:pStyle w:val="FirstParagraph"/>
      </w:pPr>
      <w:r>
        <w:t xml:space="preserve">Dla zbrodni wojennych konieczne jest wykazanie, że czyn nastąpił w kontekście konfliktu i był z nim związany. Test praktyczny: czy zdolność sprawcy do popełnienia czynu, sposób popełnienia lub cel wynikały z konfliktu. Kontrola dostaw ustanowiona wobec regionu opanowanego przez przeciwnika spełnia ten test w warstwie kontekstowej.</w:t>
      </w:r>
    </w:p>
    <w:p>
      <w:pPr>
        <w:pStyle w:val="BodyText"/>
      </w:pPr>
      <w:r>
        <w:t xml:space="preserve">Trudniejszy jest element zamiaru. Obrona wskazuje na przemyt broni i konieczność kontroli bezpieczeństwa — a kontrola dostaw jest w prawie konfliktów zbrojnych dopuszczalna, pod warunkiem że nie prowadzi do arbitralnej odmowy i nie jest wykorzystywana do głodzenia. Rozróżnienie między legalną kontrolą a bezprawnym utrudnianiem przebiega przez: proporcję zatrzymanych konwojów do stwierdzonych przypadków przemytu, czas trwania zatrzymań, dostępność procedury odwoławczej, selektywność wobec leków bez zastosowania podwójnego.</w:t>
      </w:r>
    </w:p>
    <w:p>
      <w:pPr>
        <w:pStyle w:val="BodyText"/>
      </w:pPr>
      <w:r>
        <w:t xml:space="preserve">Fakt, że zabrakło środków do leczenia chorób przewlekłych — a więc leków bez jakiegokolwiek zastosowania militarnego — jest najsilniejszą poszlaką po stronie oskarżenia.</w:t>
      </w:r>
    </w:p>
    <w:bookmarkEnd w:id="66"/>
    <w:bookmarkStart w:id="67" w:name="X28bf4f4c65ca33be1219c84d58d2dec0e9a4dce"/>
    <w:p>
      <w:pPr>
        <w:pStyle w:val="Heading3"/>
      </w:pPr>
      <w:r>
        <w:t xml:space="preserve">Zagadnienie 3: zakres i cofnięcie deklaracji</w:t>
      </w:r>
    </w:p>
    <w:p>
      <w:pPr>
        <w:pStyle w:val="FirstParagraph"/>
      </w:pPr>
      <w:r>
        <w:t xml:space="preserve">Deklaracja ad hoc jest jednostronnym aktem państwa uznającym jurysdykcję w odniesieniu do określonej sytuacji. Dwa pytania.</w:t>
      </w:r>
    </w:p>
    <w:p>
      <w:pPr>
        <w:pStyle w:val="BodyText"/>
      </w:pPr>
      <w:r>
        <w:rPr>
          <w:iCs/>
          <w:i/>
        </w:rPr>
        <w:t xml:space="preserve">Zakres.</w:t>
      </w:r>
      <w:r>
        <w:t xml:space="preserve"> </w:t>
      </w:r>
      <w:r>
        <w:t xml:space="preserve">Deklaracja ogranicza się do wskazanej sytuacji i okresu. Czyny poza tym zakresem pozostają poza jurysdykcją. Rozstrzygające jest brzmienie deklaracji — kazus go nie podaje.</w:t>
      </w:r>
    </w:p>
    <w:p>
      <w:pPr>
        <w:pStyle w:val="BodyText"/>
      </w:pPr>
      <w:r>
        <w:rPr>
          <w:iCs/>
          <w:i/>
        </w:rPr>
        <w:t xml:space="preserve">Cofnięcie.</w:t>
      </w:r>
      <w:r>
        <w:t xml:space="preserve"> </w:t>
      </w:r>
      <w:r>
        <w:t xml:space="preserve">Nowy rząd kwestionuje dalszą skuteczność deklaracji. Argumentacja oskarżenia: jurysdykcja raz skutecznie zaktywowana wobec czynów popełnionych w okresie objętym deklaracją nie może zostać zniesiona wstecznie; wynika to z analogii do skutków wystąpienia ze statutu, które nie wpływa na postępowania już wszczęte, oraz z zasady dobrej wiary. Argumentacja obrony: deklaracja jest aktem jednostronnym, a państwo, które ją złożyło, może ją odwołać na przyszłość.</w:t>
      </w:r>
    </w:p>
    <w:p>
      <w:pPr>
        <w:pStyle w:val="BodyText"/>
      </w:pPr>
      <w:r>
        <w:t xml:space="preserve">Rozstrzygnięcie pośrednie: cofnięcie skuteczne pro futuro co do współpracy, bezskuteczne wstecz co do jurysdykcji nad czynami z okresu objętego deklaracją.</w:t>
      </w:r>
    </w:p>
    <w:bookmarkEnd w:id="67"/>
    <w:bookmarkStart w:id="68" w:name="Xcb45716df37d817308046a35a4c118caac02e9b"/>
    <w:p>
      <w:pPr>
        <w:pStyle w:val="Heading3"/>
      </w:pPr>
      <w:r>
        <w:t xml:space="preserve">Zagadnienie 4: immunitet urzędującej głowy państwa</w:t>
      </w:r>
    </w:p>
    <w:p>
      <w:pPr>
        <w:pStyle w:val="FirstParagraph"/>
      </w:pPr>
      <w:r>
        <w:t xml:space="preserve">Punkt wyjścia: statut wyłącza znaczenie charakteru urzędowego, a immunitety związane z pełnioną funkcją nie stanowią przeszkody w wykonywaniu jurysdykcji przez Trybunał.</w:t>
      </w:r>
    </w:p>
    <w:p>
      <w:pPr>
        <w:pStyle w:val="BodyText"/>
      </w:pPr>
      <w:r>
        <w:t xml:space="preserve">Linia orzecznicza jest jednoznaczna. Izba Odwoławcza stwierdziła, że w prawie zwyczajowym nie istnieje immunitet głowy państwa wobec sądu międzynarodowego. Uznano, że nie ma ani praktyki państw, ani opinio iuris, które wspierałyby istnienie takiego immunitetu wobec sądu międzynarodowego. Izba Odwoławcza przyjęła, że skoro immunitet nie przysługuje wobec sądu międzynarodowego wykonującego właściwą jurysdykcję, nie przysługuje też wobec aresztowania i przekazania dokonywanego przez władze obcego państwa działające na rzecz tego sądu.</w:t>
      </w:r>
    </w:p>
    <w:p>
      <w:pPr>
        <w:pStyle w:val="BodyText"/>
      </w:pPr>
      <w:r>
        <w:t xml:space="preserve">Konfiguracja niniejszej sprawy jest dla oskarżenia korzystniejsza niż w tamtej sprawie. Tam podstawą jurysdykcji wobec państwa niebędącego stroną była rezolucja Rady Bezpieczeństwa, a rozumowanie o zwyczajowym braku immunitetu wywołało krytykę. Tu jurysdykcję uznało</w:t>
      </w:r>
      <w:r>
        <w:t xml:space="preserve"> </w:t>
      </w:r>
      <w:r>
        <w:rPr>
          <w:bCs/>
          <w:b/>
        </w:rPr>
        <w:t xml:space="preserve">samo państwo, którego głową jest oskarżona</w:t>
      </w:r>
      <w:r>
        <w:t xml:space="preserve">, składając deklarację ad hoc. Immunitet chroni państwo, nie osobę; państwo, które uznało jurysdykcję, nie może następnie powoływać immunitetu swojego funkcjonariusza wobec tej samej jurysdykcji. Zarzut obrony jest w tej konfiguracji najsłabszy z czterech.</w:t>
      </w:r>
    </w:p>
    <w:p>
      <w:pPr>
        <w:pStyle w:val="BodyText"/>
      </w:pPr>
      <w:r>
        <w:t xml:space="preserve">Kwestia pochodna: aresztowanie nastąpiło w państwie trzecim. Jeżeli państwo to nie jest stroną statutu, jego obowiązki i uprawnienia wobec immunitetu Syrax są odrębną kwestią — ale dotyczą relacji międzypaństwowej, nie jurysdykcji Trybunału.</w:t>
      </w:r>
    </w:p>
    <w:bookmarkEnd w:id="68"/>
    <w:bookmarkStart w:id="69" w:name="X54a6f67e5a21f861e86e450da882b147e8f83fd"/>
    <w:p>
      <w:pPr>
        <w:pStyle w:val="Heading3"/>
      </w:pPr>
      <w:r>
        <w:t xml:space="preserve">Zagadnienie 5: skutki nieprawidłowego ujęcia</w:t>
      </w:r>
    </w:p>
    <w:p>
      <w:pPr>
        <w:pStyle w:val="FirstParagraph"/>
      </w:pPr>
      <w:r>
        <w:t xml:space="preserve">Zasada wyjściowa: sposób doprowadzenia oskarżonego co do zasady nie pozbawia sądu jurysdykcji. Wyjątek dotyczy poważnych naruszeń praw oskarżonego, w których dalsze prowadzenie postępowania byłoby sprzeczne z rzetelnością procesu.</w:t>
      </w:r>
    </w:p>
    <w:p>
      <w:pPr>
        <w:pStyle w:val="BodyText"/>
      </w:pPr>
      <w:r>
        <w:t xml:space="preserve">Test trzystopniowy: (a) czy naruszenie rzeczywiście nastąpiło i jaka jest jego waga; (b) czy Trybunał lub oskarżenie brały w nim udział lub je akceptowały; (c) czy naruszenie da się naprawić środkiem mniej dotkliwym niż zakończenie postępowania.</w:t>
      </w:r>
    </w:p>
    <w:p>
      <w:pPr>
        <w:pStyle w:val="BodyText"/>
      </w:pPr>
      <w:r>
        <w:t xml:space="preserve">W kazusie: legalność operacji jest sporna, a przekazanie nastąpiło bez pełnego krajowego postępowania ekstradycyjnego. Brak faktów wskazujących na udział oskarżenia w bezprawnej operacji ani na tortury lub inne złe traktowanie. Przy takim stanie faktycznym umorzenie jest środkiem nadmiernym. Adekwatne: ustalenie naruszenia w orzeczeniu, wyłączenie dowodów pozyskanych bezpośrednio przy zatrzymaniu, ewentualne uwzględnienie przy wymiarze kary.</w:t>
      </w:r>
    </w:p>
    <w:p>
      <w:pPr>
        <w:pStyle w:val="BodyText"/>
      </w:pPr>
      <w:r>
        <w:t xml:space="preserve">Naruszenie praw proceduralnych w postępowaniu przed Trybunałem — jeżeli obrona wykaże ograniczenie dostępu do materiału lub do obrońcy — podlega odrębnym środkom naprawczym i nie miesza się z zarzutem doprowadzenia.</w:t>
      </w:r>
    </w:p>
    <w:bookmarkEnd w:id="69"/>
    <w:bookmarkStart w:id="70" w:name="Xc214ee9be75e80eb790856fba4e32138c345756"/>
    <w:p>
      <w:pPr>
        <w:pStyle w:val="Heading3"/>
      </w:pPr>
      <w:r>
        <w:t xml:space="preserve">Zagadnienie 6: forma odpowiedzialności indywidualnej</w:t>
      </w:r>
    </w:p>
    <w:p>
      <w:pPr>
        <w:pStyle w:val="FirstParagraph"/>
      </w:pPr>
      <w:r>
        <w:t xml:space="preserve">Cztery konkurencyjne konstrukcje, o różnych wymaganiach dowodowych.</w:t>
      </w:r>
    </w:p>
    <w:p>
      <w:pPr>
        <w:pStyle w:val="BodyText"/>
      </w:pPr>
      <w:r>
        <w:rPr>
          <w:iCs/>
          <w:i/>
        </w:rPr>
        <w:t xml:space="preserve">Sprawstwo lub współsprawstwo.</w:t>
      </w:r>
      <w:r>
        <w:t xml:space="preserve"> </w:t>
      </w:r>
      <w:r>
        <w:t xml:space="preserve">Wymaga wykazania istotnego wkładu i wspólnego planu oraz kontroli nad czynem. Dowód: zatwierdzenie systemu kontroli dostaw przez Syrax — to jest ustalone. Silny kandydat, jeżeli wykaże się, że system był narzędziem realizacji celu.</w:t>
      </w:r>
    </w:p>
    <w:p>
      <w:pPr>
        <w:pStyle w:val="BodyText"/>
      </w:pPr>
      <w:r>
        <w:rPr>
          <w:iCs/>
          <w:i/>
        </w:rPr>
        <w:t xml:space="preserve">Polecenie, nakłanianie lub podżeganie.</w:t>
      </w:r>
      <w:r>
        <w:t xml:space="preserve"> </w:t>
      </w:r>
      <w:r>
        <w:t xml:space="preserve">Wymaga wykazania konkretnego polecenia. Rozkazy przekazywano częściowo ustnie — dowód trudny, ale nie niemożliwy przy zeznaniach wykonawców.</w:t>
      </w:r>
    </w:p>
    <w:p>
      <w:pPr>
        <w:pStyle w:val="BodyText"/>
      </w:pPr>
      <w:r>
        <w:rPr>
          <w:iCs/>
          <w:i/>
        </w:rPr>
        <w:t xml:space="preserve">Wkład w przestępstwo popełnione przez grupę działającą we wspólnym celu.</w:t>
      </w:r>
      <w:r>
        <w:t xml:space="preserve"> </w:t>
      </w:r>
      <w:r>
        <w:t xml:space="preserve">Próg najniższy, ale forma najsłabsza retorycznie i często krytykowana jako rozmywająca odpowiedzialność.</w:t>
      </w:r>
    </w:p>
    <w:p>
      <w:pPr>
        <w:pStyle w:val="BodyText"/>
      </w:pPr>
      <w:r>
        <w:rPr>
          <w:iCs/>
          <w:i/>
        </w:rPr>
        <w:t xml:space="preserve">Odpowiedzialność przełożonego.</w:t>
      </w:r>
      <w:r>
        <w:t xml:space="preserve"> </w:t>
      </w:r>
      <w:r>
        <w:t xml:space="preserve">Wymaga skutecznej władzy i kontroli, wiedzy lub świadomego zignorowania informacji, oraz zaniechania środków zapobiegawczych lub represyjnych. Wobec przełożonego cywilnego standard wiedzy jest zaostrzony w porównaniu z dowódcą wojskowym.</w:t>
      </w:r>
    </w:p>
    <w:p>
      <w:pPr>
        <w:pStyle w:val="BodyText"/>
      </w:pPr>
      <w:r>
        <w:rPr>
          <w:bCs/>
          <w:b/>
        </w:rPr>
        <w:t xml:space="preserve">Rekomendacja.</w:t>
      </w:r>
      <w:r>
        <w:t xml:space="preserve"> </w:t>
      </w:r>
      <w:r>
        <w:t xml:space="preserve">Przy fragmentarycznych dokumentach i ustnych rozkazach najbezpieczniejszą podstawą jest sprawstwo oparte na zatwierdzeniu systemu — bo ten fakt jest udokumentowany — z odpowiedzialnością przełożonego jako zarzutem ewentualnym. Stawianie zarzutów w porządku alternatywnym jest dopuszczalne na etapie potwierdzenia; kumulacja bez hierarchii osłabia jednak przekaz i utrudnia obronę, co samo w sobie bywa podstawą zarzutu.</w:t>
      </w:r>
    </w:p>
    <w:bookmarkEnd w:id="70"/>
    <w:bookmarkEnd w:id="71"/>
    <w:bookmarkStart w:id="72" w:name="macierz-argumentów-3"/>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obrony</w:t>
            </w:r>
          </w:p>
        </w:tc>
        <w:tc>
          <w:tcPr/>
          <w:p>
            <w:pPr>
              <w:pStyle w:val="Compact"/>
              <w:jc w:val="left"/>
            </w:pPr>
            <w:r>
              <w:t xml:space="preserve">Odpowiedź oskarżenia</w:t>
            </w:r>
          </w:p>
        </w:tc>
      </w:tr>
      <w:tr>
        <w:tc>
          <w:tcPr/>
          <w:p>
            <w:pPr>
              <w:pStyle w:val="Compact"/>
              <w:jc w:val="left"/>
            </w:pPr>
            <w:r>
              <w:t xml:space="preserve">Jurysdykcja przedmiotowa</w:t>
            </w:r>
          </w:p>
        </w:tc>
        <w:tc>
          <w:tcPr/>
          <w:p>
            <w:pPr>
              <w:pStyle w:val="Compact"/>
              <w:jc w:val="left"/>
            </w:pPr>
            <w:r>
              <w:t xml:space="preserve">Głodzenie w konflikcie niemiędzynarodowym penalizowano dopiero nowelizacją, która wiąże wyłącznie państwa, które ją przyjęły; Essuss nie mogło jej przyjąć</w:t>
            </w:r>
          </w:p>
        </w:tc>
        <w:tc>
          <w:tcPr/>
          <w:p>
            <w:pPr>
              <w:pStyle w:val="Compact"/>
              <w:jc w:val="left"/>
            </w:pPr>
            <w:r>
              <w:t xml:space="preserve">Konflikt może mieć charakter umiędzynarodowiony; niezależnie od tego czyn wypełnia znamiona zbrodni przeciwko ludzkości, niezależnych od nowelizacji</w:t>
            </w:r>
          </w:p>
        </w:tc>
      </w:tr>
      <w:tr>
        <w:tc>
          <w:tcPr/>
          <w:p>
            <w:pPr>
              <w:pStyle w:val="Compact"/>
              <w:jc w:val="left"/>
            </w:pPr>
            <w:r>
              <w:t xml:space="preserve">Charakter czynu</w:t>
            </w:r>
          </w:p>
        </w:tc>
        <w:tc>
          <w:tcPr/>
          <w:p>
            <w:pPr>
              <w:pStyle w:val="Compact"/>
              <w:jc w:val="left"/>
            </w:pPr>
            <w:r>
              <w:t xml:space="preserve">Kontrola dostaw jest dopuszczalna w prawie konfliktów zbrojnych wobec ryzyka przemytu broni</w:t>
            </w:r>
          </w:p>
        </w:tc>
        <w:tc>
          <w:tcPr/>
          <w:p>
            <w:pPr>
              <w:pStyle w:val="Compact"/>
              <w:jc w:val="left"/>
            </w:pPr>
            <w:r>
              <w:t xml:space="preserve">Zatrzymywanie leków na choroby przewlekłe nie ma uzasadnienia bezpieczeństwa; systematyczność i skala wskazują na cel osłabienia ludności</w:t>
            </w:r>
          </w:p>
        </w:tc>
      </w:tr>
      <w:tr>
        <w:tc>
          <w:tcPr/>
          <w:p>
            <w:pPr>
              <w:pStyle w:val="Compact"/>
              <w:jc w:val="left"/>
            </w:pPr>
            <w:r>
              <w:t xml:space="preserve">Deklaracja ad hoc</w:t>
            </w:r>
          </w:p>
        </w:tc>
        <w:tc>
          <w:tcPr/>
          <w:p>
            <w:pPr>
              <w:pStyle w:val="Compact"/>
              <w:jc w:val="left"/>
            </w:pPr>
            <w:r>
              <w:t xml:space="preserve">Nowy rząd zakwestionował jej skuteczność; akt jednostronny jest odwoływalny</w:t>
            </w:r>
          </w:p>
        </w:tc>
        <w:tc>
          <w:tcPr/>
          <w:p>
            <w:pPr>
              <w:pStyle w:val="Compact"/>
              <w:jc w:val="left"/>
            </w:pPr>
            <w:r>
              <w:t xml:space="preserve">Cofnięcie działa pro futuro; jurysdykcja nad czynami z objętego okresu pozostaje</w:t>
            </w:r>
          </w:p>
        </w:tc>
      </w:tr>
      <w:tr>
        <w:tc>
          <w:tcPr/>
          <w:p>
            <w:pPr>
              <w:pStyle w:val="Compact"/>
              <w:jc w:val="left"/>
            </w:pPr>
            <w:r>
              <w:t xml:space="preserve">Immunitet</w:t>
            </w:r>
          </w:p>
        </w:tc>
        <w:tc>
          <w:tcPr/>
          <w:p>
            <w:pPr>
              <w:pStyle w:val="Compact"/>
              <w:jc w:val="left"/>
            </w:pPr>
            <w:r>
              <w:t xml:space="preserve">Urzędująca głowa państwa niebędącego stroną korzysta z immunitetu zwyczajowego</w:t>
            </w:r>
          </w:p>
        </w:tc>
        <w:tc>
          <w:tcPr/>
          <w:p>
            <w:pPr>
              <w:pStyle w:val="Compact"/>
              <w:jc w:val="left"/>
            </w:pPr>
            <w:r>
              <w:t xml:space="preserve">Brak immunitetu wobec sądu międzynarodowego; nadto samo państwo uznało jurysdykcję, więc nie może powoływać immunitetu swojego organu</w:t>
            </w:r>
          </w:p>
        </w:tc>
      </w:tr>
      <w:tr>
        <w:tc>
          <w:tcPr/>
          <w:p>
            <w:pPr>
              <w:pStyle w:val="Compact"/>
              <w:jc w:val="left"/>
            </w:pPr>
            <w:r>
              <w:t xml:space="preserve">Doprowadzenie</w:t>
            </w:r>
          </w:p>
        </w:tc>
        <w:tc>
          <w:tcPr/>
          <w:p>
            <w:pPr>
              <w:pStyle w:val="Compact"/>
              <w:jc w:val="left"/>
            </w:pPr>
            <w:r>
              <w:t xml:space="preserve">Nielegalne ujęcie i pominięcie ekstradycji uzasadniają zakończenie postępowania</w:t>
            </w:r>
          </w:p>
        </w:tc>
        <w:tc>
          <w:tcPr/>
          <w:p>
            <w:pPr>
              <w:pStyle w:val="Compact"/>
              <w:jc w:val="left"/>
            </w:pPr>
            <w:r>
              <w:t xml:space="preserve">Sposób doprowadzenia nie pozbawia jurysdykcji; brak udziału oskarżenia w naruszeniu; adekwatne są środki naprawcze</w:t>
            </w:r>
          </w:p>
        </w:tc>
      </w:tr>
      <w:tr>
        <w:tc>
          <w:tcPr/>
          <w:p>
            <w:pPr>
              <w:pStyle w:val="Compact"/>
              <w:jc w:val="left"/>
            </w:pPr>
            <w:r>
              <w:t xml:space="preserve">Forma odpowiedzialności</w:t>
            </w:r>
          </w:p>
        </w:tc>
        <w:tc>
          <w:tcPr/>
          <w:p>
            <w:pPr>
              <w:pStyle w:val="Compact"/>
              <w:jc w:val="left"/>
            </w:pPr>
            <w:r>
              <w:t xml:space="preserve">Dokumenty fragmentaryczne, rozkazy ustne — brak dowodu zamiaru i kontroli</w:t>
            </w:r>
          </w:p>
        </w:tc>
        <w:tc>
          <w:tcPr/>
          <w:p>
            <w:pPr>
              <w:pStyle w:val="Compact"/>
              <w:jc w:val="left"/>
            </w:pPr>
            <w:r>
              <w:t xml:space="preserve">Zatwierdzenie systemu jest udokumentowane; odpowiedzialność przełożonego jako zarzut ewentualny</w:t>
            </w:r>
          </w:p>
        </w:tc>
      </w:tr>
    </w:tbl>
    <w:bookmarkEnd w:id="72"/>
    <w:bookmarkStart w:id="73" w:name="X8b0f990740b1f063d5a9ecbf8f4f9ae2fa53e12"/>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Charakter konfliktu (międzynarodowy czy nie)</w:t>
            </w:r>
          </w:p>
        </w:tc>
        <w:tc>
          <w:tcPr/>
          <w:p>
            <w:pPr>
              <w:pStyle w:val="Compact"/>
              <w:jc w:val="left"/>
            </w:pPr>
            <w:r>
              <w:t xml:space="preserve">Decyduje o dostępności zarzutu głodzenia bez powoływania nowelizacji</w:t>
            </w:r>
          </w:p>
        </w:tc>
        <w:tc>
          <w:tcPr/>
          <w:p>
            <w:pPr>
              <w:pStyle w:val="Compact"/>
              <w:jc w:val="left"/>
            </w:pPr>
            <w:r>
              <w:t xml:space="preserve">Ustalenia o zaangażowaniu obcych sił zbrojnych, struktura stron konfliktu</w:t>
            </w:r>
          </w:p>
        </w:tc>
      </w:tr>
      <w:tr>
        <w:tc>
          <w:tcPr/>
          <w:p>
            <w:pPr>
              <w:pStyle w:val="Compact"/>
              <w:jc w:val="left"/>
            </w:pPr>
            <w:r>
              <w:t xml:space="preserve">Brzmienie deklaracji ad hoc: sytuacja i okres</w:t>
            </w:r>
          </w:p>
        </w:tc>
        <w:tc>
          <w:tcPr/>
          <w:p>
            <w:pPr>
              <w:pStyle w:val="Compact"/>
              <w:jc w:val="left"/>
            </w:pPr>
            <w:r>
              <w:t xml:space="preserve">Wyznacza granice jurysdykcji czasowej i przedmiotowej</w:t>
            </w:r>
          </w:p>
        </w:tc>
        <w:tc>
          <w:tcPr/>
          <w:p>
            <w:pPr>
              <w:pStyle w:val="Compact"/>
              <w:jc w:val="left"/>
            </w:pPr>
            <w:r>
              <w:t xml:space="preserve">Tekst deklaracji złożonej w Trybunale</w:t>
            </w:r>
          </w:p>
        </w:tc>
      </w:tr>
      <w:tr>
        <w:tc>
          <w:tcPr/>
          <w:p>
            <w:pPr>
              <w:pStyle w:val="Compact"/>
              <w:jc w:val="left"/>
            </w:pPr>
            <w:r>
              <w:t xml:space="preserve">Proporcja zatrzymań konwojów do wykrytych przypadków przemytu</w:t>
            </w:r>
          </w:p>
        </w:tc>
        <w:tc>
          <w:tcPr/>
          <w:p>
            <w:pPr>
              <w:pStyle w:val="Compact"/>
              <w:jc w:val="left"/>
            </w:pPr>
            <w:r>
              <w:t xml:space="preserve">Rozróżnia legalną kontrolę od bezprawnego utrudniania</w:t>
            </w:r>
          </w:p>
        </w:tc>
        <w:tc>
          <w:tcPr/>
          <w:p>
            <w:pPr>
              <w:pStyle w:val="Compact"/>
              <w:jc w:val="left"/>
            </w:pPr>
            <w:r>
              <w:t xml:space="preserve">Rejestry punktów kontrolnych, protokoły przeszukań</w:t>
            </w:r>
          </w:p>
        </w:tc>
      </w:tr>
      <w:tr>
        <w:tc>
          <w:tcPr/>
          <w:p>
            <w:pPr>
              <w:pStyle w:val="Compact"/>
              <w:jc w:val="left"/>
            </w:pPr>
            <w:r>
              <w:t xml:space="preserve">Czy zatrzymywano leki bez zastosowania podwójnego</w:t>
            </w:r>
          </w:p>
        </w:tc>
        <w:tc>
          <w:tcPr/>
          <w:p>
            <w:pPr>
              <w:pStyle w:val="Compact"/>
              <w:jc w:val="left"/>
            </w:pPr>
            <w:r>
              <w:t xml:space="preserve">Najsilniejsza poszlaka zamiaru</w:t>
            </w:r>
          </w:p>
        </w:tc>
        <w:tc>
          <w:tcPr/>
          <w:p>
            <w:pPr>
              <w:pStyle w:val="Compact"/>
              <w:jc w:val="left"/>
            </w:pPr>
            <w:r>
              <w:t xml:space="preserve">Wykazy przewożonych towarów, zeznania organizacji humanitarnych</w:t>
            </w:r>
          </w:p>
        </w:tc>
      </w:tr>
      <w:tr>
        <w:tc>
          <w:tcPr/>
          <w:p>
            <w:pPr>
              <w:pStyle w:val="Compact"/>
              <w:jc w:val="left"/>
            </w:pPr>
            <w:r>
              <w:t xml:space="preserve">Treść zatwierdzonego systemu kontroli</w:t>
            </w:r>
          </w:p>
        </w:tc>
        <w:tc>
          <w:tcPr/>
          <w:p>
            <w:pPr>
              <w:pStyle w:val="Compact"/>
              <w:jc w:val="left"/>
            </w:pPr>
            <w:r>
              <w:t xml:space="preserve">Podstawa sprawstwa</w:t>
            </w:r>
          </w:p>
        </w:tc>
        <w:tc>
          <w:tcPr/>
          <w:p>
            <w:pPr>
              <w:pStyle w:val="Compact"/>
              <w:jc w:val="left"/>
            </w:pPr>
            <w:r>
              <w:t xml:space="preserve">Akt zatwierdzenia, dokumenty wykonawcze</w:t>
            </w:r>
          </w:p>
        </w:tc>
      </w:tr>
      <w:tr>
        <w:tc>
          <w:tcPr/>
          <w:p>
            <w:pPr>
              <w:pStyle w:val="Compact"/>
              <w:jc w:val="left"/>
            </w:pPr>
            <w:r>
              <w:t xml:space="preserve">Okoliczności ujęcia w państwie trzecim</w:t>
            </w:r>
          </w:p>
        </w:tc>
        <w:tc>
          <w:tcPr/>
          <w:p>
            <w:pPr>
              <w:pStyle w:val="Compact"/>
              <w:jc w:val="left"/>
            </w:pPr>
            <w:r>
              <w:t xml:space="preserve">Ocena zarzutu nieprawidłowego doprowadzenia</w:t>
            </w:r>
          </w:p>
        </w:tc>
        <w:tc>
          <w:tcPr/>
          <w:p>
            <w:pPr>
              <w:pStyle w:val="Compact"/>
              <w:jc w:val="left"/>
            </w:pPr>
            <w:r>
              <w:t xml:space="preserve">Dokumentacja operacji, korespondencja między państwami</w:t>
            </w:r>
          </w:p>
        </w:tc>
      </w:tr>
      <w:tr>
        <w:tc>
          <w:tcPr/>
          <w:p>
            <w:pPr>
              <w:pStyle w:val="Compact"/>
              <w:jc w:val="left"/>
            </w:pPr>
            <w:r>
              <w:t xml:space="preserve">Czy oskarżenie uczestniczyło w operacji ujęcia</w:t>
            </w:r>
          </w:p>
        </w:tc>
        <w:tc>
          <w:tcPr/>
          <w:p>
            <w:pPr>
              <w:pStyle w:val="Compact"/>
              <w:jc w:val="left"/>
            </w:pPr>
            <w:r>
              <w:t xml:space="preserve">Przesądza o zastosowaniu wyjątku od zasady</w:t>
            </w:r>
          </w:p>
        </w:tc>
        <w:tc>
          <w:tcPr/>
          <w:p>
            <w:pPr>
              <w:pStyle w:val="Compact"/>
              <w:jc w:val="left"/>
            </w:pPr>
            <w:r>
              <w:t xml:space="preserve">Korespondencja Biura Prokuratora</w:t>
            </w:r>
          </w:p>
        </w:tc>
      </w:tr>
      <w:tr>
        <w:tc>
          <w:tcPr/>
          <w:p>
            <w:pPr>
              <w:pStyle w:val="Compact"/>
              <w:jc w:val="left"/>
            </w:pPr>
            <w:r>
              <w:t xml:space="preserve">Struktura dowodzenia i zakres władzy Syrax nad wykonawcami</w:t>
            </w:r>
          </w:p>
        </w:tc>
        <w:tc>
          <w:tcPr/>
          <w:p>
            <w:pPr>
              <w:pStyle w:val="Compact"/>
              <w:jc w:val="left"/>
            </w:pPr>
            <w:r>
              <w:t xml:space="preserve">Warunek odpowiedzialności przełożonego</w:t>
            </w:r>
          </w:p>
        </w:tc>
        <w:tc>
          <w:tcPr/>
          <w:p>
            <w:pPr>
              <w:pStyle w:val="Compact"/>
              <w:jc w:val="left"/>
            </w:pPr>
            <w:r>
              <w:t xml:space="preserve">Schemat dowodzenia, zeznania oficerów</w:t>
            </w:r>
          </w:p>
        </w:tc>
      </w:tr>
    </w:tbl>
    <w:bookmarkEnd w:id="73"/>
    <w:bookmarkStart w:id="74" w:name="proponowane-rozstrzygnięcie-3"/>
    <w:p>
      <w:pPr>
        <w:pStyle w:val="Heading2"/>
      </w:pPr>
      <w:r>
        <w:t xml:space="preserve">Proponowane rozstrzygnięcie</w:t>
      </w:r>
    </w:p>
    <w:p>
      <w:pPr>
        <w:pStyle w:val="FirstParagraph"/>
      </w:pPr>
      <w:r>
        <w:t xml:space="preserve">Na etapie potwierdzenia zarzutów: potwierdzić zarzuty w zakresie zbrodni przeciwko ludzkości w postaci innych nieludzkich czynów, na podstawie sprawstwa opartego na zatwierdzeniu systemu kontroli dostaw, z odpowiedzialnością przełożonego jako zarzutem ewentualnym.</w:t>
      </w:r>
    </w:p>
    <w:p>
      <w:pPr>
        <w:pStyle w:val="BodyText"/>
      </w:pPr>
      <w:r>
        <w:t xml:space="preserve">Odroczyć rozstrzygnięcie co do zarzutu zbrodni wojennej głodzenia do czasu ustalenia charakteru konfliktu; w razie potwierdzenia charakteru niemiędzynarodowego — odmówić potwierdzenia tego zarzutu ze względu na zakres czasowy obowiązywania nowelizacji wobec państwa, które jej nie przyjęło.</w:t>
      </w:r>
    </w:p>
    <w:p>
      <w:pPr>
        <w:pStyle w:val="BodyText"/>
      </w:pPr>
      <w:r>
        <w:t xml:space="preserve">Oddalić wniosek o umorzenie z powodu immunitetu.</w:t>
      </w:r>
    </w:p>
    <w:p>
      <w:pPr>
        <w:pStyle w:val="BodyText"/>
      </w:pPr>
      <w:r>
        <w:t xml:space="preserve">Oddalić wniosek o umorzenie z powodu nieprawidłowego doprowadzenia; stwierdzić w orzeczeniu ewentualne naruszenie i wyłączyć dowody pozyskane bezpośrednio przy zatrzymaniu.</w:t>
      </w:r>
    </w:p>
    <w:p>
      <w:pPr>
        <w:pStyle w:val="BodyText"/>
      </w:pPr>
      <w:r>
        <w:t xml:space="preserve">Zobowiązać oskarżenie do przedstawienia zestawienia materiału dowodowego według form odpowiedzialności, tak aby obrona mogła odnieść się do każdej z nich osobno.</w:t>
      </w:r>
    </w:p>
    <w:bookmarkEnd w:id="74"/>
    <w:bookmarkStart w:id="75" w:name="zweryfikowane-pozycje-źródłowe-k-04"/>
    <w:p>
      <w:pPr>
        <w:pStyle w:val="Heading2"/>
      </w:pPr>
      <w:r>
        <w:t xml:space="preserve">Zweryfikowane pozycje źródłowe (K-04)</w:t>
      </w:r>
    </w:p>
    <w:p>
      <w:pPr>
        <w:numPr>
          <w:ilvl w:val="0"/>
          <w:numId w:val="1006"/>
        </w:numPr>
        <w:pStyle w:val="Compact"/>
      </w:pPr>
      <w:r>
        <w:t xml:space="preserve">Rezolucja ICC-ASP/18/Res.5 z 6 grudnia 2019 r. — dodanie art. 8 ust. 2 lit. e pkt xix statutu (głodzenie w konflikcie niemiędzynarodowym); brzmienie przepisu potwierdzone.</w:t>
      </w:r>
    </w:p>
    <w:p>
      <w:pPr>
        <w:numPr>
          <w:ilvl w:val="0"/>
          <w:numId w:val="1006"/>
        </w:numPr>
        <w:pStyle w:val="Compact"/>
      </w:pPr>
      <w:r>
        <w:t xml:space="preserve">Art. 121 ust. 5 statutu — nowelizacje art. 5–8 wchodzą w życie wobec państw, które je przyjęły, rok po złożeniu dokumentu ratyfikacyjnego.</w:t>
      </w:r>
    </w:p>
    <w:p>
      <w:pPr>
        <w:numPr>
          <w:ilvl w:val="0"/>
          <w:numId w:val="1006"/>
        </w:numPr>
        <w:pStyle w:val="Compact"/>
      </w:pPr>
      <w:r>
        <w:t xml:space="preserve">Prokurator przeciwko Omarowi Hassanowi Ahmadowi Al Bashirowi, Izba Odwoławcza, ICC-02/05-01/09-397, wyrok w sprawie odesłania dotyczącego Jordanii, 6 maja 2019 r. — brak immunitetu głowy państwa wobec sądu międzynarodowego w prawie zwyczajowym; rozciągnięcie wniosku na etap aresztowania i przekazania przez państwo działające na rzecz Trybunału.</w:t>
      </w:r>
    </w:p>
    <w:p>
      <w:pPr>
        <w:pStyle w:val="FirstParagraph"/>
      </w:pPr>
      <w:r>
        <w:t xml:space="preserve">Elementy nieprzypisane sygnaturom (standard „istotnych podstaw do przypuszczenia”, test związku z konfliktem, doktryna nadużycia procesu i jej trzystopniowy test, przesłanki poszczególnych form odpowiedzialności) przedstawiono jako standard doktrynalny wymagający samodzielnego potwierdzenia.</w:t>
      </w:r>
    </w:p>
    <w:p>
      <w:r>
        <w:br w:type="page"/>
      </w:r>
    </w:p>
    <w:bookmarkEnd w:id="75"/>
    <w:bookmarkEnd w:id="76"/>
    <w:bookmarkStart w:id="77" w:name="nota-końcowa-do-partii-1"/>
    <w:p>
      <w:pPr>
        <w:pStyle w:val="Heading1"/>
      </w:pPr>
      <w:r>
        <w:t xml:space="preserve">Nota końcowa do Partii 1</w:t>
      </w:r>
    </w:p>
    <w:p>
      <w:pPr>
        <w:pStyle w:val="FirstParagraph"/>
      </w:pPr>
      <w:r>
        <w:rPr>
          <w:bCs/>
          <w:b/>
        </w:rPr>
        <w:t xml:space="preserve">Co zostało zweryfikowane, a co nie.</w:t>
      </w:r>
      <w:r>
        <w:t xml:space="preserve"> </w:t>
      </w:r>
      <w:r>
        <w:t xml:space="preserve">W każdym kazusie oddzielono pozycje potwierdzone w źródłach zewnętrznych od twierdzeń przedstawionych jako standard doktrynalny. To rozróżnienie jest istotne dla porównania z wersją generowaną przy użyciu skilli prawnych: bez modułu walidacyjnego weryfikacja obejmuje kotwice orzecznicze o największym ciężarze argumentacyjnym, natomiast szczegółowe testy przesłankowe i standardy proceduralne opisano bez przypisania sygnaturom, zamiast podawać sygnatury z pamięci modelu.</w:t>
      </w:r>
    </w:p>
    <w:p>
      <w:pPr>
        <w:pStyle w:val="BodyText"/>
      </w:pPr>
      <w:r>
        <w:rPr>
          <w:bCs/>
          <w:b/>
        </w:rPr>
        <w:t xml:space="preserve">Czego nie zrobiono w tej wersji.</w:t>
      </w:r>
      <w:r>
        <w:t xml:space="preserve"> </w:t>
      </w:r>
      <w:r>
        <w:t xml:space="preserve">Nie uruchomiono routera prawnego ani skilli dziedzinowych, nie przeprowadzono walidacji hybrydowej dokumentu, nie zastosowano kwalifikatora karnomaterialnego przy K-04, nie sprawdzono aktualności brzmienia aktów w rejestrach urzędowych. Kazusy z Części I nie dotyczą prawa polskiego, więc weryfikacja w ELI nie miała zastosowania; będzie miała przy Partiach 3 i 4.</w:t>
      </w:r>
    </w:p>
    <w:p>
      <w:pPr>
        <w:pStyle w:val="BodyText"/>
      </w:pPr>
      <w:r>
        <w:rPr>
          <w:bCs/>
          <w:b/>
        </w:rPr>
        <w:t xml:space="preserve">Kolejne partie.</w:t>
      </w:r>
      <w:r>
        <w:t xml:space="preserve"> </w:t>
      </w:r>
      <w:r>
        <w:t xml:space="preserve">Partia 2 obejmie K-05 do K-07, Partia 3 — PL-01 do PL-04, Partia 4 — PL-05 do PL-07.</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2026-09-02T18:48:16Z</dcterms:created>
  <dcterms:modified xsi:type="dcterms:W3CDTF">2026-09-02T18:48:16Z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1: K-01 – K-04 (część międzynarodowa)</vt:lpwstr>
  </property>
</Properties>
</file>